
<file path=[Content_Types].xml><?xml version="1.0" encoding="utf-8"?>
<Types xmlns="http://schemas.openxmlformats.org/package/2006/content-types">
  <Default Extension="xml" ContentType="application/xml"/>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5D55F4">
      <w:pPr>
        <w:shd w:val="clear"/>
        <w:rPr>
          <w:rFonts w:hint="default" w:ascii="Times New Roman" w:hAnsi="Times New Roman" w:eastAsia="仿宋_GB2312" w:cs="Times New Roman"/>
          <w:color w:val="auto"/>
          <w:sz w:val="36"/>
          <w:szCs w:val="36"/>
          <w:highlight w:val="none"/>
          <w:lang w:val="en-US" w:eastAsia="zh-CN"/>
        </w:rPr>
      </w:pPr>
    </w:p>
    <w:p w14:paraId="0F31FCDB">
      <w:pPr>
        <w:shd w:val="clear"/>
        <w:rPr>
          <w:rFonts w:hint="default" w:ascii="Times New Roman" w:hAnsi="Times New Roman" w:eastAsia="仿宋_GB2312" w:cs="Times New Roman"/>
          <w:color w:val="auto"/>
          <w:sz w:val="36"/>
          <w:szCs w:val="36"/>
          <w:highlight w:val="none"/>
        </w:rPr>
      </w:pPr>
    </w:p>
    <w:p w14:paraId="729F8822">
      <w:pPr>
        <w:shd w:val="clear"/>
        <w:rPr>
          <w:rFonts w:hint="default" w:ascii="Times New Roman" w:hAnsi="Times New Roman" w:eastAsia="仿宋_GB2312" w:cs="Times New Roman"/>
          <w:color w:val="auto"/>
          <w:sz w:val="36"/>
          <w:szCs w:val="36"/>
          <w:highlight w:val="none"/>
        </w:rPr>
      </w:pPr>
    </w:p>
    <w:p w14:paraId="3697BD2E">
      <w:pPr>
        <w:shd w:val="clear"/>
        <w:rPr>
          <w:rFonts w:hint="default" w:ascii="Times New Roman" w:hAnsi="Times New Roman" w:eastAsia="仿宋_GB2312" w:cs="Times New Roman"/>
          <w:color w:val="auto"/>
          <w:sz w:val="36"/>
          <w:szCs w:val="36"/>
          <w:highlight w:val="none"/>
        </w:rPr>
      </w:pPr>
    </w:p>
    <w:p w14:paraId="3B9F727C">
      <w:pPr>
        <w:shd w:val="clear"/>
        <w:rPr>
          <w:rFonts w:hint="default" w:ascii="Times New Roman" w:hAnsi="Times New Roman" w:eastAsia="仿宋_GB2312" w:cs="Times New Roman"/>
          <w:color w:val="auto"/>
          <w:sz w:val="36"/>
          <w:szCs w:val="36"/>
          <w:highlight w:val="none"/>
        </w:rPr>
      </w:pPr>
    </w:p>
    <w:p w14:paraId="7B985478">
      <w:pPr>
        <w:shd w:val="clear"/>
        <w:adjustRightInd w:val="0"/>
        <w:snapToGrid w:val="0"/>
        <w:jc w:val="center"/>
        <w:outlineLvl w:val="0"/>
        <w:rPr>
          <w:rFonts w:hint="default" w:ascii="Times New Roman" w:hAnsi="Times New Roman" w:eastAsia="方正小标宋_GBK" w:cs="Times New Roman"/>
          <w:bCs/>
          <w:color w:val="auto"/>
          <w:sz w:val="72"/>
          <w:szCs w:val="72"/>
          <w:highlight w:val="none"/>
        </w:rPr>
      </w:pPr>
      <w:r>
        <w:rPr>
          <w:rFonts w:hint="default" w:ascii="Times New Roman" w:hAnsi="Times New Roman" w:eastAsia="方正小标宋_GBK" w:cs="Times New Roman"/>
          <w:bCs/>
          <w:color w:val="auto"/>
          <w:sz w:val="72"/>
          <w:szCs w:val="72"/>
          <w:highlight w:val="none"/>
        </w:rPr>
        <w:t>建设项目环境影响报告表</w:t>
      </w:r>
    </w:p>
    <w:p w14:paraId="003DEDDA">
      <w:pPr>
        <w:shd w:val="clea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（污染影响类）</w:t>
      </w:r>
    </w:p>
    <w:p w14:paraId="3F10131B">
      <w:pPr>
        <w:shd w:val="clear"/>
        <w:adjustRightInd w:val="0"/>
        <w:snapToGrid w:val="0"/>
        <w:spacing w:line="288" w:lineRule="auto"/>
        <w:jc w:val="center"/>
        <w:outlineLvl w:val="0"/>
        <w:rPr>
          <w:rFonts w:hint="default" w:ascii="Times New Roman" w:hAnsi="Times New Roman" w:eastAsia="华文仿宋" w:cs="Times New Roman"/>
          <w:color w:val="auto"/>
          <w:kern w:val="44"/>
          <w:sz w:val="44"/>
          <w:szCs w:val="44"/>
          <w:highlight w:val="none"/>
        </w:rPr>
      </w:pPr>
    </w:p>
    <w:p w14:paraId="7DD5E42F">
      <w:pPr>
        <w:shd w:val="clear"/>
        <w:jc w:val="center"/>
        <w:rPr>
          <w:rFonts w:hint="default" w:ascii="Times New Roman" w:hAnsi="Times New Roman" w:eastAsia="仿宋" w:cs="Times New Roman"/>
          <w:color w:val="auto"/>
          <w:sz w:val="52"/>
          <w:szCs w:val="52"/>
          <w:highlight w:val="none"/>
        </w:rPr>
      </w:pPr>
    </w:p>
    <w:p w14:paraId="5A455BC7">
      <w:pPr>
        <w:shd w:val="clear"/>
        <w:ind w:firstLine="1040"/>
        <w:rPr>
          <w:rFonts w:hint="default" w:ascii="Times New Roman" w:hAnsi="Times New Roman" w:eastAsia="仿宋" w:cs="Times New Roman"/>
          <w:color w:val="auto"/>
          <w:sz w:val="44"/>
          <w:szCs w:val="44"/>
          <w:highlight w:val="none"/>
        </w:rPr>
      </w:pPr>
    </w:p>
    <w:p w14:paraId="0213DD7B">
      <w:pPr>
        <w:shd w:val="clear"/>
        <w:ind w:firstLine="1040"/>
        <w:rPr>
          <w:rFonts w:hint="default" w:ascii="Times New Roman" w:hAnsi="Times New Roman" w:eastAsia="仿宋" w:cs="Times New Roman"/>
          <w:color w:val="auto"/>
          <w:sz w:val="44"/>
          <w:szCs w:val="44"/>
          <w:highlight w:val="none"/>
        </w:rPr>
      </w:pPr>
    </w:p>
    <w:p w14:paraId="1BC440CD">
      <w:pPr>
        <w:shd w:val="clear"/>
        <w:ind w:firstLine="1040"/>
        <w:rPr>
          <w:rFonts w:hint="default" w:ascii="Times New Roman" w:hAnsi="Times New Roman" w:eastAsia="仿宋" w:cs="Times New Roman"/>
          <w:color w:val="auto"/>
          <w:sz w:val="44"/>
          <w:szCs w:val="44"/>
          <w:highlight w:val="none"/>
        </w:rPr>
      </w:pPr>
    </w:p>
    <w:p w14:paraId="7A04DC3A">
      <w:pPr>
        <w:shd w:val="clear"/>
        <w:ind w:firstLine="1040"/>
        <w:rPr>
          <w:rFonts w:hint="default" w:ascii="Times New Roman" w:hAnsi="Times New Roman" w:eastAsia="仿宋" w:cs="Times New Roman"/>
          <w:color w:val="auto"/>
          <w:sz w:val="44"/>
          <w:szCs w:val="44"/>
          <w:highlight w:val="none"/>
        </w:rPr>
      </w:pPr>
    </w:p>
    <w:p w14:paraId="4870AF86">
      <w:pPr>
        <w:shd w:val="clea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lang w:val="en-US" w:eastAsia="zh-CN"/>
        </w:rPr>
      </w:pPr>
      <w:r>
        <w:rPr>
          <w:rFonts w:hint="default" w:ascii="Times New Roman" w:hAnsi="Times New Roman" w:eastAsia="仿宋_GB2312" w:cs="Times New Roman"/>
          <w:color w:val="auto"/>
          <w:sz w:val="36"/>
          <w:szCs w:val="36"/>
          <w:highlight w:val="none"/>
        </w:rPr>
        <w:t>项目名称：</w:t>
      </w:r>
      <w:r>
        <w:rPr>
          <w:rFonts w:hint="default" w:ascii="Times New Roman" w:hAnsi="Times New Roman" w:eastAsia="仿宋_GB2312" w:cs="Times New Roman"/>
          <w:color w:val="auto"/>
          <w:sz w:val="36"/>
          <w:szCs w:val="36"/>
          <w:highlight w:val="none"/>
          <w:u w:val="single"/>
          <w:lang w:eastAsia="zh-CN"/>
        </w:rPr>
        <w:t>淄博锦明陶瓷材料有限公司年产</w:t>
      </w:r>
      <w:r>
        <w:rPr>
          <w:rFonts w:hint="default" w:ascii="Times New Roman" w:hAnsi="Times New Roman" w:eastAsia="仿宋_GB2312" w:cs="Times New Roman"/>
          <w:color w:val="auto"/>
          <w:sz w:val="36"/>
          <w:szCs w:val="36"/>
          <w:highlight w:val="none"/>
          <w:u w:val="single"/>
          <w:lang w:val="en-US" w:eastAsia="zh-CN"/>
        </w:rPr>
        <w:t xml:space="preserve">  </w:t>
      </w:r>
      <w:r>
        <w:rPr>
          <w:rFonts w:hint="eastAsia" w:eastAsia="仿宋_GB2312" w:cs="Times New Roman"/>
          <w:color w:val="auto"/>
          <w:sz w:val="36"/>
          <w:szCs w:val="36"/>
          <w:highlight w:val="none"/>
          <w:u w:val="single"/>
          <w:lang w:val="en-US" w:eastAsia="zh-CN"/>
        </w:rPr>
        <w:t xml:space="preserve">  </w:t>
      </w:r>
    </w:p>
    <w:p w14:paraId="35EB5828">
      <w:pPr>
        <w:shd w:val="clear"/>
        <w:adjustRightInd w:val="0"/>
        <w:snapToGrid w:val="0"/>
        <w:spacing w:line="288" w:lineRule="auto"/>
        <w:ind w:firstLine="2858" w:firstLineChars="794"/>
        <w:rPr>
          <w:rFonts w:hint="default" w:ascii="Times New Roman" w:hAnsi="Times New Roman" w:eastAsia="仿宋_GB2312" w:cs="Times New Roman"/>
          <w:color w:val="auto"/>
          <w:sz w:val="36"/>
          <w:szCs w:val="36"/>
          <w:highlight w:val="none"/>
          <w:u w:val="single"/>
        </w:rPr>
      </w:pPr>
      <w:r>
        <w:rPr>
          <w:rFonts w:hint="default" w:ascii="Times New Roman" w:hAnsi="Times New Roman" w:eastAsia="仿宋_GB2312" w:cs="Times New Roman"/>
          <w:color w:val="auto"/>
          <w:sz w:val="36"/>
          <w:szCs w:val="36"/>
          <w:highlight w:val="none"/>
          <w:u w:val="single"/>
          <w:lang w:val="en-US" w:eastAsia="zh-CN"/>
        </w:rPr>
        <w:t xml:space="preserve"> 500吨铝铁红技改项目</w:t>
      </w:r>
      <w:r>
        <w:rPr>
          <w:rFonts w:hint="default" w:ascii="Times New Roman" w:hAnsi="Times New Roman" w:eastAsia="仿宋_GB2312" w:cs="Times New Roman"/>
          <w:color w:val="auto"/>
          <w:sz w:val="36"/>
          <w:szCs w:val="36"/>
          <w:highlight w:val="none"/>
          <w:u w:val="single"/>
        </w:rPr>
        <w:t xml:space="preserve">           </w:t>
      </w:r>
    </w:p>
    <w:p w14:paraId="01104132">
      <w:pPr>
        <w:shd w:val="clea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rPr>
      </w:pPr>
      <w:r>
        <w:rPr>
          <w:rFonts w:hint="default" w:ascii="Times New Roman" w:hAnsi="Times New Roman" w:eastAsia="仿宋_GB2312" w:cs="Times New Roman"/>
          <w:color w:val="auto"/>
          <w:sz w:val="36"/>
          <w:szCs w:val="36"/>
          <w:highlight w:val="none"/>
        </w:rPr>
        <w:t>建设单位（盖章）：</w:t>
      </w:r>
      <w:r>
        <w:rPr>
          <w:rFonts w:hint="default" w:ascii="Times New Roman" w:hAnsi="Times New Roman" w:eastAsia="仿宋_GB2312" w:cs="Times New Roman"/>
          <w:color w:val="auto"/>
          <w:sz w:val="36"/>
          <w:szCs w:val="36"/>
          <w:highlight w:val="none"/>
          <w:u w:val="single"/>
          <w:lang w:eastAsia="zh-CN"/>
        </w:rPr>
        <w:t>淄博锦明陶瓷材料有限公司</w:t>
      </w:r>
    </w:p>
    <w:p w14:paraId="583757DF">
      <w:pPr>
        <w:shd w:val="clea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lang w:val="en-US" w:eastAsia="zh-CN"/>
        </w:rPr>
      </w:pPr>
      <w:r>
        <w:rPr>
          <w:rFonts w:hint="default" w:ascii="Times New Roman" w:hAnsi="Times New Roman" w:eastAsia="仿宋_GB2312" w:cs="Times New Roman"/>
          <w:color w:val="auto"/>
          <w:sz w:val="36"/>
          <w:szCs w:val="36"/>
          <w:highlight w:val="none"/>
        </w:rPr>
        <w:t>编制日期：</w:t>
      </w:r>
      <w:r>
        <w:rPr>
          <w:rFonts w:hint="default" w:ascii="Times New Roman" w:hAnsi="Times New Roman" w:eastAsia="仿宋_GB2312" w:cs="Times New Roman"/>
          <w:color w:val="auto"/>
          <w:sz w:val="36"/>
          <w:szCs w:val="36"/>
          <w:highlight w:val="none"/>
          <w:u w:val="single"/>
        </w:rPr>
        <w:t xml:space="preserve">          </w:t>
      </w:r>
      <w:r>
        <w:rPr>
          <w:rFonts w:hint="default" w:ascii="Times New Roman" w:hAnsi="Times New Roman" w:eastAsia="仿宋_GB2312" w:cs="Times New Roman"/>
          <w:color w:val="auto"/>
          <w:sz w:val="36"/>
          <w:szCs w:val="36"/>
          <w:highlight w:val="none"/>
          <w:u w:val="single"/>
          <w:lang w:val="en-US" w:eastAsia="zh-CN"/>
        </w:rPr>
        <w:t xml:space="preserve">  202</w:t>
      </w:r>
      <w:r>
        <w:rPr>
          <w:rFonts w:hint="eastAsia" w:eastAsia="仿宋_GB2312" w:cs="Times New Roman"/>
          <w:color w:val="auto"/>
          <w:sz w:val="36"/>
          <w:szCs w:val="36"/>
          <w:highlight w:val="none"/>
          <w:u w:val="single"/>
          <w:lang w:val="en-US" w:eastAsia="zh-CN"/>
        </w:rPr>
        <w:t>5</w:t>
      </w:r>
      <w:r>
        <w:rPr>
          <w:rFonts w:hint="default" w:ascii="Times New Roman" w:hAnsi="Times New Roman" w:eastAsia="仿宋_GB2312" w:cs="Times New Roman"/>
          <w:color w:val="auto"/>
          <w:sz w:val="36"/>
          <w:szCs w:val="36"/>
          <w:highlight w:val="none"/>
          <w:u w:val="single"/>
          <w:lang w:val="en-US" w:eastAsia="zh-CN"/>
        </w:rPr>
        <w:t>年</w:t>
      </w:r>
      <w:r>
        <w:rPr>
          <w:rFonts w:hint="eastAsia" w:eastAsia="仿宋_GB2312" w:cs="Times New Roman"/>
          <w:color w:val="auto"/>
          <w:sz w:val="36"/>
          <w:szCs w:val="36"/>
          <w:highlight w:val="none"/>
          <w:u w:val="single"/>
          <w:lang w:val="en-US" w:eastAsia="zh-CN"/>
        </w:rPr>
        <w:t>12</w:t>
      </w:r>
      <w:r>
        <w:rPr>
          <w:rFonts w:hint="default" w:ascii="Times New Roman" w:hAnsi="Times New Roman" w:eastAsia="仿宋_GB2312" w:cs="Times New Roman"/>
          <w:color w:val="auto"/>
          <w:sz w:val="36"/>
          <w:szCs w:val="36"/>
          <w:highlight w:val="none"/>
          <w:u w:val="single"/>
          <w:lang w:val="en-US" w:eastAsia="zh-CN"/>
        </w:rPr>
        <w:t xml:space="preserve">月 </w:t>
      </w:r>
      <w:r>
        <w:rPr>
          <w:rFonts w:hint="default" w:ascii="Times New Roman" w:hAnsi="Times New Roman" w:eastAsia="仿宋_GB2312" w:cs="Times New Roman"/>
          <w:color w:val="auto"/>
          <w:sz w:val="36"/>
          <w:szCs w:val="36"/>
          <w:highlight w:val="none"/>
          <w:u w:val="single"/>
        </w:rPr>
        <w:t xml:space="preserve">        </w:t>
      </w:r>
    </w:p>
    <w:p w14:paraId="381AF690">
      <w:pPr>
        <w:shd w:val="clear"/>
        <w:adjustRightInd w:val="0"/>
        <w:snapToGrid w:val="0"/>
        <w:spacing w:line="288" w:lineRule="auto"/>
        <w:ind w:firstLine="1040"/>
        <w:rPr>
          <w:rFonts w:hint="default" w:ascii="Times New Roman" w:hAnsi="Times New Roman" w:eastAsia="仿宋_GB2312" w:cs="Times New Roman"/>
          <w:color w:val="auto"/>
          <w:sz w:val="36"/>
          <w:szCs w:val="36"/>
          <w:highlight w:val="none"/>
          <w:u w:val="single"/>
        </w:rPr>
      </w:pPr>
      <w:bookmarkStart w:id="0" w:name="_Hlk57884087"/>
    </w:p>
    <w:p w14:paraId="5C6B4C7E">
      <w:pPr>
        <w:shd w:val="clea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18AEF492">
      <w:pPr>
        <w:shd w:val="clea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286AFD49">
      <w:pPr>
        <w:shd w:val="clea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7B189445">
      <w:pPr>
        <w:shd w:val="clea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3E7D070A">
      <w:pPr>
        <w:shd w:val="clea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bookmarkEnd w:id="0"/>
    <w:p w14:paraId="24BF3831">
      <w:pPr>
        <w:shd w:val="clear"/>
        <w:adjustRightInd w:val="0"/>
        <w:snapToGrid w:val="0"/>
        <w:spacing w:line="288" w:lineRule="auto"/>
        <w:jc w:val="center"/>
        <w:rPr>
          <w:rFonts w:hint="default" w:ascii="Times New Roman" w:hAnsi="Times New Roman" w:eastAsia="仿宋_GB2312" w:cs="Times New Roman"/>
          <w:color w:val="auto"/>
          <w:sz w:val="36"/>
          <w:szCs w:val="36"/>
          <w:highlight w:val="none"/>
        </w:rPr>
      </w:pPr>
      <w:r>
        <w:rPr>
          <w:rFonts w:hint="default" w:ascii="Times New Roman" w:hAnsi="Times New Roman" w:eastAsia="楷体_GB2312" w:cs="Times New Roman"/>
          <w:color w:val="auto"/>
          <w:sz w:val="36"/>
          <w:szCs w:val="36"/>
          <w:highlight w:val="none"/>
        </w:rPr>
        <w:t>中华人民共和国生态环境部制</w:t>
      </w:r>
      <w:r>
        <w:rPr>
          <w:rFonts w:hint="default" w:ascii="Times New Roman" w:hAnsi="Times New Roman" w:eastAsia="仿宋_GB2312" w:cs="Times New Roman"/>
          <w:color w:val="auto"/>
          <w:sz w:val="36"/>
          <w:szCs w:val="36"/>
          <w:highlight w:val="none"/>
        </w:rPr>
        <w:br w:type="page"/>
      </w:r>
    </w:p>
    <w:p w14:paraId="3B7222D7">
      <w:pPr>
        <w:pStyle w:val="23"/>
        <w:shd w:val="clear"/>
        <w:rPr>
          <w:rFonts w:hint="default" w:ascii="Times New Roman" w:hAnsi="Times New Roman" w:cs="Times New Roman"/>
          <w:color w:val="auto"/>
          <w:highlight w:val="none"/>
        </w:rPr>
      </w:pPr>
    </w:p>
    <w:p w14:paraId="5472C78F">
      <w:pPr>
        <w:shd w:val="clear"/>
        <w:rPr>
          <w:rFonts w:hint="default" w:ascii="Times New Roman" w:hAnsi="Times New Roman" w:cs="Times New Roman"/>
          <w:color w:val="auto"/>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p>
    <w:p w14:paraId="640C9508">
      <w:pPr>
        <w:pStyle w:val="21"/>
        <w:shd w:val="clear"/>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一、建设项目基本情况</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49"/>
        <w:gridCol w:w="2083"/>
        <w:gridCol w:w="1733"/>
        <w:gridCol w:w="3505"/>
      </w:tblGrid>
      <w:tr w14:paraId="1C8D6C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9" w:type="dxa"/>
            <w:noWrap w:val="0"/>
            <w:tcMar>
              <w:top w:w="16" w:type="dxa"/>
              <w:left w:w="16" w:type="dxa"/>
              <w:right w:w="16" w:type="dxa"/>
            </w:tcMar>
            <w:vAlign w:val="center"/>
          </w:tcPr>
          <w:p w14:paraId="713B35C8">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建设项目名称</w:t>
            </w:r>
          </w:p>
        </w:tc>
        <w:tc>
          <w:tcPr>
            <w:tcW w:w="7321" w:type="dxa"/>
            <w:gridSpan w:val="3"/>
            <w:noWrap w:val="0"/>
            <w:vAlign w:val="center"/>
          </w:tcPr>
          <w:p w14:paraId="62F9AD7F">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淄博锦明陶瓷材料有限公司年产500吨铝铁红技改项目</w:t>
            </w:r>
          </w:p>
        </w:tc>
      </w:tr>
      <w:tr w14:paraId="5EEA8F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9" w:type="dxa"/>
            <w:noWrap w:val="0"/>
            <w:tcMar>
              <w:top w:w="16" w:type="dxa"/>
              <w:left w:w="16" w:type="dxa"/>
              <w:right w:w="16" w:type="dxa"/>
            </w:tcMar>
            <w:vAlign w:val="center"/>
          </w:tcPr>
          <w:p w14:paraId="37943DA4">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项目代码</w:t>
            </w:r>
          </w:p>
        </w:tc>
        <w:tc>
          <w:tcPr>
            <w:tcW w:w="7321" w:type="dxa"/>
            <w:gridSpan w:val="3"/>
            <w:noWrap w:val="0"/>
            <w:vAlign w:val="center"/>
          </w:tcPr>
          <w:p w14:paraId="57DF3CFC">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2307-370302-89-02-804329</w:t>
            </w:r>
          </w:p>
        </w:tc>
      </w:tr>
      <w:tr w14:paraId="5DBF1B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8" w:hRule="atLeast"/>
          <w:jc w:val="center"/>
        </w:trPr>
        <w:tc>
          <w:tcPr>
            <w:tcW w:w="1549" w:type="dxa"/>
            <w:noWrap w:val="0"/>
            <w:tcMar>
              <w:top w:w="16" w:type="dxa"/>
              <w:left w:w="16" w:type="dxa"/>
              <w:right w:w="16" w:type="dxa"/>
            </w:tcMar>
            <w:vAlign w:val="center"/>
          </w:tcPr>
          <w:p w14:paraId="536FB269">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建设单位联系人</w:t>
            </w:r>
          </w:p>
        </w:tc>
        <w:tc>
          <w:tcPr>
            <w:tcW w:w="2083" w:type="dxa"/>
            <w:noWrap w:val="0"/>
            <w:vAlign w:val="center"/>
          </w:tcPr>
          <w:p w14:paraId="74956418">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文泽杰</w:t>
            </w:r>
          </w:p>
        </w:tc>
        <w:tc>
          <w:tcPr>
            <w:tcW w:w="1733" w:type="dxa"/>
            <w:noWrap w:val="0"/>
            <w:vAlign w:val="center"/>
          </w:tcPr>
          <w:p w14:paraId="625A1B1C">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3505" w:type="dxa"/>
            <w:noWrap w:val="0"/>
            <w:vAlign w:val="center"/>
          </w:tcPr>
          <w:p w14:paraId="3C1FFA91">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val="en-US" w:eastAsia="zh-CN"/>
              </w:rPr>
            </w:pPr>
          </w:p>
        </w:tc>
      </w:tr>
      <w:tr w14:paraId="1A5856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9" w:type="dxa"/>
            <w:noWrap w:val="0"/>
            <w:tcMar>
              <w:top w:w="16" w:type="dxa"/>
              <w:left w:w="16" w:type="dxa"/>
              <w:right w:w="16" w:type="dxa"/>
            </w:tcMar>
            <w:vAlign w:val="center"/>
          </w:tcPr>
          <w:p w14:paraId="23AC78AC">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建设地点</w:t>
            </w:r>
          </w:p>
        </w:tc>
        <w:tc>
          <w:tcPr>
            <w:tcW w:w="7321" w:type="dxa"/>
            <w:gridSpan w:val="3"/>
            <w:noWrap w:val="0"/>
            <w:vAlign w:val="center"/>
          </w:tcPr>
          <w:p w14:paraId="703E59DB">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淄博市淄川区西外环路将军路街道办事处河洼工业园北首（锦明陶瓷现有厂区内）</w:t>
            </w:r>
          </w:p>
        </w:tc>
      </w:tr>
      <w:tr w14:paraId="07B005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9" w:type="dxa"/>
            <w:noWrap w:val="0"/>
            <w:tcMar>
              <w:top w:w="16" w:type="dxa"/>
              <w:left w:w="16" w:type="dxa"/>
              <w:right w:w="16" w:type="dxa"/>
            </w:tcMar>
            <w:vAlign w:val="center"/>
          </w:tcPr>
          <w:p w14:paraId="07AA65F5">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地理坐标</w:t>
            </w:r>
          </w:p>
        </w:tc>
        <w:tc>
          <w:tcPr>
            <w:tcW w:w="7321" w:type="dxa"/>
            <w:gridSpan w:val="3"/>
            <w:noWrap w:val="0"/>
            <w:vAlign w:val="center"/>
          </w:tcPr>
          <w:p w14:paraId="0F933EE1">
            <w:pPr>
              <w:keepNext w:val="0"/>
              <w:keepLines w:val="0"/>
              <w:pageBreakBefore w:val="0"/>
              <w:widowControl w:val="0"/>
              <w:shd w:val="clear"/>
              <w:kinsoku/>
              <w:wordWrap/>
              <w:overflowPunct/>
              <w:topLinePunct w:val="0"/>
              <w:bidi w:val="0"/>
              <w:spacing w:line="240" w:lineRule="auto"/>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u w:val="single"/>
                <w:lang w:val="en-US" w:eastAsia="zh-CN"/>
              </w:rPr>
              <w:t>117</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度</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u w:val="single"/>
                <w:lang w:val="en-US" w:eastAsia="zh-CN"/>
              </w:rPr>
              <w:t>55</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分</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u w:val="single"/>
                <w:lang w:val="en-US" w:eastAsia="zh-CN"/>
              </w:rPr>
              <w:t>42.229</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秒，</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u w:val="single"/>
                <w:lang w:val="en-US" w:eastAsia="zh-CN"/>
              </w:rPr>
              <w:t>36</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度</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u w:val="single"/>
                <w:lang w:val="en-US" w:eastAsia="zh-CN"/>
              </w:rPr>
              <w:t>37</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分</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u w:val="single"/>
                <w:lang w:val="en-US" w:eastAsia="zh-CN"/>
              </w:rPr>
              <w:t>57.257</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秒）</w:t>
            </w:r>
          </w:p>
        </w:tc>
      </w:tr>
      <w:tr w14:paraId="30EEEE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549" w:type="dxa"/>
            <w:noWrap w:val="0"/>
            <w:tcMar>
              <w:top w:w="16" w:type="dxa"/>
              <w:left w:w="16" w:type="dxa"/>
              <w:right w:w="16" w:type="dxa"/>
            </w:tcMar>
            <w:vAlign w:val="center"/>
          </w:tcPr>
          <w:p w14:paraId="34F62D40">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国民经济</w:t>
            </w:r>
          </w:p>
          <w:p w14:paraId="0E82B62B">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行业类别</w:t>
            </w:r>
          </w:p>
        </w:tc>
        <w:tc>
          <w:tcPr>
            <w:tcW w:w="2083" w:type="dxa"/>
            <w:noWrap w:val="0"/>
            <w:vAlign w:val="center"/>
          </w:tcPr>
          <w:p w14:paraId="057DDE32">
            <w:pPr>
              <w:keepNext w:val="0"/>
              <w:keepLines w:val="0"/>
              <w:pageBreakBefore w:val="0"/>
              <w:widowControl w:val="0"/>
              <w:shd w:val="clear"/>
              <w:kinsoku/>
              <w:wordWrap/>
              <w:overflowPunct/>
              <w:topLinePunct w:val="0"/>
              <w:bidi w:val="0"/>
              <w:adjustRightInd w:val="0"/>
              <w:snapToGrid w:val="0"/>
              <w:spacing w:line="240" w:lineRule="auto"/>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C2642油墨及类似产品制造行业</w:t>
            </w:r>
          </w:p>
        </w:tc>
        <w:tc>
          <w:tcPr>
            <w:tcW w:w="1733" w:type="dxa"/>
            <w:noWrap w:val="0"/>
            <w:vAlign w:val="center"/>
          </w:tcPr>
          <w:p w14:paraId="3CE0E46F">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bookmarkStart w:id="1" w:name="_Hlk49843745"/>
            <w:r>
              <w:rPr>
                <w:rFonts w:hint="default" w:ascii="Times New Roman" w:hAnsi="Times New Roman" w:cs="Times New Roman"/>
                <w:b/>
                <w:bCs/>
                <w:color w:val="auto"/>
                <w:sz w:val="24"/>
                <w:szCs w:val="24"/>
                <w:highlight w:val="none"/>
              </w:rPr>
              <w:t>建设项目</w:t>
            </w:r>
          </w:p>
          <w:p w14:paraId="185517D0">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行业类别</w:t>
            </w:r>
            <w:bookmarkEnd w:id="1"/>
          </w:p>
        </w:tc>
        <w:tc>
          <w:tcPr>
            <w:tcW w:w="3505" w:type="dxa"/>
            <w:noWrap w:val="0"/>
            <w:vAlign w:val="center"/>
          </w:tcPr>
          <w:p w14:paraId="0BA70D0C">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 xml:space="preserve">二十三、化学原料和化学制品制造业26；涂料、油墨、颜料及类似产品制造264；单纯物理分离、物理提纯、混合、分装 </w:t>
            </w:r>
          </w:p>
        </w:tc>
      </w:tr>
      <w:tr w14:paraId="7C19C1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549" w:type="dxa"/>
            <w:noWrap w:val="0"/>
            <w:tcMar>
              <w:top w:w="16" w:type="dxa"/>
              <w:left w:w="16" w:type="dxa"/>
              <w:right w:w="16" w:type="dxa"/>
            </w:tcMar>
            <w:vAlign w:val="center"/>
          </w:tcPr>
          <w:p w14:paraId="5F7F3F94">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建设性质</w:t>
            </w:r>
          </w:p>
        </w:tc>
        <w:tc>
          <w:tcPr>
            <w:tcW w:w="2083" w:type="dxa"/>
            <w:noWrap w:val="0"/>
            <w:vAlign w:val="center"/>
          </w:tcPr>
          <w:p w14:paraId="6CF50696">
            <w:pPr>
              <w:keepNext w:val="0"/>
              <w:keepLines w:val="0"/>
              <w:pageBreakBefore w:val="0"/>
              <w:widowControl w:val="0"/>
              <w:shd w:val="clear"/>
              <w:kinsoku/>
              <w:wordWrap/>
              <w:overflowPunct/>
              <w:topLinePunct w:val="0"/>
              <w:bidi w:val="0"/>
              <w:spacing w:line="240" w:lineRule="auto"/>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新建（迁建）</w:t>
            </w:r>
          </w:p>
          <w:p w14:paraId="68E77B06">
            <w:pPr>
              <w:keepNext w:val="0"/>
              <w:keepLines w:val="0"/>
              <w:pageBreakBefore w:val="0"/>
              <w:widowControl w:val="0"/>
              <w:shd w:val="clear"/>
              <w:kinsoku/>
              <w:wordWrap/>
              <w:overflowPunct/>
              <w:topLinePunct w:val="0"/>
              <w:bidi w:val="0"/>
              <w:spacing w:line="240" w:lineRule="auto"/>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改建</w:t>
            </w:r>
          </w:p>
          <w:p w14:paraId="269E054E">
            <w:pPr>
              <w:keepNext w:val="0"/>
              <w:keepLines w:val="0"/>
              <w:pageBreakBefore w:val="0"/>
              <w:widowControl w:val="0"/>
              <w:shd w:val="clear"/>
              <w:kinsoku/>
              <w:wordWrap/>
              <w:overflowPunct/>
              <w:topLinePunct w:val="0"/>
              <w:bidi w:val="0"/>
              <w:spacing w:line="240" w:lineRule="auto"/>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扩建</w:t>
            </w:r>
          </w:p>
          <w:p w14:paraId="68C3BFE0">
            <w:pPr>
              <w:keepNext w:val="0"/>
              <w:keepLines w:val="0"/>
              <w:pageBreakBefore w:val="0"/>
              <w:widowControl w:val="0"/>
              <w:shd w:val="clear"/>
              <w:kinsoku/>
              <w:wordWrap/>
              <w:overflowPunct/>
              <w:topLinePunct w:val="0"/>
              <w:bidi w:val="0"/>
              <w:spacing w:line="240" w:lineRule="auto"/>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技术改造</w:t>
            </w:r>
          </w:p>
        </w:tc>
        <w:tc>
          <w:tcPr>
            <w:tcW w:w="1733" w:type="dxa"/>
            <w:noWrap w:val="0"/>
            <w:vAlign w:val="center"/>
          </w:tcPr>
          <w:p w14:paraId="77A33227">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建设项目</w:t>
            </w:r>
          </w:p>
          <w:p w14:paraId="3BA505B0">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申报情形</w:t>
            </w:r>
          </w:p>
        </w:tc>
        <w:tc>
          <w:tcPr>
            <w:tcW w:w="3505" w:type="dxa"/>
            <w:noWrap w:val="0"/>
            <w:vAlign w:val="center"/>
          </w:tcPr>
          <w:p w14:paraId="17B21686">
            <w:pPr>
              <w:keepNext w:val="0"/>
              <w:keepLines w:val="0"/>
              <w:pageBreakBefore w:val="0"/>
              <w:widowControl w:val="0"/>
              <w:shd w:val="clear"/>
              <w:kinsoku/>
              <w:wordWrap/>
              <w:overflowPunct/>
              <w:topLinePunct w:val="0"/>
              <w:bidi w:val="0"/>
              <w:spacing w:line="240" w:lineRule="auto"/>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首次申报项目</w:t>
            </w:r>
          </w:p>
          <w:p w14:paraId="1B9BCF2F">
            <w:pPr>
              <w:keepNext w:val="0"/>
              <w:keepLines w:val="0"/>
              <w:pageBreakBefore w:val="0"/>
              <w:widowControl w:val="0"/>
              <w:shd w:val="clear"/>
              <w:kinsoku/>
              <w:wordWrap/>
              <w:overflowPunct/>
              <w:topLinePunct w:val="0"/>
              <w:bidi w:val="0"/>
              <w:spacing w:line="240" w:lineRule="auto"/>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不予批准后再次申报项目</w:t>
            </w:r>
          </w:p>
          <w:p w14:paraId="2A2D947D">
            <w:pPr>
              <w:keepNext w:val="0"/>
              <w:keepLines w:val="0"/>
              <w:pageBreakBefore w:val="0"/>
              <w:widowControl w:val="0"/>
              <w:shd w:val="clear"/>
              <w:kinsoku/>
              <w:wordWrap/>
              <w:overflowPunct/>
              <w:topLinePunct w:val="0"/>
              <w:bidi w:val="0"/>
              <w:spacing w:line="240" w:lineRule="auto"/>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超五年重新审核项目</w:t>
            </w:r>
          </w:p>
          <w:p w14:paraId="258450AC">
            <w:pPr>
              <w:keepNext w:val="0"/>
              <w:keepLines w:val="0"/>
              <w:pageBreakBefore w:val="0"/>
              <w:widowControl w:val="0"/>
              <w:shd w:val="clear"/>
              <w:kinsoku/>
              <w:wordWrap/>
              <w:overflowPunct/>
              <w:topLinePunct w:val="0"/>
              <w:bidi w:val="0"/>
              <w:spacing w:line="240" w:lineRule="auto"/>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重大变动重新报批项目</w:t>
            </w:r>
          </w:p>
        </w:tc>
      </w:tr>
      <w:tr w14:paraId="238D77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39" w:hRule="atLeast"/>
          <w:jc w:val="center"/>
        </w:trPr>
        <w:tc>
          <w:tcPr>
            <w:tcW w:w="1549" w:type="dxa"/>
            <w:noWrap w:val="0"/>
            <w:tcMar>
              <w:top w:w="16" w:type="dxa"/>
              <w:left w:w="16" w:type="dxa"/>
              <w:right w:w="16" w:type="dxa"/>
            </w:tcMar>
            <w:vAlign w:val="center"/>
          </w:tcPr>
          <w:p w14:paraId="0464AB33">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项目备案部门</w:t>
            </w:r>
          </w:p>
        </w:tc>
        <w:tc>
          <w:tcPr>
            <w:tcW w:w="2083" w:type="dxa"/>
            <w:noWrap w:val="0"/>
            <w:vAlign w:val="center"/>
          </w:tcPr>
          <w:p w14:paraId="0A41F566">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淄川区行政审批服务局</w:t>
            </w:r>
          </w:p>
        </w:tc>
        <w:tc>
          <w:tcPr>
            <w:tcW w:w="1733" w:type="dxa"/>
            <w:noWrap w:val="0"/>
            <w:vAlign w:val="center"/>
          </w:tcPr>
          <w:p w14:paraId="6218ABD9">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rPr>
              <w:t>项目备案文号</w:t>
            </w:r>
          </w:p>
        </w:tc>
        <w:tc>
          <w:tcPr>
            <w:tcW w:w="3505" w:type="dxa"/>
            <w:noWrap w:val="0"/>
            <w:vAlign w:val="center"/>
          </w:tcPr>
          <w:p w14:paraId="3DD1D565">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sz w:val="24"/>
                <w:szCs w:val="24"/>
                <w:highlight w:val="none"/>
                <w:lang w:val="en-US" w:eastAsia="zh-CN"/>
              </w:rPr>
              <w:t>2307-370302-89-02-804329</w:t>
            </w:r>
          </w:p>
        </w:tc>
      </w:tr>
      <w:tr w14:paraId="69BD0E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9" w:type="dxa"/>
            <w:noWrap w:val="0"/>
            <w:tcMar>
              <w:top w:w="16" w:type="dxa"/>
              <w:left w:w="16" w:type="dxa"/>
              <w:right w:w="16" w:type="dxa"/>
            </w:tcMar>
            <w:vAlign w:val="center"/>
          </w:tcPr>
          <w:p w14:paraId="2F36F8EA">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总投资（万元）</w:t>
            </w:r>
          </w:p>
        </w:tc>
        <w:tc>
          <w:tcPr>
            <w:tcW w:w="2083" w:type="dxa"/>
            <w:noWrap w:val="0"/>
            <w:vAlign w:val="center"/>
          </w:tcPr>
          <w:p w14:paraId="5893C615">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4200</w:t>
            </w:r>
            <w:r>
              <w:rPr>
                <w:rFonts w:hint="default" w:ascii="Times New Roman" w:hAnsi="Times New Roman" w:cs="Times New Roman"/>
                <w:color w:val="auto"/>
                <w:sz w:val="24"/>
                <w:szCs w:val="24"/>
                <w:highlight w:val="none"/>
                <w:lang w:val="en-US" w:eastAsia="zh-CN"/>
              </w:rPr>
              <w:t>.00</w:t>
            </w:r>
          </w:p>
        </w:tc>
        <w:tc>
          <w:tcPr>
            <w:tcW w:w="1733" w:type="dxa"/>
            <w:noWrap w:val="0"/>
            <w:tcMar>
              <w:top w:w="16" w:type="dxa"/>
              <w:left w:w="16" w:type="dxa"/>
              <w:right w:w="16" w:type="dxa"/>
            </w:tcMar>
            <w:vAlign w:val="center"/>
          </w:tcPr>
          <w:p w14:paraId="58BEA4EE">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环保投资（万元）</w:t>
            </w:r>
          </w:p>
        </w:tc>
        <w:tc>
          <w:tcPr>
            <w:tcW w:w="3505" w:type="dxa"/>
            <w:noWrap w:val="0"/>
            <w:vAlign w:val="center"/>
          </w:tcPr>
          <w:p w14:paraId="23DDD349">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30</w:t>
            </w:r>
          </w:p>
        </w:tc>
      </w:tr>
      <w:tr w14:paraId="0DEE22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49" w:type="dxa"/>
            <w:noWrap w:val="0"/>
            <w:tcMar>
              <w:top w:w="16" w:type="dxa"/>
              <w:left w:w="16" w:type="dxa"/>
              <w:right w:w="16" w:type="dxa"/>
            </w:tcMar>
            <w:vAlign w:val="center"/>
          </w:tcPr>
          <w:p w14:paraId="1C891A68">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环保投资占比（%）</w:t>
            </w:r>
          </w:p>
        </w:tc>
        <w:tc>
          <w:tcPr>
            <w:tcW w:w="2083" w:type="dxa"/>
            <w:noWrap w:val="0"/>
            <w:vAlign w:val="center"/>
          </w:tcPr>
          <w:p w14:paraId="46BE1CBF">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1.43%</w:t>
            </w:r>
          </w:p>
        </w:tc>
        <w:tc>
          <w:tcPr>
            <w:tcW w:w="1733" w:type="dxa"/>
            <w:noWrap w:val="0"/>
            <w:tcMar>
              <w:top w:w="16" w:type="dxa"/>
              <w:left w:w="16" w:type="dxa"/>
              <w:right w:w="16" w:type="dxa"/>
            </w:tcMar>
            <w:vAlign w:val="center"/>
          </w:tcPr>
          <w:p w14:paraId="09A298FE">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施工工期</w:t>
            </w:r>
          </w:p>
        </w:tc>
        <w:tc>
          <w:tcPr>
            <w:tcW w:w="3505" w:type="dxa"/>
            <w:noWrap w:val="0"/>
            <w:vAlign w:val="center"/>
          </w:tcPr>
          <w:p w14:paraId="4ABD3156">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3个月</w:t>
            </w:r>
          </w:p>
        </w:tc>
      </w:tr>
      <w:tr w14:paraId="649975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9" w:type="dxa"/>
            <w:noWrap w:val="0"/>
            <w:tcMar>
              <w:top w:w="16" w:type="dxa"/>
              <w:left w:w="16" w:type="dxa"/>
              <w:right w:w="16" w:type="dxa"/>
            </w:tcMar>
            <w:vAlign w:val="center"/>
          </w:tcPr>
          <w:p w14:paraId="6FC91D27">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是否开工建设</w:t>
            </w:r>
          </w:p>
        </w:tc>
        <w:tc>
          <w:tcPr>
            <w:tcW w:w="2083" w:type="dxa"/>
            <w:noWrap w:val="0"/>
            <w:vAlign w:val="center"/>
          </w:tcPr>
          <w:p w14:paraId="1E26747B">
            <w:pPr>
              <w:keepNext w:val="0"/>
              <w:keepLines w:val="0"/>
              <w:pageBreakBefore w:val="0"/>
              <w:widowControl w:val="0"/>
              <w:shd w:val="clear"/>
              <w:kinsoku/>
              <w:wordWrap/>
              <w:overflowPunct/>
              <w:topLinePunct w:val="0"/>
              <w:bidi w:val="0"/>
              <w:adjustRightInd w:val="0"/>
              <w:snapToGrid w:val="0"/>
              <w:spacing w:line="24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否</w:t>
            </w:r>
          </w:p>
          <w:p w14:paraId="3B896C6B">
            <w:pPr>
              <w:keepNext w:val="0"/>
              <w:keepLines w:val="0"/>
              <w:pageBreakBefore w:val="0"/>
              <w:widowControl w:val="0"/>
              <w:shd w:val="clear"/>
              <w:kinsoku/>
              <w:wordWrap/>
              <w:overflowPunct/>
              <w:topLinePunct w:val="0"/>
              <w:bidi w:val="0"/>
              <w:adjustRightInd w:val="0"/>
              <w:snapToGrid w:val="0"/>
              <w:spacing w:line="24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是：</w:t>
            </w:r>
            <w:r>
              <w:rPr>
                <w:rFonts w:hint="default" w:ascii="Times New Roman" w:hAnsi="Times New Roman" w:cs="Times New Roman"/>
                <w:color w:val="auto"/>
                <w:sz w:val="24"/>
                <w:szCs w:val="24"/>
                <w:highlight w:val="none"/>
                <w:u w:val="single"/>
              </w:rPr>
              <w:t xml:space="preserve">             </w:t>
            </w:r>
          </w:p>
        </w:tc>
        <w:tc>
          <w:tcPr>
            <w:tcW w:w="1733" w:type="dxa"/>
            <w:noWrap w:val="0"/>
            <w:tcMar>
              <w:top w:w="16" w:type="dxa"/>
              <w:left w:w="16" w:type="dxa"/>
              <w:right w:w="16" w:type="dxa"/>
            </w:tcMar>
            <w:vAlign w:val="center"/>
          </w:tcPr>
          <w:p w14:paraId="16D83816">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pacing w:val="-6"/>
                <w:sz w:val="24"/>
                <w:szCs w:val="24"/>
                <w:highlight w:val="none"/>
              </w:rPr>
            </w:pPr>
            <w:r>
              <w:rPr>
                <w:rFonts w:hint="default" w:ascii="Times New Roman" w:hAnsi="Times New Roman" w:cs="Times New Roman"/>
                <w:b/>
                <w:bCs/>
                <w:color w:val="auto"/>
                <w:spacing w:val="-6"/>
                <w:sz w:val="24"/>
                <w:szCs w:val="24"/>
                <w:highlight w:val="none"/>
              </w:rPr>
              <w:t>用地（用海）</w:t>
            </w:r>
          </w:p>
          <w:p w14:paraId="39096BF9">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pacing w:val="-6"/>
                <w:sz w:val="24"/>
                <w:szCs w:val="24"/>
                <w:highlight w:val="none"/>
              </w:rPr>
              <w:t>面积（m</w:t>
            </w:r>
            <w:r>
              <w:rPr>
                <w:rFonts w:hint="default" w:ascii="Times New Roman" w:hAnsi="Times New Roman" w:cs="Times New Roman"/>
                <w:b/>
                <w:bCs/>
                <w:color w:val="auto"/>
                <w:spacing w:val="-6"/>
                <w:sz w:val="24"/>
                <w:szCs w:val="24"/>
                <w:highlight w:val="none"/>
                <w:vertAlign w:val="superscript"/>
              </w:rPr>
              <w:t>2</w:t>
            </w:r>
            <w:r>
              <w:rPr>
                <w:rFonts w:hint="default" w:ascii="Times New Roman" w:hAnsi="Times New Roman" w:cs="Times New Roman"/>
                <w:b/>
                <w:bCs/>
                <w:color w:val="auto"/>
                <w:spacing w:val="-6"/>
                <w:sz w:val="24"/>
                <w:szCs w:val="24"/>
                <w:highlight w:val="none"/>
              </w:rPr>
              <w:t>）</w:t>
            </w:r>
          </w:p>
        </w:tc>
        <w:tc>
          <w:tcPr>
            <w:tcW w:w="3505" w:type="dxa"/>
            <w:noWrap w:val="0"/>
            <w:vAlign w:val="center"/>
          </w:tcPr>
          <w:p w14:paraId="6A7CBA8C">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w:t>
            </w:r>
          </w:p>
        </w:tc>
      </w:tr>
      <w:tr w14:paraId="3D73CE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549" w:type="dxa"/>
            <w:noWrap w:val="0"/>
            <w:vAlign w:val="center"/>
          </w:tcPr>
          <w:p w14:paraId="7774339C">
            <w:pPr>
              <w:keepNext w:val="0"/>
              <w:keepLines w:val="0"/>
              <w:pageBreakBefore w:val="0"/>
              <w:widowControl w:val="0"/>
              <w:shd w:val="clea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专项评价设置情况</w:t>
            </w:r>
          </w:p>
        </w:tc>
        <w:tc>
          <w:tcPr>
            <w:tcW w:w="7321" w:type="dxa"/>
            <w:gridSpan w:val="3"/>
            <w:noWrap w:val="0"/>
            <w:vAlign w:val="center"/>
          </w:tcPr>
          <w:p w14:paraId="6E04F4AC">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表1-1  项目专项评价设置情况一览表</w:t>
            </w:r>
          </w:p>
          <w:tbl>
            <w:tblPr>
              <w:tblStyle w:val="24"/>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78"/>
              <w:gridCol w:w="2799"/>
              <w:gridCol w:w="2269"/>
              <w:gridCol w:w="1055"/>
            </w:tblGrid>
            <w:tr w14:paraId="116910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pct"/>
                  <w:tcBorders>
                    <w:tl2br w:val="nil"/>
                    <w:tr2bl w:val="nil"/>
                  </w:tcBorders>
                  <w:noWrap w:val="0"/>
                  <w:vAlign w:val="center"/>
                </w:tcPr>
                <w:p w14:paraId="25573B1E">
                  <w:pPr>
                    <w:autoSpaceDE w:val="0"/>
                    <w:autoSpaceDN w:val="0"/>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专项评价的类别</w:t>
                  </w:r>
                </w:p>
              </w:tc>
              <w:tc>
                <w:tcPr>
                  <w:tcW w:w="1970" w:type="pct"/>
                  <w:tcBorders>
                    <w:tl2br w:val="nil"/>
                    <w:tr2bl w:val="nil"/>
                  </w:tcBorders>
                  <w:noWrap w:val="0"/>
                  <w:vAlign w:val="center"/>
                </w:tcPr>
                <w:p w14:paraId="61E86488">
                  <w:pPr>
                    <w:autoSpaceDE w:val="0"/>
                    <w:autoSpaceDN w:val="0"/>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设置原则</w:t>
                  </w:r>
                </w:p>
              </w:tc>
              <w:tc>
                <w:tcPr>
                  <w:tcW w:w="1597" w:type="pct"/>
                  <w:tcBorders>
                    <w:tl2br w:val="nil"/>
                    <w:tr2bl w:val="nil"/>
                  </w:tcBorders>
                  <w:noWrap w:val="0"/>
                  <w:vAlign w:val="center"/>
                </w:tcPr>
                <w:p w14:paraId="20CCBFDE">
                  <w:pPr>
                    <w:autoSpaceDE w:val="0"/>
                    <w:autoSpaceDN w:val="0"/>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本项目情况</w:t>
                  </w:r>
                </w:p>
              </w:tc>
              <w:tc>
                <w:tcPr>
                  <w:tcW w:w="742" w:type="pct"/>
                  <w:tcBorders>
                    <w:tl2br w:val="nil"/>
                    <w:tr2bl w:val="nil"/>
                  </w:tcBorders>
                  <w:noWrap w:val="0"/>
                  <w:vAlign w:val="center"/>
                </w:tcPr>
                <w:p w14:paraId="6A0F6585">
                  <w:pPr>
                    <w:autoSpaceDE w:val="0"/>
                    <w:autoSpaceDN w:val="0"/>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是否设</w:t>
                  </w:r>
                </w:p>
                <w:p w14:paraId="24DCB401">
                  <w:pPr>
                    <w:autoSpaceDE w:val="0"/>
                    <w:autoSpaceDN w:val="0"/>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置专项</w:t>
                  </w:r>
                </w:p>
              </w:tc>
            </w:tr>
            <w:tr w14:paraId="1143B2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pct"/>
                  <w:tcBorders>
                    <w:tl2br w:val="nil"/>
                    <w:tr2bl w:val="nil"/>
                  </w:tcBorders>
                  <w:noWrap w:val="0"/>
                  <w:vAlign w:val="center"/>
                </w:tcPr>
                <w:p w14:paraId="39B36D7C">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w:t>
                  </w:r>
                </w:p>
              </w:tc>
              <w:tc>
                <w:tcPr>
                  <w:tcW w:w="1970" w:type="pct"/>
                  <w:tcBorders>
                    <w:tl2br w:val="nil"/>
                    <w:tr2bl w:val="nil"/>
                  </w:tcBorders>
                  <w:noWrap w:val="0"/>
                  <w:vAlign w:val="center"/>
                </w:tcPr>
                <w:p w14:paraId="1878454D">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排放废气含有有毒有害污染物、二噁英、苯并[a]芘、氰化物、氯气且厂界外500米范围内有环境空气保护目标的建设项目</w:t>
                  </w:r>
                </w:p>
              </w:tc>
              <w:tc>
                <w:tcPr>
                  <w:tcW w:w="1597" w:type="pct"/>
                  <w:tcBorders>
                    <w:tl2br w:val="nil"/>
                    <w:tr2bl w:val="nil"/>
                  </w:tcBorders>
                  <w:noWrap w:val="0"/>
                  <w:vAlign w:val="center"/>
                </w:tcPr>
                <w:p w14:paraId="20EC5ED9">
                  <w:pPr>
                    <w:autoSpaceDE w:val="0"/>
                    <w:autoSpaceDN w:val="0"/>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rPr>
                    <w:t>本项目排放</w:t>
                  </w:r>
                  <w:r>
                    <w:rPr>
                      <w:rFonts w:hint="default" w:ascii="Times New Roman" w:hAnsi="Times New Roman" w:eastAsia="宋体" w:cs="Times New Roman"/>
                      <w:color w:val="auto"/>
                      <w:sz w:val="21"/>
                      <w:szCs w:val="21"/>
                      <w:highlight w:val="none"/>
                      <w:lang w:val="en-US" w:eastAsia="zh-CN"/>
                    </w:rPr>
                    <w:t>废气</w:t>
                  </w:r>
                  <w:r>
                    <w:rPr>
                      <w:rFonts w:hint="default" w:ascii="Times New Roman" w:hAnsi="Times New Roman" w:eastAsia="宋体" w:cs="Times New Roman"/>
                      <w:color w:val="auto"/>
                      <w:sz w:val="21"/>
                      <w:szCs w:val="21"/>
                      <w:highlight w:val="none"/>
                    </w:rPr>
                    <w:t>中不涉及有毒有害污染物、二噁英、苯并芘、氰化物、氯气</w:t>
                  </w:r>
                </w:p>
              </w:tc>
              <w:tc>
                <w:tcPr>
                  <w:tcW w:w="742" w:type="pct"/>
                  <w:tcBorders>
                    <w:tl2br w:val="nil"/>
                    <w:tr2bl w:val="nil"/>
                  </w:tcBorders>
                  <w:noWrap w:val="0"/>
                  <w:vAlign w:val="center"/>
                </w:tcPr>
                <w:p w14:paraId="797CD365">
                  <w:pPr>
                    <w:autoSpaceDE w:val="0"/>
                    <w:autoSpaceDN w:val="0"/>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否</w:t>
                  </w:r>
                </w:p>
              </w:tc>
            </w:tr>
            <w:tr w14:paraId="12C760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pct"/>
                  <w:tcBorders>
                    <w:tl2br w:val="nil"/>
                    <w:tr2bl w:val="nil"/>
                  </w:tcBorders>
                  <w:noWrap w:val="0"/>
                  <w:vAlign w:val="center"/>
                </w:tcPr>
                <w:p w14:paraId="654091E3">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w:t>
                  </w:r>
                </w:p>
              </w:tc>
              <w:tc>
                <w:tcPr>
                  <w:tcW w:w="1970" w:type="pct"/>
                  <w:tcBorders>
                    <w:tl2br w:val="nil"/>
                    <w:tr2bl w:val="nil"/>
                  </w:tcBorders>
                  <w:noWrap w:val="0"/>
                  <w:vAlign w:val="center"/>
                </w:tcPr>
                <w:p w14:paraId="012F76DC">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新增工业废水直排建设项目（槽罐车外送污水处理厂的除外）；新增废水直排的污水集中处理厂</w:t>
                  </w:r>
                </w:p>
              </w:tc>
              <w:tc>
                <w:tcPr>
                  <w:tcW w:w="1597" w:type="pct"/>
                  <w:tcBorders>
                    <w:tl2br w:val="nil"/>
                    <w:tr2bl w:val="nil"/>
                  </w:tcBorders>
                  <w:noWrap w:val="0"/>
                  <w:vAlign w:val="center"/>
                </w:tcPr>
                <w:p w14:paraId="24DFC99B">
                  <w:pPr>
                    <w:autoSpaceDE w:val="0"/>
                    <w:autoSpaceDN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无生产废水产生</w:t>
                  </w:r>
                </w:p>
              </w:tc>
              <w:tc>
                <w:tcPr>
                  <w:tcW w:w="742" w:type="pct"/>
                  <w:tcBorders>
                    <w:tl2br w:val="nil"/>
                    <w:tr2bl w:val="nil"/>
                  </w:tcBorders>
                  <w:noWrap w:val="0"/>
                  <w:vAlign w:val="center"/>
                </w:tcPr>
                <w:p w14:paraId="224A4BA1">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14:paraId="3B1DA4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pct"/>
                  <w:tcBorders>
                    <w:tl2br w:val="nil"/>
                    <w:tr2bl w:val="nil"/>
                  </w:tcBorders>
                  <w:noWrap w:val="0"/>
                  <w:vAlign w:val="center"/>
                </w:tcPr>
                <w:p w14:paraId="65E47915">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环境风险</w:t>
                  </w:r>
                </w:p>
              </w:tc>
              <w:tc>
                <w:tcPr>
                  <w:tcW w:w="1970" w:type="pct"/>
                  <w:tcBorders>
                    <w:tl2br w:val="nil"/>
                    <w:tr2bl w:val="nil"/>
                  </w:tcBorders>
                  <w:noWrap w:val="0"/>
                  <w:vAlign w:val="center"/>
                </w:tcPr>
                <w:p w14:paraId="123C2CF3">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有毒有害和易燃易爆危险物质存储量超过临界量</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的建设项目</w:t>
                  </w:r>
                </w:p>
              </w:tc>
              <w:tc>
                <w:tcPr>
                  <w:tcW w:w="1597" w:type="pct"/>
                  <w:tcBorders>
                    <w:tl2br w:val="nil"/>
                    <w:tr2bl w:val="nil"/>
                  </w:tcBorders>
                  <w:noWrap w:val="0"/>
                  <w:vAlign w:val="center"/>
                </w:tcPr>
                <w:p w14:paraId="0F146995">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本项目不涉及有毒有害和易燃易爆危险物质</w:t>
                  </w:r>
                </w:p>
              </w:tc>
              <w:tc>
                <w:tcPr>
                  <w:tcW w:w="742" w:type="pct"/>
                  <w:tcBorders>
                    <w:tl2br w:val="nil"/>
                    <w:tr2bl w:val="nil"/>
                  </w:tcBorders>
                  <w:noWrap w:val="0"/>
                  <w:vAlign w:val="center"/>
                </w:tcPr>
                <w:p w14:paraId="3736F4B6">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14:paraId="078229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pct"/>
                  <w:tcBorders>
                    <w:tl2br w:val="nil"/>
                    <w:tr2bl w:val="nil"/>
                  </w:tcBorders>
                  <w:noWrap w:val="0"/>
                  <w:vAlign w:val="center"/>
                </w:tcPr>
                <w:p w14:paraId="6B7DA6B7">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w:t>
                  </w:r>
                </w:p>
              </w:tc>
              <w:tc>
                <w:tcPr>
                  <w:tcW w:w="1970" w:type="pct"/>
                  <w:tcBorders>
                    <w:tl2br w:val="nil"/>
                    <w:tr2bl w:val="nil"/>
                  </w:tcBorders>
                  <w:noWrap w:val="0"/>
                  <w:vAlign w:val="center"/>
                </w:tcPr>
                <w:p w14:paraId="7CA38B41">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取水口下游500米范围内有重要水生生物的自然产卵场、索饵场、越冬场和洄游通道的新增河道取水的污染类建设项目</w:t>
                  </w:r>
                </w:p>
              </w:tc>
              <w:tc>
                <w:tcPr>
                  <w:tcW w:w="1597" w:type="pct"/>
                  <w:tcBorders>
                    <w:tl2br w:val="nil"/>
                    <w:tr2bl w:val="nil"/>
                  </w:tcBorders>
                  <w:noWrap w:val="0"/>
                  <w:vAlign w:val="center"/>
                </w:tcPr>
                <w:p w14:paraId="093F3909">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本项目不属于河道取水的污染类建设项目</w:t>
                  </w:r>
                </w:p>
              </w:tc>
              <w:tc>
                <w:tcPr>
                  <w:tcW w:w="742" w:type="pct"/>
                  <w:tcBorders>
                    <w:tl2br w:val="nil"/>
                    <w:tr2bl w:val="nil"/>
                  </w:tcBorders>
                  <w:noWrap w:val="0"/>
                  <w:vAlign w:val="center"/>
                </w:tcPr>
                <w:p w14:paraId="409CDDD0">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14:paraId="18C2C0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8" w:type="pct"/>
                  <w:tcBorders>
                    <w:tl2br w:val="nil"/>
                    <w:tr2bl w:val="nil"/>
                  </w:tcBorders>
                  <w:noWrap w:val="0"/>
                  <w:vAlign w:val="center"/>
                </w:tcPr>
                <w:p w14:paraId="65159FD9">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海洋</w:t>
                  </w:r>
                </w:p>
              </w:tc>
              <w:tc>
                <w:tcPr>
                  <w:tcW w:w="1970" w:type="pct"/>
                  <w:tcBorders>
                    <w:tl2br w:val="nil"/>
                    <w:tr2bl w:val="nil"/>
                  </w:tcBorders>
                  <w:noWrap w:val="0"/>
                  <w:vAlign w:val="center"/>
                </w:tcPr>
                <w:p w14:paraId="31535557">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直接向海洋排放污染物的海洋工程建设项目</w:t>
                  </w:r>
                </w:p>
              </w:tc>
              <w:tc>
                <w:tcPr>
                  <w:tcW w:w="1597" w:type="pct"/>
                  <w:tcBorders>
                    <w:tl2br w:val="nil"/>
                    <w:tr2bl w:val="nil"/>
                  </w:tcBorders>
                  <w:noWrap w:val="0"/>
                  <w:vAlign w:val="center"/>
                </w:tcPr>
                <w:p w14:paraId="01CB58FD">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本项目不属于海洋工程建设项目</w:t>
                  </w:r>
                </w:p>
              </w:tc>
              <w:tc>
                <w:tcPr>
                  <w:tcW w:w="742" w:type="pct"/>
                  <w:tcBorders>
                    <w:tl2br w:val="nil"/>
                    <w:tr2bl w:val="nil"/>
                  </w:tcBorders>
                  <w:noWrap w:val="0"/>
                  <w:vAlign w:val="center"/>
                </w:tcPr>
                <w:p w14:paraId="0E6304DE">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bl>
          <w:p w14:paraId="2108D03D">
            <w:pPr>
              <w:keepNext w:val="0"/>
              <w:keepLines w:val="0"/>
              <w:pageBreakBefore w:val="0"/>
              <w:widowControl w:val="0"/>
              <w:shd w:val="clear"/>
              <w:kinsoku/>
              <w:wordWrap/>
              <w:overflowPunct/>
              <w:topLinePunct w:val="0"/>
              <w:autoSpaceDE w:val="0"/>
              <w:autoSpaceDN w:val="0"/>
              <w:bidi w:val="0"/>
              <w:adjustRightInd w:val="0"/>
              <w:snapToGrid w:val="0"/>
              <w:spacing w:line="480" w:lineRule="exact"/>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eastAsia="宋体" w:cs="Times New Roman"/>
                <w:b w:val="0"/>
                <w:bCs w:val="0"/>
                <w:color w:val="auto"/>
                <w:sz w:val="24"/>
                <w:szCs w:val="24"/>
                <w:highlight w:val="none"/>
                <w:lang w:val="en-US" w:eastAsia="zh-CN"/>
              </w:rPr>
              <w:t>根据上表，本次环评无需设置专项评价。</w:t>
            </w:r>
          </w:p>
        </w:tc>
      </w:tr>
      <w:tr w14:paraId="198D5E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3" w:hRule="atLeast"/>
          <w:jc w:val="center"/>
        </w:trPr>
        <w:tc>
          <w:tcPr>
            <w:tcW w:w="1549" w:type="dxa"/>
            <w:noWrap w:val="0"/>
            <w:vAlign w:val="center"/>
          </w:tcPr>
          <w:p w14:paraId="4607FD6C">
            <w:pPr>
              <w:keepNext w:val="0"/>
              <w:keepLines w:val="0"/>
              <w:pageBreakBefore w:val="0"/>
              <w:widowControl w:val="0"/>
              <w:shd w:val="clea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规划情况</w:t>
            </w:r>
          </w:p>
        </w:tc>
        <w:tc>
          <w:tcPr>
            <w:tcW w:w="7321" w:type="dxa"/>
            <w:gridSpan w:val="3"/>
            <w:noWrap w:val="0"/>
            <w:vAlign w:val="center"/>
          </w:tcPr>
          <w:p w14:paraId="575DD5EF">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无</w:t>
            </w:r>
          </w:p>
        </w:tc>
      </w:tr>
      <w:tr w14:paraId="74CF8A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49" w:type="dxa"/>
            <w:noWrap w:val="0"/>
            <w:vAlign w:val="center"/>
          </w:tcPr>
          <w:p w14:paraId="679A24C6">
            <w:pPr>
              <w:keepNext w:val="0"/>
              <w:keepLines w:val="0"/>
              <w:pageBreakBefore w:val="0"/>
              <w:widowControl w:val="0"/>
              <w:shd w:val="clear"/>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规划环境影响评价情况</w:t>
            </w:r>
          </w:p>
        </w:tc>
        <w:tc>
          <w:tcPr>
            <w:tcW w:w="7321" w:type="dxa"/>
            <w:gridSpan w:val="3"/>
            <w:noWrap w:val="0"/>
            <w:vAlign w:val="center"/>
          </w:tcPr>
          <w:p w14:paraId="22E3EB75">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无</w:t>
            </w:r>
          </w:p>
        </w:tc>
      </w:tr>
      <w:tr w14:paraId="0B5718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549" w:type="dxa"/>
            <w:noWrap w:val="0"/>
            <w:vAlign w:val="center"/>
          </w:tcPr>
          <w:p w14:paraId="6E4A03FF">
            <w:pPr>
              <w:keepNext w:val="0"/>
              <w:keepLines w:val="0"/>
              <w:pageBreakBefore w:val="0"/>
              <w:widowControl w:val="0"/>
              <w:shd w:val="clea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规划及规划环境影响评价符合性分析</w:t>
            </w:r>
          </w:p>
        </w:tc>
        <w:tc>
          <w:tcPr>
            <w:tcW w:w="7321" w:type="dxa"/>
            <w:gridSpan w:val="3"/>
            <w:noWrap w:val="0"/>
            <w:vAlign w:val="center"/>
          </w:tcPr>
          <w:p w14:paraId="555ADD60">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无</w:t>
            </w:r>
          </w:p>
        </w:tc>
      </w:tr>
      <w:tr w14:paraId="5E4910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549" w:type="dxa"/>
            <w:noWrap w:val="0"/>
            <w:vAlign w:val="center"/>
          </w:tcPr>
          <w:p w14:paraId="0D655500">
            <w:pPr>
              <w:keepNext w:val="0"/>
              <w:keepLines w:val="0"/>
              <w:pageBreakBefore w:val="0"/>
              <w:widowControl w:val="0"/>
              <w:shd w:val="clea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其他符合性分析</w:t>
            </w:r>
          </w:p>
        </w:tc>
        <w:tc>
          <w:tcPr>
            <w:tcW w:w="7321" w:type="dxa"/>
            <w:gridSpan w:val="3"/>
            <w:noWrap w:val="0"/>
            <w:vAlign w:val="center"/>
          </w:tcPr>
          <w:p w14:paraId="2ABD56B0">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1.产业政策符合性分析</w:t>
            </w:r>
          </w:p>
          <w:p w14:paraId="562513A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kern w:val="0"/>
                <w:sz w:val="24"/>
                <w:szCs w:val="24"/>
                <w:highlight w:val="none"/>
                <w:lang w:val="en-US" w:eastAsia="zh-CN"/>
              </w:rPr>
              <w:t>根据</w:t>
            </w:r>
            <w:r>
              <w:rPr>
                <w:rFonts w:hint="default" w:ascii="Times New Roman" w:hAnsi="Times New Roman" w:eastAsia="宋体" w:cs="Times New Roman"/>
                <w:color w:val="auto"/>
                <w:sz w:val="24"/>
                <w:szCs w:val="24"/>
              </w:rPr>
              <w:t>中华人民共和国国家发展和改革委员会</w:t>
            </w:r>
            <w:r>
              <w:rPr>
                <w:rFonts w:hint="default" w:ascii="Times New Roman" w:hAnsi="Times New Roman" w:cs="Times New Roman"/>
                <w:color w:val="auto"/>
                <w:kern w:val="0"/>
                <w:sz w:val="24"/>
                <w:szCs w:val="24"/>
                <w:highlight w:val="none"/>
                <w:lang w:val="en-US" w:eastAsia="zh-CN"/>
              </w:rPr>
              <w:t>《产业结构调整指导目录（2024年本）》，本项目为陶瓷墨水制造，属于《产业结构调整指导目录（2024年本）》第一类鼓励类，十二建材，10.陶瓷墨水材料，属鼓励建设项目。</w:t>
            </w:r>
            <w:r>
              <w:rPr>
                <w:rFonts w:hint="default" w:ascii="Times New Roman" w:hAnsi="Times New Roman" w:cs="Times New Roman"/>
                <w:color w:val="auto"/>
                <w:sz w:val="24"/>
                <w:szCs w:val="24"/>
              </w:rPr>
              <w:t>项目不在</w:t>
            </w:r>
            <w:r>
              <w:rPr>
                <w:rFonts w:hint="default" w:ascii="Times New Roman" w:hAnsi="Times New Roman" w:eastAsia="宋体" w:cs="Times New Roman"/>
                <w:color w:val="auto"/>
                <w:sz w:val="24"/>
                <w:szCs w:val="24"/>
                <w:highlight w:val="none"/>
              </w:rPr>
              <w:t>《自然资源要素支撑产业高质量发展指导目录(2024年本)》(自然资发[2024］273号)</w:t>
            </w:r>
            <w:r>
              <w:rPr>
                <w:rFonts w:hint="default" w:ascii="Times New Roman" w:hAnsi="Times New Roman" w:cs="Times New Roman"/>
                <w:color w:val="auto"/>
                <w:sz w:val="24"/>
                <w:szCs w:val="24"/>
              </w:rPr>
              <w:t>的限制、禁止用地项目目录之列；且项目工艺装备和产品不在《部分工业行业淘汰落后生产工艺装备和产品</w:t>
            </w:r>
            <w:r>
              <w:rPr>
                <w:rFonts w:hint="default" w:ascii="Times New Roman" w:hAnsi="Times New Roman" w:eastAsia="宋体" w:cs="Times New Roman"/>
                <w:color w:val="auto"/>
                <w:sz w:val="24"/>
                <w:szCs w:val="24"/>
              </w:rPr>
              <w:t>指导目录（2010年本）》之列</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因此，本项目符合国家产业政策</w:t>
            </w:r>
            <w:r>
              <w:rPr>
                <w:rFonts w:hint="default" w:ascii="Times New Roman" w:hAnsi="Times New Roman" w:eastAsia="宋体" w:cs="Times New Roman"/>
                <w:color w:val="auto"/>
                <w:sz w:val="24"/>
                <w:szCs w:val="24"/>
                <w:lang w:eastAsia="zh-CN"/>
              </w:rPr>
              <w:t>。</w:t>
            </w:r>
          </w:p>
          <w:p w14:paraId="687B161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项目所用设备、生产工艺不属于淄博市《全市重点淘汰的落后工艺技术、装备及产品目录》中落后的工艺技术、装备及产品项目，不属于淄博市人民政府办公厅发布的《关于印发淄博市产业结构调整指导意见和指导目录的通知》（淄政办发【2011】35号）中鼓励类、限制类和淘汰类之列，故本项目属允许</w:t>
            </w:r>
            <w:r>
              <w:rPr>
                <w:rFonts w:hint="default" w:ascii="Times New Roman" w:hAnsi="Times New Roman" w:eastAsia="宋体" w:cs="Times New Roman"/>
                <w:color w:val="auto"/>
                <w:sz w:val="24"/>
                <w:szCs w:val="24"/>
                <w:lang w:val="en-US" w:eastAsia="zh-CN"/>
              </w:rPr>
              <w:t>建设</w:t>
            </w:r>
            <w:r>
              <w:rPr>
                <w:rFonts w:hint="default" w:ascii="Times New Roman" w:hAnsi="Times New Roman" w:eastAsia="宋体" w:cs="Times New Roman"/>
                <w:color w:val="auto"/>
                <w:sz w:val="24"/>
                <w:szCs w:val="24"/>
                <w:lang w:eastAsia="zh-CN"/>
              </w:rPr>
              <w:t>项目。本项目已于山东省投资项目在线审批监管平台登记备案，项目代码为</w:t>
            </w:r>
            <w:r>
              <w:rPr>
                <w:rFonts w:hint="default" w:ascii="Times New Roman" w:hAnsi="Times New Roman" w:eastAsia="宋体" w:cs="Times New Roman"/>
                <w:color w:val="auto"/>
                <w:sz w:val="24"/>
                <w:szCs w:val="24"/>
                <w:lang w:val="en-US" w:eastAsia="zh-CN"/>
              </w:rPr>
              <w:t>2307-370302-89-02-804329</w:t>
            </w:r>
            <w:r>
              <w:rPr>
                <w:rFonts w:hint="default" w:ascii="Times New Roman" w:hAnsi="Times New Roman" w:eastAsia="宋体" w:cs="Times New Roman"/>
                <w:color w:val="auto"/>
                <w:sz w:val="24"/>
                <w:szCs w:val="24"/>
                <w:lang w:eastAsia="zh-CN"/>
              </w:rPr>
              <w:t>。</w:t>
            </w:r>
          </w:p>
          <w:p w14:paraId="0C72583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综上，本项目建设符合国家及淄博市的产业政策。</w:t>
            </w:r>
          </w:p>
          <w:p w14:paraId="08B554B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用地</w:t>
            </w:r>
            <w:r>
              <w:rPr>
                <w:rFonts w:hint="default" w:ascii="Times New Roman" w:hAnsi="Times New Roman" w:eastAsia="宋体" w:cs="Times New Roman"/>
                <w:b/>
                <w:bCs/>
                <w:color w:val="auto"/>
                <w:sz w:val="24"/>
                <w:szCs w:val="24"/>
              </w:rPr>
              <w:t>符合性分析</w:t>
            </w:r>
          </w:p>
          <w:p w14:paraId="5FBEF47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rPr>
              <w:t>本项目建设地点位于</w:t>
            </w:r>
            <w:r>
              <w:rPr>
                <w:rFonts w:hint="default" w:ascii="Times New Roman" w:hAnsi="Times New Roman" w:eastAsia="宋体" w:cs="Times New Roman"/>
                <w:color w:val="auto"/>
                <w:sz w:val="24"/>
                <w:szCs w:val="24"/>
                <w:lang w:val="en-US" w:eastAsia="zh-CN"/>
              </w:rPr>
              <w:t>淄博市淄川区西外环路将军路街道办事处河洼工业园北首（锦明陶瓷现有厂区内），项目</w:t>
            </w:r>
            <w:r>
              <w:rPr>
                <w:rFonts w:hint="default" w:ascii="Times New Roman" w:hAnsi="Times New Roman" w:cs="Times New Roman"/>
                <w:color w:val="auto"/>
                <w:sz w:val="24"/>
                <w:szCs w:val="24"/>
                <w:lang w:val="en-US" w:eastAsia="zh-CN"/>
              </w:rPr>
              <w:t>南侧、北侧为空闲地、西侧、东侧为其他企业</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根据</w:t>
            </w:r>
            <w:r>
              <w:rPr>
                <w:rFonts w:hint="default" w:ascii="Times New Roman" w:hAnsi="Times New Roman" w:cs="Times New Roman"/>
                <w:color w:val="auto"/>
                <w:sz w:val="24"/>
                <w:szCs w:val="24"/>
                <w:lang w:val="en-US" w:eastAsia="zh-CN"/>
              </w:rPr>
              <w:t>2024年5月16日淄博市淄川区自然资源局出具的《土地查询情况说明》（详见附件</w:t>
            </w:r>
            <w:r>
              <w:rPr>
                <w:rFonts w:hint="eastAsia" w:cs="Times New Roman"/>
                <w:color w:val="auto"/>
                <w:sz w:val="24"/>
                <w:szCs w:val="24"/>
                <w:lang w:val="en-US" w:eastAsia="zh-CN"/>
              </w:rPr>
              <w:t>8</w:t>
            </w:r>
            <w:r>
              <w:rPr>
                <w:rFonts w:hint="default" w:ascii="Times New Roman" w:hAnsi="Times New Roman"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，项目厂区土地利用类型为工业用地</w:t>
            </w:r>
            <w:r>
              <w:rPr>
                <w:rFonts w:hint="default" w:ascii="Times New Roman" w:hAnsi="Times New Roman" w:eastAsia="宋体" w:cs="Times New Roman"/>
                <w:color w:val="auto"/>
                <w:sz w:val="24"/>
                <w:szCs w:val="24"/>
                <w:highlight w:val="none"/>
              </w:rPr>
              <w:t>，本项目用地不属于限制用地和禁止用地范</w:t>
            </w:r>
            <w:r>
              <w:rPr>
                <w:rFonts w:hint="default" w:ascii="Times New Roman" w:hAnsi="Times New Roman" w:eastAsia="宋体" w:cs="Times New Roman"/>
                <w:color w:val="auto"/>
                <w:sz w:val="24"/>
                <w:szCs w:val="24"/>
                <w:highlight w:val="none"/>
                <w:lang w:eastAsia="zh-CN"/>
              </w:rPr>
              <w:t>围，不处于饮用水水源保护区及自然保护区、风景名胜区等环境敏感地区。</w:t>
            </w:r>
          </w:p>
          <w:p w14:paraId="69690B9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综上所述，本次技改项目选址是合理的。</w:t>
            </w:r>
          </w:p>
          <w:p w14:paraId="73044D86">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eastAsia" w:cs="Times New Roman"/>
                <w:b/>
                <w:bCs/>
                <w:color w:val="auto"/>
                <w:kern w:val="0"/>
                <w:sz w:val="24"/>
                <w:szCs w:val="24"/>
                <w:highlight w:val="none"/>
                <w:lang w:val="en-US" w:eastAsia="zh-CN"/>
              </w:rPr>
              <w:t>3.与淄博市国土空间总体规划符合性分析</w:t>
            </w:r>
          </w:p>
          <w:p w14:paraId="79984615">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w:t>
            </w:r>
            <w:r>
              <w:rPr>
                <w:rFonts w:hint="eastAsia" w:ascii="Times New Roman" w:hAnsi="Times New Roman" w:eastAsia="宋体" w:cs="Times New Roman"/>
                <w:b w:val="0"/>
                <w:bCs w:val="0"/>
                <w:color w:val="auto"/>
                <w:sz w:val="24"/>
                <w:szCs w:val="24"/>
                <w:highlight w:val="none"/>
                <w:lang w:val="en-US" w:eastAsia="zh-CN"/>
              </w:rPr>
              <w:t>据《</w:t>
            </w:r>
            <w:r>
              <w:rPr>
                <w:rFonts w:hint="default" w:ascii="Times New Roman" w:hAnsi="Times New Roman" w:eastAsia="宋体" w:cs="Times New Roman"/>
                <w:b w:val="0"/>
                <w:bCs w:val="0"/>
                <w:color w:val="auto"/>
                <w:kern w:val="0"/>
                <w:sz w:val="24"/>
                <w:szCs w:val="24"/>
                <w:highlight w:val="none"/>
                <w:lang w:val="en-US" w:eastAsia="zh-CN" w:bidi="ar"/>
              </w:rPr>
              <w:t>淄博市</w:t>
            </w:r>
            <w:r>
              <w:rPr>
                <w:rFonts w:hint="eastAsia" w:ascii="Times New Roman" w:hAnsi="Times New Roman" w:eastAsia="宋体" w:cs="Times New Roman"/>
                <w:b w:val="0"/>
                <w:bCs w:val="0"/>
                <w:color w:val="auto"/>
                <w:kern w:val="0"/>
                <w:sz w:val="24"/>
                <w:szCs w:val="24"/>
                <w:highlight w:val="none"/>
                <w:lang w:val="en-US" w:eastAsia="zh-CN" w:bidi="ar"/>
              </w:rPr>
              <w:t>国土空间总体规划（2021-2035年）—市域国土空间规划线规划图</w:t>
            </w:r>
            <w:r>
              <w:rPr>
                <w:rFonts w:hint="eastAsia"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可知，</w:t>
            </w:r>
            <w:r>
              <w:rPr>
                <w:rFonts w:hint="default" w:ascii="Times New Roman" w:hAnsi="Times New Roman" w:cs="Times New Roman"/>
                <w:color w:val="auto"/>
                <w:kern w:val="0"/>
                <w:sz w:val="24"/>
                <w:szCs w:val="24"/>
                <w:highlight w:val="none"/>
                <w:lang w:val="en-US" w:eastAsia="zh-CN"/>
              </w:rPr>
              <w:t>本项目</w:t>
            </w:r>
            <w:r>
              <w:rPr>
                <w:rFonts w:hint="eastAsia" w:cs="Times New Roman"/>
                <w:color w:val="auto"/>
                <w:kern w:val="0"/>
                <w:sz w:val="24"/>
                <w:szCs w:val="24"/>
                <w:highlight w:val="none"/>
                <w:lang w:val="en-US" w:eastAsia="zh-CN"/>
              </w:rPr>
              <w:t>为厂区内技改项目，</w:t>
            </w:r>
            <w:r>
              <w:rPr>
                <w:rFonts w:hint="default" w:ascii="Times New Roman" w:hAnsi="Times New Roman" w:cs="Times New Roman"/>
                <w:color w:val="auto"/>
                <w:kern w:val="0"/>
                <w:sz w:val="24"/>
                <w:szCs w:val="24"/>
                <w:highlight w:val="none"/>
                <w:lang w:val="en-US" w:eastAsia="zh-CN"/>
              </w:rPr>
              <w:t>所在区域</w:t>
            </w:r>
            <w:r>
              <w:rPr>
                <w:rFonts w:hint="eastAsia" w:cs="Times New Roman"/>
                <w:color w:val="auto"/>
                <w:kern w:val="0"/>
                <w:sz w:val="24"/>
                <w:szCs w:val="24"/>
                <w:highlight w:val="none"/>
                <w:lang w:val="en-US" w:eastAsia="zh-CN"/>
              </w:rPr>
              <w:t>不在城镇开发边界内，</w:t>
            </w:r>
            <w:r>
              <w:rPr>
                <w:rFonts w:hint="default" w:ascii="Times New Roman" w:hAnsi="Times New Roman" w:cs="Times New Roman"/>
                <w:color w:val="auto"/>
                <w:kern w:val="0"/>
                <w:sz w:val="24"/>
                <w:szCs w:val="24"/>
                <w:highlight w:val="none"/>
                <w:lang w:val="en-US" w:eastAsia="zh-CN"/>
              </w:rPr>
              <w:t>不涉及永久基本农田及生态保护红线</w:t>
            </w:r>
            <w:r>
              <w:rPr>
                <w:rFonts w:hint="eastAsia" w:cs="Times New Roman"/>
                <w:color w:val="auto"/>
                <w:kern w:val="0"/>
                <w:sz w:val="24"/>
                <w:szCs w:val="24"/>
                <w:highlight w:val="none"/>
                <w:lang w:val="en-US" w:eastAsia="zh-CN"/>
              </w:rPr>
              <w:t>（详见附图6）</w:t>
            </w:r>
            <w:r>
              <w:rPr>
                <w:rFonts w:hint="default" w:ascii="Times New Roman" w:hAnsi="Times New Roman" w:cs="Times New Roman"/>
                <w:color w:val="auto"/>
                <w:kern w:val="0"/>
                <w:sz w:val="24"/>
                <w:szCs w:val="24"/>
                <w:highlight w:val="none"/>
                <w:lang w:val="en-US" w:eastAsia="zh-CN"/>
              </w:rPr>
              <w:t>。</w:t>
            </w:r>
          </w:p>
          <w:p w14:paraId="5F674061">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eastAsia" w:cs="Times New Roman"/>
                <w:b/>
                <w:bCs/>
                <w:color w:val="auto"/>
                <w:kern w:val="0"/>
                <w:sz w:val="24"/>
                <w:szCs w:val="24"/>
                <w:highlight w:val="none"/>
                <w:lang w:val="en-US" w:eastAsia="zh-CN"/>
              </w:rPr>
              <w:t>4.项目与生态环境分区管控符合性分析</w:t>
            </w:r>
          </w:p>
          <w:p w14:paraId="41E27D17">
            <w:pPr>
              <w:keepNext w:val="0"/>
              <w:keepLines w:val="0"/>
              <w:pageBreakBefore w:val="0"/>
              <w:widowControl w:val="0"/>
              <w:numPr>
                <w:ilvl w:val="0"/>
                <w:numId w:val="2"/>
              </w:numPr>
              <w:shd w:val="clear"/>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生态保护红线符合性判定</w:t>
            </w:r>
          </w:p>
          <w:p w14:paraId="5C067E60">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textAlignment w:val="auto"/>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szCs w:val="24"/>
                <w:highlight w:val="none"/>
                <w:lang w:val="en-US" w:eastAsia="zh-CN"/>
              </w:rPr>
              <w:t>根</w:t>
            </w:r>
            <w:r>
              <w:rPr>
                <w:rFonts w:hint="eastAsia" w:ascii="宋体" w:hAnsi="宋体" w:eastAsia="宋体" w:cs="宋体"/>
                <w:b w:val="0"/>
                <w:bCs w:val="0"/>
                <w:color w:val="auto"/>
                <w:sz w:val="24"/>
                <w:szCs w:val="24"/>
                <w:highlight w:val="none"/>
                <w:lang w:val="en-US" w:eastAsia="zh-CN"/>
              </w:rPr>
              <w:t>据《</w:t>
            </w:r>
            <w:r>
              <w:rPr>
                <w:rFonts w:hint="eastAsia" w:ascii="宋体" w:hAnsi="宋体" w:eastAsia="宋体" w:cs="宋体"/>
                <w:b w:val="0"/>
                <w:bCs w:val="0"/>
                <w:color w:val="auto"/>
                <w:kern w:val="0"/>
                <w:sz w:val="24"/>
                <w:szCs w:val="24"/>
                <w:highlight w:val="none"/>
                <w:lang w:val="en-US" w:eastAsia="zh-CN" w:bidi="ar"/>
              </w:rPr>
              <w:t>淄博市国土空间总体规划（2021-2035年）—市域国土空间规划线规划图</w:t>
            </w:r>
            <w:r>
              <w:rPr>
                <w:rFonts w:hint="eastAsia" w:ascii="宋体" w:hAnsi="宋体" w:eastAsia="宋体" w:cs="宋体"/>
                <w:b w:val="0"/>
                <w:bCs w:val="0"/>
                <w:color w:val="auto"/>
                <w:sz w:val="24"/>
                <w:szCs w:val="24"/>
                <w:highlight w:val="none"/>
                <w:lang w:val="en-US" w:eastAsia="zh-CN"/>
              </w:rPr>
              <w:t>》</w:t>
            </w:r>
            <w:r>
              <w:rPr>
                <w:rFonts w:hint="eastAsia" w:ascii="宋体" w:hAnsi="宋体" w:eastAsia="宋体" w:cs="宋体"/>
                <w:color w:val="auto"/>
                <w:kern w:val="0"/>
                <w:sz w:val="24"/>
                <w:szCs w:val="24"/>
                <w:highlight w:val="none"/>
                <w:lang w:val="en-US" w:eastAsia="zh-CN"/>
              </w:rPr>
              <w:t>（附图6）</w:t>
            </w:r>
            <w:r>
              <w:rPr>
                <w:rFonts w:hint="eastAsia" w:ascii="宋体" w:hAnsi="宋体" w:eastAsia="宋体" w:cs="宋体"/>
                <w:color w:val="auto"/>
                <w:sz w:val="24"/>
                <w:szCs w:val="24"/>
                <w:highlight w:val="none"/>
                <w:lang w:val="en-US" w:eastAsia="zh-CN"/>
              </w:rPr>
              <w:t>，项目选址未</w:t>
            </w:r>
            <w:r>
              <w:rPr>
                <w:rFonts w:hint="eastAsia" w:ascii="宋体" w:hAnsi="宋体" w:eastAsia="宋体" w:cs="宋体"/>
                <w:color w:val="auto"/>
                <w:kern w:val="0"/>
                <w:sz w:val="24"/>
                <w:szCs w:val="24"/>
                <w:highlight w:val="none"/>
                <w:lang w:val="en-US" w:eastAsia="zh-CN"/>
              </w:rPr>
              <w:t>涉及生态保护红线。</w:t>
            </w:r>
          </w:p>
          <w:p w14:paraId="486455C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（2）环境质量底线符合性判定</w:t>
            </w:r>
          </w:p>
          <w:p w14:paraId="211C2F9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根据淄博市生态环境局网站公布的《2024年12月份及全年环境空气质量情况通报》（202</w:t>
            </w: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lang w:eastAsia="zh-CN"/>
              </w:rPr>
              <w:t>年</w:t>
            </w:r>
            <w:r>
              <w:rPr>
                <w:rFonts w:hint="eastAsia" w:ascii="宋体" w:hAnsi="宋体" w:eastAsia="宋体" w:cs="宋体"/>
                <w:color w:val="auto"/>
                <w:sz w:val="24"/>
                <w:szCs w:val="24"/>
                <w:highlight w:val="none"/>
                <w:lang w:val="en-US" w:eastAsia="zh-CN"/>
              </w:rPr>
              <w:t>1月27日发布</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及《2024年1-12月全市地表水环境质量状况》</w:t>
            </w:r>
            <w:r>
              <w:rPr>
                <w:rFonts w:hint="eastAsia" w:ascii="宋体" w:hAnsi="宋体" w:eastAsia="宋体" w:cs="宋体"/>
                <w:color w:val="auto"/>
                <w:sz w:val="24"/>
                <w:szCs w:val="24"/>
                <w:highlight w:val="none"/>
              </w:rPr>
              <w:t>（202</w:t>
            </w: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lang w:eastAsia="zh-CN"/>
              </w:rPr>
              <w:t>年</w:t>
            </w:r>
            <w:r>
              <w:rPr>
                <w:rFonts w:hint="eastAsia" w:ascii="宋体" w:hAnsi="宋体" w:eastAsia="宋体" w:cs="宋体"/>
                <w:color w:val="auto"/>
                <w:sz w:val="24"/>
                <w:szCs w:val="24"/>
                <w:highlight w:val="none"/>
                <w:lang w:val="en-US" w:eastAsia="zh-CN"/>
              </w:rPr>
              <w:t>1月25日发布</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等</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2024年</w:t>
            </w:r>
            <w:r>
              <w:rPr>
                <w:rFonts w:hint="eastAsia" w:ascii="宋体" w:hAnsi="宋体" w:eastAsia="宋体" w:cs="宋体"/>
                <w:color w:val="auto"/>
                <w:sz w:val="24"/>
                <w:szCs w:val="24"/>
                <w:highlight w:val="none"/>
                <w:lang w:eastAsia="zh-CN"/>
              </w:rPr>
              <w:t>淄川区</w:t>
            </w:r>
            <w:r>
              <w:rPr>
                <w:rFonts w:hint="eastAsia" w:ascii="宋体" w:hAnsi="宋体" w:eastAsia="宋体" w:cs="宋体"/>
                <w:color w:val="auto"/>
                <w:sz w:val="24"/>
                <w:szCs w:val="24"/>
                <w:highlight w:val="none"/>
              </w:rPr>
              <w:t>主要污染物中PM</w:t>
            </w:r>
            <w:r>
              <w:rPr>
                <w:rFonts w:hint="eastAsia" w:ascii="宋体" w:hAnsi="宋体" w:eastAsia="宋体" w:cs="宋体"/>
                <w:color w:val="auto"/>
                <w:sz w:val="24"/>
                <w:szCs w:val="24"/>
                <w:highlight w:val="none"/>
                <w:vertAlign w:val="subscript"/>
              </w:rPr>
              <w:t>2.5</w:t>
            </w:r>
            <w:r>
              <w:rPr>
                <w:rFonts w:hint="eastAsia" w:ascii="宋体" w:hAnsi="宋体" w:eastAsia="宋体" w:cs="宋体"/>
                <w:color w:val="auto"/>
                <w:sz w:val="24"/>
                <w:szCs w:val="24"/>
                <w:highlight w:val="none"/>
              </w:rPr>
              <w:t>、O</w:t>
            </w:r>
            <w:r>
              <w:rPr>
                <w:rFonts w:hint="eastAsia" w:ascii="宋体" w:hAnsi="宋体" w:eastAsia="宋体" w:cs="宋体"/>
                <w:color w:val="auto"/>
                <w:sz w:val="24"/>
                <w:szCs w:val="24"/>
                <w:highlight w:val="none"/>
                <w:vertAlign w:val="subscript"/>
              </w:rPr>
              <w:t>3</w:t>
            </w:r>
            <w:r>
              <w:rPr>
                <w:rFonts w:hint="eastAsia" w:ascii="宋体" w:hAnsi="宋体" w:eastAsia="宋体" w:cs="宋体"/>
                <w:color w:val="auto"/>
                <w:sz w:val="24"/>
                <w:szCs w:val="24"/>
                <w:highlight w:val="none"/>
              </w:rPr>
              <w:t>不满足《环境空气质量标准》（GB3095-2012）二级标准的要求；项目周边最近地表水水质满足《地表水环境质量标准》（GB3838-2002）中</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3 \* ROMAN \* MERGEFORMAT </w:instrText>
            </w:r>
            <w:r>
              <w:rPr>
                <w:rFonts w:hint="default" w:ascii="Times New Roman" w:hAnsi="Times New Roman" w:cs="Times New Roman"/>
                <w:color w:val="auto"/>
                <w:sz w:val="24"/>
                <w:szCs w:val="24"/>
                <w:highlight w:val="none"/>
              </w:rPr>
              <w:fldChar w:fldCharType="separate"/>
            </w:r>
            <w:r>
              <w:rPr>
                <w:color w:val="auto"/>
                <w:sz w:val="24"/>
                <w:szCs w:val="24"/>
                <w:highlight w:val="none"/>
              </w:rPr>
              <w:t>III</w:t>
            </w:r>
            <w:r>
              <w:rPr>
                <w:rFonts w:hint="default" w:ascii="Times New Roman" w:hAnsi="Times New Roman" w:cs="Times New Roman"/>
                <w:color w:val="auto"/>
                <w:sz w:val="24"/>
                <w:szCs w:val="24"/>
                <w:highlight w:val="none"/>
              </w:rPr>
              <w:fldChar w:fldCharType="end"/>
            </w:r>
            <w:r>
              <w:rPr>
                <w:rFonts w:hint="eastAsia" w:ascii="宋体" w:hAnsi="宋体" w:eastAsia="宋体" w:cs="宋体"/>
                <w:color w:val="auto"/>
                <w:sz w:val="24"/>
                <w:szCs w:val="24"/>
                <w:highlight w:val="none"/>
              </w:rPr>
              <w:t>类水体标准的要求；评价区域内地下水水质监测指标满足《地下水质量标准》（GB/T14848-2017）中的</w:t>
            </w:r>
            <w:r>
              <w:rPr>
                <w:rFonts w:hint="eastAsia" w:ascii="宋体" w:hAnsi="宋体" w:eastAsia="宋体" w:cs="宋体"/>
                <w:color w:val="auto"/>
                <w:sz w:val="24"/>
                <w:szCs w:val="24"/>
                <w:highlight w:val="none"/>
                <w:lang w:eastAsia="zh-CN"/>
              </w:rPr>
              <w:t>Ⅲ</w:t>
            </w:r>
            <w:r>
              <w:rPr>
                <w:rFonts w:hint="eastAsia" w:ascii="宋体" w:hAnsi="宋体" w:eastAsia="宋体" w:cs="宋体"/>
                <w:color w:val="auto"/>
                <w:sz w:val="24"/>
                <w:szCs w:val="24"/>
                <w:highlight w:val="none"/>
              </w:rPr>
              <w:t>类标准要求；项目所在区域噪声满足《声环境质量标准》（GB3096-2008）2类标准。</w:t>
            </w:r>
          </w:p>
          <w:p w14:paraId="56D19DB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项目</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三废</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治理措施成熟可靠，根据工程分析和环境影响预测结论，项目建成后只要能按照本环评要求落实</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三废</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治理措施，则项目运营期污染物排放能达到国家相关排放标准要求，项目的实施不会影响区域环境质量目标的实现。</w:t>
            </w:r>
          </w:p>
          <w:p w14:paraId="6802354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（3）资源利用上线符合性判定</w:t>
            </w:r>
          </w:p>
          <w:p w14:paraId="7107686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本项目用电量为</w:t>
            </w:r>
            <w:r>
              <w:rPr>
                <w:rFonts w:hint="eastAsia" w:ascii="宋体" w:hAnsi="宋体" w:eastAsia="宋体" w:cs="宋体"/>
                <w:color w:val="auto"/>
                <w:kern w:val="0"/>
                <w:sz w:val="24"/>
                <w:szCs w:val="24"/>
                <w:highlight w:val="none"/>
                <w:lang w:val="en-US" w:eastAsia="zh-CN"/>
              </w:rPr>
              <w:t>80</w:t>
            </w:r>
            <w:r>
              <w:rPr>
                <w:rFonts w:hint="eastAsia" w:ascii="宋体" w:hAnsi="宋体" w:eastAsia="宋体" w:cs="宋体"/>
                <w:color w:val="auto"/>
                <w:kern w:val="0"/>
                <w:sz w:val="24"/>
                <w:szCs w:val="24"/>
                <w:highlight w:val="none"/>
              </w:rPr>
              <w:t>万kWh/a，</w:t>
            </w:r>
            <w:r>
              <w:rPr>
                <w:rFonts w:hint="eastAsia" w:ascii="宋体" w:hAnsi="宋体" w:eastAsia="宋体" w:cs="宋体"/>
                <w:color w:val="auto"/>
                <w:kern w:val="0"/>
                <w:sz w:val="24"/>
                <w:szCs w:val="24"/>
                <w:highlight w:val="none"/>
                <w:lang w:val="en-US" w:eastAsia="zh-CN"/>
              </w:rPr>
              <w:t>新增用水量202.6</w:t>
            </w:r>
            <w:r>
              <w:rPr>
                <w:rFonts w:hint="eastAsia" w:ascii="宋体" w:hAnsi="宋体" w:eastAsia="宋体" w:cs="宋体"/>
                <w:color w:val="auto"/>
                <w:kern w:val="0"/>
                <w:sz w:val="24"/>
                <w:szCs w:val="24"/>
                <w:highlight w:val="none"/>
              </w:rPr>
              <w:t>m</w:t>
            </w:r>
            <w:r>
              <w:rPr>
                <w:rFonts w:hint="eastAsia" w:ascii="宋体" w:hAnsi="宋体" w:eastAsia="宋体" w:cs="宋体"/>
                <w:color w:val="auto"/>
                <w:kern w:val="0"/>
                <w:sz w:val="24"/>
                <w:szCs w:val="24"/>
                <w:highlight w:val="none"/>
                <w:vertAlign w:val="superscript"/>
              </w:rPr>
              <w:t>3</w:t>
            </w:r>
            <w:r>
              <w:rPr>
                <w:rFonts w:hint="eastAsia" w:ascii="宋体" w:hAnsi="宋体" w:eastAsia="宋体" w:cs="宋体"/>
                <w:color w:val="auto"/>
                <w:kern w:val="0"/>
                <w:sz w:val="24"/>
                <w:szCs w:val="24"/>
                <w:highlight w:val="none"/>
              </w:rPr>
              <w:t>/a</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rPr>
              <w:t>资源消耗量相对区域资源利用总量较少，符合资源利用上线要求。</w:t>
            </w:r>
          </w:p>
          <w:p w14:paraId="299A0EB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（4）生态环境准入清单</w:t>
            </w:r>
          </w:p>
          <w:p w14:paraId="2AC550A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宋体" w:hAnsi="宋体" w:eastAsia="宋体" w:cs="宋体"/>
                <w:color w:val="auto"/>
                <w:kern w:val="0"/>
                <w:sz w:val="24"/>
                <w:szCs w:val="24"/>
                <w:highlight w:val="none"/>
              </w:rPr>
            </w:pPr>
            <w:r>
              <w:rPr>
                <w:rFonts w:hint="eastAsia" w:ascii="Times New Roman" w:hAnsi="Times New Roman" w:eastAsia="宋体" w:cs="Times New Roman"/>
                <w:bCs/>
                <w:color w:val="auto"/>
                <w:sz w:val="24"/>
                <w:szCs w:val="24"/>
                <w:highlight w:val="none"/>
                <w:lang w:val="en-US" w:eastAsia="zh-CN"/>
              </w:rPr>
              <w:t>本次环评对照《淄博市人民政府关于印发淄博市“三线一单”生态环境分区管控方案的通知》（淄政字〔2021〕49号）及</w:t>
            </w:r>
            <w:r>
              <w:rPr>
                <w:rFonts w:hint="default" w:ascii="Times New Roman" w:hAnsi="Times New Roman" w:eastAsia="Times New Roman" w:cs="Times New Roman"/>
                <w:b w:val="0"/>
                <w:bCs w:val="0"/>
                <w:color w:val="auto"/>
                <w:sz w:val="24"/>
                <w:szCs w:val="24"/>
                <w:highlight w:val="none"/>
                <w:lang w:val="zh-CN"/>
              </w:rPr>
              <w:t>《淄博市</w:t>
            </w:r>
            <w:r>
              <w:rPr>
                <w:rFonts w:hint="eastAsia" w:ascii="Times New Roman" w:hAnsi="Times New Roman" w:eastAsia="宋体" w:cs="Times New Roman"/>
                <w:b w:val="0"/>
                <w:bCs w:val="0"/>
                <w:color w:val="auto"/>
                <w:sz w:val="24"/>
                <w:szCs w:val="24"/>
                <w:highlight w:val="none"/>
                <w:lang w:val="en-US" w:eastAsia="zh-CN"/>
              </w:rPr>
              <w:t>2023年生态环境分区管控成果动态更新项目生态环境准入清单</w:t>
            </w:r>
            <w:r>
              <w:rPr>
                <w:rFonts w:hint="default" w:ascii="Times New Roman" w:hAnsi="Times New Roman" w:eastAsia="Times New Roman" w:cs="Times New Roman"/>
                <w:b w:val="0"/>
                <w:bCs w:val="0"/>
                <w:color w:val="auto"/>
                <w:sz w:val="24"/>
                <w:szCs w:val="24"/>
                <w:highlight w:val="none"/>
                <w:lang w:val="zh-CN"/>
              </w:rPr>
              <w:t>》</w:t>
            </w:r>
            <w:r>
              <w:rPr>
                <w:rFonts w:hint="eastAsia" w:ascii="Times New Roman" w:hAnsi="Times New Roman" w:eastAsia="宋体" w:cs="Times New Roman"/>
                <w:b w:val="0"/>
                <w:bCs w:val="0"/>
                <w:color w:val="auto"/>
                <w:sz w:val="24"/>
                <w:szCs w:val="24"/>
                <w:highlight w:val="none"/>
                <w:lang w:val="en-US" w:eastAsia="zh-CN"/>
              </w:rPr>
              <w:t>的通知（淄</w:t>
            </w:r>
            <w:r>
              <w:rPr>
                <w:rFonts w:hint="eastAsia" w:ascii="Times New Roman" w:hAnsi="Times New Roman" w:eastAsia="宋体" w:cs="Times New Roman"/>
                <w:bCs/>
                <w:color w:val="auto"/>
                <w:sz w:val="24"/>
                <w:szCs w:val="24"/>
                <w:highlight w:val="none"/>
                <w:lang w:val="en-US" w:eastAsia="zh-CN"/>
              </w:rPr>
              <w:t>博市生态环境委员会办公室，2024年4月18日），</w:t>
            </w:r>
            <w:r>
              <w:rPr>
                <w:rFonts w:hint="default" w:ascii="Times New Roman" w:hAnsi="Times New Roman" w:cs="Times New Roman"/>
                <w:b w:val="0"/>
                <w:bCs w:val="0"/>
                <w:color w:val="auto"/>
                <w:kern w:val="0"/>
                <w:sz w:val="24"/>
                <w:szCs w:val="24"/>
                <w:highlight w:val="none"/>
                <w:lang w:val="en-US" w:eastAsia="zh-CN"/>
              </w:rPr>
              <w:t>本项目位于淄川区将军路街道，管控单元编码为ZH37030230001，为一般管控单元。</w:t>
            </w:r>
            <w:r>
              <w:rPr>
                <w:rFonts w:hint="eastAsia" w:ascii="Times New Roman" w:hAnsi="Times New Roman" w:eastAsia="宋体" w:cs="Times New Roman"/>
                <w:bCs/>
                <w:color w:val="auto"/>
                <w:sz w:val="24"/>
                <w:szCs w:val="24"/>
                <w:highlight w:val="none"/>
                <w:lang w:val="en-US" w:eastAsia="zh-CN"/>
              </w:rPr>
              <w:t>生态环境准入清单见下表。</w:t>
            </w:r>
          </w:p>
          <w:p w14:paraId="46FA82A9">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highlight w:val="none"/>
                <w:lang w:val="en-US" w:eastAsia="zh-CN"/>
              </w:rPr>
            </w:pPr>
            <w:r>
              <w:rPr>
                <w:rFonts w:hint="eastAsia" w:ascii="Times New Roman" w:hAnsi="Times New Roman" w:eastAsia="黑体" w:cs="Times New Roman"/>
                <w:b w:val="0"/>
                <w:bCs w:val="0"/>
                <w:color w:val="auto"/>
                <w:kern w:val="0"/>
                <w:sz w:val="24"/>
                <w:szCs w:val="24"/>
                <w:highlight w:val="none"/>
                <w:lang w:val="en-US" w:eastAsia="zh-CN"/>
              </w:rPr>
              <w:t>表1-2 与《淄博市2023年生态环境分区管控成果动态更新项目生态环境准入清单》符合性分析</w:t>
            </w:r>
          </w:p>
          <w:tbl>
            <w:tblPr>
              <w:tblStyle w:val="24"/>
              <w:tblW w:w="4998"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588"/>
              <w:gridCol w:w="4119"/>
              <w:gridCol w:w="1722"/>
              <w:gridCol w:w="668"/>
            </w:tblGrid>
            <w:tr w14:paraId="1915536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tcBorders>
                    <w:tl2br w:val="nil"/>
                    <w:tr2bl w:val="nil"/>
                  </w:tcBorders>
                  <w:noWrap w:val="0"/>
                  <w:vAlign w:val="center"/>
                </w:tcPr>
                <w:p w14:paraId="66185EBD">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both"/>
                    <w:textAlignment w:val="auto"/>
                    <w:rPr>
                      <w:b/>
                      <w:bCs/>
                      <w:color w:val="auto"/>
                      <w:sz w:val="21"/>
                      <w:szCs w:val="21"/>
                      <w:highlight w:val="none"/>
                    </w:rPr>
                  </w:pPr>
                  <w:r>
                    <w:rPr>
                      <w:b/>
                      <w:bCs/>
                      <w:color w:val="auto"/>
                      <w:sz w:val="21"/>
                      <w:szCs w:val="21"/>
                      <w:highlight w:val="none"/>
                    </w:rPr>
                    <w:t>分类</w:t>
                  </w:r>
                </w:p>
              </w:tc>
              <w:tc>
                <w:tcPr>
                  <w:tcW w:w="2901" w:type="pct"/>
                  <w:tcBorders>
                    <w:tl2br w:val="nil"/>
                    <w:tr2bl w:val="nil"/>
                  </w:tcBorders>
                  <w:noWrap w:val="0"/>
                  <w:vAlign w:val="center"/>
                </w:tcPr>
                <w:p w14:paraId="1A665D9B">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422" w:firstLineChars="200"/>
                    <w:jc w:val="center"/>
                    <w:rPr>
                      <w:b/>
                      <w:bCs/>
                      <w:color w:val="auto"/>
                      <w:sz w:val="21"/>
                      <w:szCs w:val="21"/>
                      <w:highlight w:val="none"/>
                    </w:rPr>
                  </w:pPr>
                  <w:r>
                    <w:rPr>
                      <w:b/>
                      <w:bCs/>
                      <w:color w:val="auto"/>
                      <w:sz w:val="21"/>
                      <w:szCs w:val="21"/>
                      <w:highlight w:val="none"/>
                    </w:rPr>
                    <w:t>具体要求</w:t>
                  </w:r>
                </w:p>
              </w:tc>
              <w:tc>
                <w:tcPr>
                  <w:tcW w:w="1213" w:type="pct"/>
                  <w:tcBorders>
                    <w:tl2br w:val="nil"/>
                    <w:tr2bl w:val="nil"/>
                  </w:tcBorders>
                  <w:noWrap w:val="0"/>
                  <w:vAlign w:val="center"/>
                </w:tcPr>
                <w:p w14:paraId="5713DA45">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422" w:firstLineChars="200"/>
                    <w:jc w:val="both"/>
                    <w:rPr>
                      <w:b/>
                      <w:bCs/>
                      <w:color w:val="auto"/>
                      <w:sz w:val="21"/>
                      <w:szCs w:val="21"/>
                      <w:highlight w:val="none"/>
                    </w:rPr>
                  </w:pPr>
                  <w:r>
                    <w:rPr>
                      <w:b/>
                      <w:bCs/>
                      <w:color w:val="auto"/>
                      <w:sz w:val="21"/>
                      <w:szCs w:val="21"/>
                      <w:highlight w:val="none"/>
                    </w:rPr>
                    <w:t>本项目情况</w:t>
                  </w:r>
                </w:p>
              </w:tc>
              <w:tc>
                <w:tcPr>
                  <w:tcW w:w="470" w:type="pct"/>
                  <w:tcBorders>
                    <w:tl2br w:val="nil"/>
                    <w:tr2bl w:val="nil"/>
                  </w:tcBorders>
                  <w:noWrap w:val="0"/>
                  <w:vAlign w:val="center"/>
                </w:tcPr>
                <w:p w14:paraId="21CDFF99">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rPr>
                      <w:b/>
                      <w:bCs/>
                      <w:color w:val="auto"/>
                      <w:sz w:val="21"/>
                      <w:szCs w:val="21"/>
                      <w:highlight w:val="none"/>
                    </w:rPr>
                  </w:pPr>
                  <w:r>
                    <w:rPr>
                      <w:b/>
                      <w:bCs/>
                      <w:color w:val="auto"/>
                      <w:sz w:val="21"/>
                      <w:szCs w:val="21"/>
                      <w:highlight w:val="none"/>
                    </w:rPr>
                    <w:t>符合性</w:t>
                  </w:r>
                </w:p>
              </w:tc>
            </w:tr>
            <w:tr w14:paraId="78333541">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Merge w:val="restart"/>
                  <w:tcBorders>
                    <w:tl2br w:val="nil"/>
                    <w:tr2bl w:val="nil"/>
                  </w:tcBorders>
                  <w:noWrap w:val="0"/>
                  <w:vAlign w:val="center"/>
                </w:tcPr>
                <w:p w14:paraId="5483E5C2">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b/>
                      <w:bCs/>
                      <w:color w:val="auto"/>
                      <w:sz w:val="21"/>
                      <w:szCs w:val="21"/>
                      <w:highlight w:val="none"/>
                      <w:lang w:eastAsia="zh-CN"/>
                    </w:rPr>
                  </w:pPr>
                  <w:r>
                    <w:rPr>
                      <w:rFonts w:hint="eastAsia"/>
                      <w:b/>
                      <w:bCs/>
                      <w:color w:val="auto"/>
                      <w:sz w:val="21"/>
                      <w:szCs w:val="21"/>
                      <w:highlight w:val="none"/>
                      <w:lang w:eastAsia="zh-CN"/>
                    </w:rPr>
                    <w:t>重</w:t>
                  </w:r>
                </w:p>
                <w:p w14:paraId="2DEFC216">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eastAsia="宋体"/>
                      <w:b/>
                      <w:bCs/>
                      <w:color w:val="auto"/>
                      <w:sz w:val="21"/>
                      <w:szCs w:val="21"/>
                      <w:highlight w:val="none"/>
                      <w:lang w:eastAsia="zh-CN"/>
                    </w:rPr>
                  </w:pPr>
                  <w:r>
                    <w:rPr>
                      <w:rFonts w:hint="eastAsia"/>
                      <w:b/>
                      <w:bCs/>
                      <w:color w:val="auto"/>
                      <w:sz w:val="21"/>
                      <w:szCs w:val="21"/>
                      <w:highlight w:val="none"/>
                      <w:lang w:eastAsia="zh-CN"/>
                    </w:rPr>
                    <w:t>点</w:t>
                  </w:r>
                </w:p>
                <w:p w14:paraId="422FDCC9">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b/>
                      <w:bCs/>
                      <w:color w:val="auto"/>
                      <w:sz w:val="21"/>
                      <w:szCs w:val="21"/>
                      <w:highlight w:val="none"/>
                    </w:rPr>
                  </w:pPr>
                  <w:r>
                    <w:rPr>
                      <w:b/>
                      <w:bCs/>
                      <w:color w:val="auto"/>
                      <w:sz w:val="21"/>
                      <w:szCs w:val="21"/>
                      <w:highlight w:val="none"/>
                    </w:rPr>
                    <w:t>管</w:t>
                  </w:r>
                </w:p>
                <w:p w14:paraId="158D057B">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b/>
                      <w:bCs/>
                      <w:color w:val="auto"/>
                      <w:sz w:val="21"/>
                      <w:szCs w:val="21"/>
                      <w:highlight w:val="none"/>
                    </w:rPr>
                  </w:pPr>
                  <w:r>
                    <w:rPr>
                      <w:b/>
                      <w:bCs/>
                      <w:color w:val="auto"/>
                      <w:sz w:val="21"/>
                      <w:szCs w:val="21"/>
                      <w:highlight w:val="none"/>
                    </w:rPr>
                    <w:t>控</w:t>
                  </w:r>
                </w:p>
                <w:p w14:paraId="3B0E506C">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b/>
                      <w:bCs/>
                      <w:color w:val="auto"/>
                      <w:sz w:val="21"/>
                      <w:szCs w:val="21"/>
                      <w:highlight w:val="none"/>
                    </w:rPr>
                  </w:pPr>
                  <w:r>
                    <w:rPr>
                      <w:b/>
                      <w:bCs/>
                      <w:color w:val="auto"/>
                      <w:sz w:val="21"/>
                      <w:szCs w:val="21"/>
                      <w:highlight w:val="none"/>
                    </w:rPr>
                    <w:t>单</w:t>
                  </w:r>
                </w:p>
                <w:p w14:paraId="0428316B">
                  <w:pPr>
                    <w:pStyle w:val="23"/>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b/>
                      <w:bCs/>
                      <w:color w:val="auto"/>
                      <w:sz w:val="21"/>
                      <w:szCs w:val="21"/>
                      <w:highlight w:val="none"/>
                    </w:rPr>
                  </w:pPr>
                  <w:r>
                    <w:rPr>
                      <w:b/>
                      <w:bCs/>
                      <w:color w:val="auto"/>
                      <w:sz w:val="21"/>
                      <w:szCs w:val="21"/>
                      <w:highlight w:val="none"/>
                    </w:rPr>
                    <w:t>元</w:t>
                  </w:r>
                </w:p>
              </w:tc>
              <w:tc>
                <w:tcPr>
                  <w:tcW w:w="2901" w:type="pct"/>
                  <w:tcBorders>
                    <w:tl2br w:val="nil"/>
                    <w:tr2bl w:val="nil"/>
                  </w:tcBorders>
                  <w:noWrap w:val="0"/>
                  <w:vAlign w:val="center"/>
                </w:tcPr>
                <w:p w14:paraId="4DB00CFC">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禁止新建、扩建《产业结构调整指导目录》（现行）明确的淘汰类项目和引入《市场准入负面清单》（现行）禁止准入类事项；鼓励对列入《产业结构调整指导目录》的限制类、淘汰类工业项目进行淘汰和提升改造。</w:t>
                  </w:r>
                </w:p>
                <w:p w14:paraId="5F87B419">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p w14:paraId="709CE1E9">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3.污水处理设施不健全、未正常运行或污水管网未覆盖的地区，未配套污水处理设施的项目不得建设。</w:t>
                  </w:r>
                </w:p>
                <w:p w14:paraId="49153490">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4.新建有污染物排放的工业项目，除在安全生产等方面有特殊要求的以外，应当进入工业园区或工业聚集区。</w:t>
                  </w:r>
                </w:p>
                <w:p w14:paraId="09E5B73A">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5.按照省市要求，严格控制</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两高</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项目，新建</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两高</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项目实行</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五个减量替代</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tc>
              <w:tc>
                <w:tcPr>
                  <w:tcW w:w="1213" w:type="pct"/>
                  <w:tcBorders>
                    <w:tl2br w:val="nil"/>
                    <w:tr2bl w:val="nil"/>
                  </w:tcBorders>
                  <w:noWrap w:val="0"/>
                  <w:vAlign w:val="center"/>
                </w:tcPr>
                <w:p w14:paraId="043D4254">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1.本项目不属于国家限制或淘汰类项目。</w:t>
                  </w:r>
                </w:p>
                <w:p w14:paraId="497B424D">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2.本项目不涉及。</w:t>
                  </w:r>
                </w:p>
                <w:p w14:paraId="1F535E33">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3.本项目无生产废水外排，职工生活污水由环卫定期清运，不外排</w:t>
                  </w:r>
                  <w:r>
                    <w:rPr>
                      <w:rFonts w:hint="eastAsia"/>
                      <w:color w:val="auto"/>
                      <w:sz w:val="21"/>
                      <w:szCs w:val="21"/>
                      <w:highlight w:val="none"/>
                      <w:lang w:eastAsia="zh-CN"/>
                    </w:rPr>
                    <w:t>。</w:t>
                  </w:r>
                </w:p>
                <w:p w14:paraId="67C881A9">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eastAsia="宋体"/>
                      <w:color w:val="auto"/>
                      <w:sz w:val="21"/>
                      <w:szCs w:val="21"/>
                      <w:highlight w:val="none"/>
                      <w:lang w:eastAsia="zh-CN"/>
                    </w:rPr>
                  </w:pPr>
                  <w:r>
                    <w:rPr>
                      <w:rFonts w:hint="eastAsia" w:eastAsia="宋体"/>
                      <w:color w:val="auto"/>
                      <w:sz w:val="21"/>
                      <w:szCs w:val="21"/>
                      <w:highlight w:val="none"/>
                      <w:lang w:val="en-US" w:eastAsia="zh-CN"/>
                    </w:rPr>
                    <w:t>4.本项目为技改项目</w:t>
                  </w:r>
                  <w:r>
                    <w:rPr>
                      <w:rFonts w:hint="eastAsia"/>
                      <w:color w:val="auto"/>
                      <w:sz w:val="21"/>
                      <w:szCs w:val="21"/>
                      <w:highlight w:val="none"/>
                      <w:lang w:eastAsia="zh-CN"/>
                    </w:rPr>
                    <w:t>。</w:t>
                  </w:r>
                </w:p>
                <w:p w14:paraId="524AAD26">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default" w:eastAsia="宋体"/>
                      <w:color w:val="auto"/>
                      <w:sz w:val="21"/>
                      <w:szCs w:val="21"/>
                      <w:highlight w:val="none"/>
                      <w:lang w:val="en-US" w:eastAsia="zh-CN"/>
                    </w:rPr>
                  </w:pPr>
                  <w:r>
                    <w:rPr>
                      <w:rFonts w:hint="eastAsia"/>
                      <w:color w:val="auto"/>
                      <w:sz w:val="21"/>
                      <w:szCs w:val="21"/>
                      <w:highlight w:val="none"/>
                      <w:lang w:val="en-US" w:eastAsia="zh-CN"/>
                    </w:rPr>
                    <w:t>5.本项目不涉及</w:t>
                  </w:r>
                  <w:r>
                    <w:rPr>
                      <w:rFonts w:hint="eastAsia" w:eastAsia="宋体"/>
                      <w:color w:val="auto"/>
                      <w:sz w:val="21"/>
                      <w:szCs w:val="21"/>
                      <w:highlight w:val="none"/>
                      <w:lang w:val="en-US" w:eastAsia="zh-CN"/>
                    </w:rPr>
                    <w:t>。</w:t>
                  </w:r>
                </w:p>
              </w:tc>
              <w:tc>
                <w:tcPr>
                  <w:tcW w:w="470" w:type="pct"/>
                  <w:tcBorders>
                    <w:tl2br w:val="nil"/>
                    <w:tr2bl w:val="nil"/>
                  </w:tcBorders>
                  <w:noWrap w:val="0"/>
                  <w:vAlign w:val="center"/>
                </w:tcPr>
                <w:p w14:paraId="725CB564">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color w:val="auto"/>
                      <w:sz w:val="21"/>
                      <w:szCs w:val="21"/>
                      <w:highlight w:val="none"/>
                    </w:rPr>
                  </w:pPr>
                  <w:r>
                    <w:rPr>
                      <w:color w:val="auto"/>
                      <w:sz w:val="21"/>
                      <w:szCs w:val="21"/>
                      <w:highlight w:val="none"/>
                    </w:rPr>
                    <w:t>符合</w:t>
                  </w:r>
                </w:p>
              </w:tc>
            </w:tr>
            <w:tr w14:paraId="344ACAB5">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Merge w:val="continue"/>
                  <w:tcBorders>
                    <w:tl2br w:val="nil"/>
                    <w:tr2bl w:val="nil"/>
                  </w:tcBorders>
                  <w:noWrap w:val="0"/>
                  <w:vAlign w:val="center"/>
                </w:tcPr>
                <w:p w14:paraId="2F30F4DA">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rPr>
                      <w:color w:val="auto"/>
                      <w:sz w:val="21"/>
                      <w:szCs w:val="21"/>
                      <w:highlight w:val="none"/>
                    </w:rPr>
                  </w:pPr>
                </w:p>
              </w:tc>
              <w:tc>
                <w:tcPr>
                  <w:tcW w:w="2901" w:type="pct"/>
                  <w:tcBorders>
                    <w:tl2br w:val="nil"/>
                    <w:tr2bl w:val="nil"/>
                  </w:tcBorders>
                  <w:noWrap w:val="0"/>
                  <w:vAlign w:val="center"/>
                </w:tcPr>
                <w:p w14:paraId="5A4D51BA">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1.涉</w:t>
                  </w:r>
                  <w:r>
                    <w:rPr>
                      <w:rFonts w:hint="eastAsia"/>
                      <w:color w:val="auto"/>
                      <w:sz w:val="21"/>
                      <w:szCs w:val="21"/>
                      <w:highlight w:val="none"/>
                      <w:lang w:eastAsia="zh-CN"/>
                    </w:rPr>
                    <w:t>“</w:t>
                  </w:r>
                  <w:r>
                    <w:rPr>
                      <w:rFonts w:hint="eastAsia"/>
                      <w:color w:val="auto"/>
                      <w:sz w:val="21"/>
                      <w:szCs w:val="21"/>
                      <w:highlight w:val="none"/>
                    </w:rPr>
                    <w:t>两高</w:t>
                  </w:r>
                  <w:r>
                    <w:rPr>
                      <w:rFonts w:hint="eastAsia"/>
                      <w:color w:val="auto"/>
                      <w:sz w:val="21"/>
                      <w:szCs w:val="21"/>
                      <w:highlight w:val="none"/>
                      <w:lang w:eastAsia="zh-CN"/>
                    </w:rPr>
                    <w:t>”</w:t>
                  </w:r>
                  <w:r>
                    <w:rPr>
                      <w:rFonts w:hint="eastAsia"/>
                      <w:color w:val="auto"/>
                      <w:sz w:val="21"/>
                      <w:szCs w:val="21"/>
                      <w:highlight w:val="none"/>
                    </w:rPr>
                    <w:t>项目企业应当积极实施节能改造提升，提高能源使用效率，推进节能减排。</w:t>
                  </w:r>
                </w:p>
                <w:p w14:paraId="44D3734B">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2.落实主要污染物总量替代要求，按照山东省生态环境厅《关于印发山东省建设项目主要大气污染物排放总量替代指标核算及管理办法的通知》，实施动态管控替代。</w:t>
                  </w:r>
                </w:p>
                <w:p w14:paraId="5ACCB017">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3.废水应当按照要求进行预处理，达到行业排放标准或是综合排放标准后方可排放。</w:t>
                  </w:r>
                </w:p>
                <w:p w14:paraId="0C8783E8">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4.禁止工业废水和生活污水未经处理直排环境；原则上除工业污水集中处理设施、城镇污水处理厂外不得新建入河排污口。</w:t>
                  </w:r>
                </w:p>
                <w:p w14:paraId="1A1EB007">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5.造纸、制药、玻璃、陶瓷、化工、包装印刷、表面涂装、建材、塑料加工等严格按照淄博市行业环境管控要求，实施源头替代，建立健全治理设施，确保污染物稳定达标排放，做到持证排污。</w:t>
                  </w:r>
                </w:p>
                <w:p w14:paraId="6CD8177E">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6.规模养殖场（小区）粪污处理设施装备配套率达到100%。通过管网截污、小型污水处理站和氧化塘、人工湿地等方式因地制宜处理处置农村生活污水，解决农村污水直排问题。</w:t>
                  </w:r>
                </w:p>
                <w:p w14:paraId="036244D3">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color w:val="auto"/>
                      <w:sz w:val="21"/>
                      <w:szCs w:val="21"/>
                      <w:highlight w:val="none"/>
                    </w:rPr>
                  </w:pPr>
                  <w:r>
                    <w:rPr>
                      <w:rFonts w:hint="eastAsia"/>
                      <w:color w:val="auto"/>
                      <w:sz w:val="21"/>
                      <w:szCs w:val="21"/>
                      <w:highlight w:val="none"/>
                    </w:rPr>
                    <w:t>7.进一步加强对建设工程施工、建筑物拆除、交通运输、道路保洁、物料运输与堆存、采石取土、养护绿化等活动的扬尘管理。</w:t>
                  </w:r>
                </w:p>
              </w:tc>
              <w:tc>
                <w:tcPr>
                  <w:tcW w:w="1213" w:type="pct"/>
                  <w:tcBorders>
                    <w:tl2br w:val="nil"/>
                    <w:tr2bl w:val="nil"/>
                  </w:tcBorders>
                  <w:noWrap w:val="0"/>
                  <w:vAlign w:val="center"/>
                </w:tcPr>
                <w:p w14:paraId="09D673E0">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1.本项目不属于“两高”项目。</w:t>
                  </w:r>
                </w:p>
                <w:p w14:paraId="1F08B60A">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2.本项目严格按照要求申领总量。</w:t>
                  </w:r>
                </w:p>
                <w:p w14:paraId="02480651">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3.本项目无废水排放。</w:t>
                  </w:r>
                </w:p>
                <w:p w14:paraId="161F9485">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4.本项目不涉及废水直接排放。</w:t>
                  </w:r>
                </w:p>
                <w:p w14:paraId="425EE5EE">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5.本项目污染物能够达标排放，严格按照要求申报排污许可。</w:t>
                  </w:r>
                </w:p>
                <w:p w14:paraId="7C8C9CB0">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6.本项目不涉及。</w:t>
                  </w:r>
                </w:p>
                <w:p w14:paraId="715EA9A9">
                  <w:pPr>
                    <w:pStyle w:val="23"/>
                    <w:keepNext w:val="0"/>
                    <w:keepLines w:val="0"/>
                    <w:pageBreakBefore w:val="0"/>
                    <w:widowControl w:val="0"/>
                    <w:kinsoku/>
                    <w:wordWrap/>
                    <w:overflowPunct/>
                    <w:topLinePunct w:val="0"/>
                    <w:autoSpaceDE/>
                    <w:autoSpaceDN/>
                    <w:bidi w:val="0"/>
                    <w:adjustRightInd/>
                    <w:ind w:left="0" w:leftChars="0"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7.本项目按要求进行管理。</w:t>
                  </w:r>
                </w:p>
              </w:tc>
              <w:tc>
                <w:tcPr>
                  <w:tcW w:w="470" w:type="pct"/>
                  <w:tcBorders>
                    <w:tl2br w:val="nil"/>
                    <w:tr2bl w:val="nil"/>
                  </w:tcBorders>
                  <w:noWrap w:val="0"/>
                  <w:vAlign w:val="center"/>
                </w:tcPr>
                <w:p w14:paraId="4D1607EC">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color w:val="auto"/>
                      <w:sz w:val="21"/>
                      <w:szCs w:val="21"/>
                      <w:highlight w:val="none"/>
                    </w:rPr>
                  </w:pPr>
                  <w:r>
                    <w:rPr>
                      <w:color w:val="auto"/>
                      <w:sz w:val="21"/>
                      <w:szCs w:val="21"/>
                      <w:highlight w:val="none"/>
                    </w:rPr>
                    <w:t>符合</w:t>
                  </w:r>
                </w:p>
              </w:tc>
            </w:tr>
            <w:tr w14:paraId="50879B3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Merge w:val="continue"/>
                  <w:tcBorders>
                    <w:tl2br w:val="nil"/>
                    <w:tr2bl w:val="nil"/>
                  </w:tcBorders>
                  <w:noWrap w:val="0"/>
                  <w:vAlign w:val="center"/>
                </w:tcPr>
                <w:p w14:paraId="706905C0">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rPr>
                      <w:color w:val="auto"/>
                      <w:sz w:val="21"/>
                      <w:szCs w:val="21"/>
                      <w:highlight w:val="none"/>
                    </w:rPr>
                  </w:pPr>
                </w:p>
              </w:tc>
              <w:tc>
                <w:tcPr>
                  <w:tcW w:w="2901" w:type="pct"/>
                  <w:tcBorders>
                    <w:tl2br w:val="nil"/>
                    <w:tr2bl w:val="nil"/>
                  </w:tcBorders>
                  <w:noWrap w:val="0"/>
                  <w:vAlign w:val="center"/>
                </w:tcPr>
                <w:p w14:paraId="165ACF9B">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1.紧邻居住、科教、医院等环境敏感点的工业用地，禁止新建环境风险潜势等级高的建设项目；现有项目严格落实环评及批复环境风险防控要求。</w:t>
                  </w:r>
                </w:p>
                <w:p w14:paraId="6528CC39">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2.加强农田土壤、灌溉水的监测，对周边区域环境风险源进行评估。</w:t>
                  </w:r>
                </w:p>
                <w:p w14:paraId="3B4E7838">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3.企业事业单位按照《企业事业单位突发环境事件应急预案备案管理办法（试行）》等要求，依法依规编制环境应急预案并定期开展演练。</w:t>
                  </w:r>
                </w:p>
                <w:p w14:paraId="0F352EB7">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4.建立各企业危险废物的贮存、申报、经营许可（无废城市建设豁免的除外）、转移及处置管理制度，并负责对危废相应活动的全程监管和环境安全保障。</w:t>
                  </w:r>
                </w:p>
                <w:p w14:paraId="5FD7B6F2">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color w:val="auto"/>
                      <w:sz w:val="21"/>
                      <w:szCs w:val="21"/>
                      <w:highlight w:val="none"/>
                    </w:rPr>
                  </w:pPr>
                  <w:r>
                    <w:rPr>
                      <w:rFonts w:hint="eastAsia"/>
                      <w:color w:val="auto"/>
                      <w:sz w:val="21"/>
                      <w:szCs w:val="21"/>
                      <w:highlight w:val="none"/>
                    </w:rPr>
                    <w:t>5.按照省市要求，做好清洁取暖改造工作。</w:t>
                  </w:r>
                </w:p>
              </w:tc>
              <w:tc>
                <w:tcPr>
                  <w:tcW w:w="1213" w:type="pct"/>
                  <w:tcBorders>
                    <w:tl2br w:val="nil"/>
                    <w:tr2bl w:val="nil"/>
                  </w:tcBorders>
                  <w:noWrap w:val="0"/>
                  <w:vAlign w:val="center"/>
                </w:tcPr>
                <w:p w14:paraId="09C6A62D">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1.本项目不属于</w:t>
                  </w:r>
                  <w:r>
                    <w:rPr>
                      <w:rFonts w:hint="eastAsia"/>
                      <w:color w:val="auto"/>
                      <w:sz w:val="21"/>
                      <w:szCs w:val="21"/>
                      <w:highlight w:val="none"/>
                    </w:rPr>
                    <w:t>环境风险潜势等级高的建设项目</w:t>
                  </w:r>
                  <w:r>
                    <w:rPr>
                      <w:rFonts w:hint="eastAsia"/>
                      <w:color w:val="auto"/>
                      <w:sz w:val="21"/>
                      <w:szCs w:val="21"/>
                      <w:highlight w:val="none"/>
                      <w:lang w:eastAsia="zh-CN"/>
                    </w:rPr>
                    <w:t>，企业承诺</w:t>
                  </w:r>
                  <w:r>
                    <w:rPr>
                      <w:rFonts w:hint="eastAsia"/>
                      <w:color w:val="auto"/>
                      <w:sz w:val="21"/>
                      <w:szCs w:val="21"/>
                      <w:highlight w:val="none"/>
                    </w:rPr>
                    <w:t>严格落实环评及批复环境风险防控要求</w:t>
                  </w:r>
                  <w:r>
                    <w:rPr>
                      <w:rFonts w:hint="eastAsia" w:eastAsia="宋体"/>
                      <w:color w:val="auto"/>
                      <w:sz w:val="21"/>
                      <w:szCs w:val="21"/>
                      <w:highlight w:val="none"/>
                      <w:lang w:val="en-US" w:eastAsia="zh-CN"/>
                    </w:rPr>
                    <w:t>。</w:t>
                  </w:r>
                </w:p>
                <w:p w14:paraId="3E2ED286">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2.本项目不涉及。</w:t>
                  </w:r>
                </w:p>
                <w:p w14:paraId="04E208BE">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eastAsia="zh-CN"/>
                    </w:rPr>
                  </w:pPr>
                  <w:r>
                    <w:rPr>
                      <w:rFonts w:hint="eastAsia" w:eastAsia="宋体"/>
                      <w:color w:val="auto"/>
                      <w:sz w:val="21"/>
                      <w:szCs w:val="21"/>
                      <w:highlight w:val="none"/>
                      <w:lang w:val="en-US" w:eastAsia="zh-CN"/>
                    </w:rPr>
                    <w:t>3.本项目严格按照要求办理</w:t>
                  </w:r>
                  <w:r>
                    <w:rPr>
                      <w:rFonts w:hint="eastAsia"/>
                      <w:color w:val="auto"/>
                      <w:sz w:val="21"/>
                      <w:szCs w:val="21"/>
                      <w:highlight w:val="none"/>
                    </w:rPr>
                    <w:t>环境应急预案</w:t>
                  </w:r>
                  <w:r>
                    <w:rPr>
                      <w:rFonts w:hint="eastAsia"/>
                      <w:color w:val="auto"/>
                      <w:sz w:val="21"/>
                      <w:szCs w:val="21"/>
                      <w:highlight w:val="none"/>
                      <w:lang w:eastAsia="zh-CN"/>
                    </w:rPr>
                    <w:t>。</w:t>
                  </w:r>
                </w:p>
                <w:p w14:paraId="31F24527">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4.本项目按要求</w:t>
                  </w:r>
                  <w:r>
                    <w:rPr>
                      <w:rFonts w:hint="eastAsia"/>
                      <w:color w:val="auto"/>
                      <w:sz w:val="21"/>
                      <w:szCs w:val="21"/>
                      <w:highlight w:val="none"/>
                    </w:rPr>
                    <w:t>对危废相应活动</w:t>
                  </w:r>
                  <w:r>
                    <w:rPr>
                      <w:rFonts w:hint="eastAsia"/>
                      <w:color w:val="auto"/>
                      <w:sz w:val="21"/>
                      <w:szCs w:val="21"/>
                      <w:highlight w:val="none"/>
                      <w:lang w:eastAsia="zh-CN"/>
                    </w:rPr>
                    <w:t>进行</w:t>
                  </w:r>
                  <w:r>
                    <w:rPr>
                      <w:rFonts w:hint="eastAsia"/>
                      <w:color w:val="auto"/>
                      <w:sz w:val="21"/>
                      <w:szCs w:val="21"/>
                      <w:highlight w:val="none"/>
                    </w:rPr>
                    <w:t>全程监管和环境安全保障</w:t>
                  </w:r>
                  <w:r>
                    <w:rPr>
                      <w:rFonts w:hint="eastAsia"/>
                      <w:color w:val="auto"/>
                      <w:sz w:val="21"/>
                      <w:szCs w:val="21"/>
                      <w:highlight w:val="none"/>
                      <w:lang w:val="en-US" w:eastAsia="zh-CN"/>
                    </w:rPr>
                    <w:t>。</w:t>
                  </w:r>
                </w:p>
                <w:p w14:paraId="4A44D60F">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5.本项目使用清洁能源进行取暖。</w:t>
                  </w:r>
                </w:p>
                <w:p w14:paraId="10D1C7B8">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default" w:eastAsia="宋体"/>
                      <w:color w:val="auto"/>
                      <w:sz w:val="21"/>
                      <w:szCs w:val="21"/>
                      <w:highlight w:val="none"/>
                      <w:lang w:val="en-US" w:eastAsia="zh-CN"/>
                    </w:rPr>
                  </w:pPr>
                </w:p>
              </w:tc>
              <w:tc>
                <w:tcPr>
                  <w:tcW w:w="470" w:type="pct"/>
                  <w:tcBorders>
                    <w:tl2br w:val="nil"/>
                    <w:tr2bl w:val="nil"/>
                  </w:tcBorders>
                  <w:noWrap w:val="0"/>
                  <w:vAlign w:val="center"/>
                </w:tcPr>
                <w:p w14:paraId="5B78C959">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color w:val="auto"/>
                      <w:sz w:val="21"/>
                      <w:szCs w:val="21"/>
                      <w:highlight w:val="none"/>
                    </w:rPr>
                  </w:pPr>
                  <w:r>
                    <w:rPr>
                      <w:color w:val="auto"/>
                      <w:sz w:val="21"/>
                      <w:szCs w:val="21"/>
                      <w:highlight w:val="none"/>
                    </w:rPr>
                    <w:t>符合</w:t>
                  </w:r>
                </w:p>
              </w:tc>
            </w:tr>
            <w:tr w14:paraId="257F2DA1">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Merge w:val="continue"/>
                  <w:tcBorders>
                    <w:tl2br w:val="nil"/>
                    <w:tr2bl w:val="nil"/>
                  </w:tcBorders>
                  <w:noWrap w:val="0"/>
                  <w:vAlign w:val="center"/>
                </w:tcPr>
                <w:p w14:paraId="30CD11BD">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rPr>
                      <w:color w:val="auto"/>
                      <w:sz w:val="21"/>
                      <w:szCs w:val="21"/>
                      <w:highlight w:val="none"/>
                    </w:rPr>
                  </w:pPr>
                </w:p>
              </w:tc>
              <w:tc>
                <w:tcPr>
                  <w:tcW w:w="2901" w:type="pct"/>
                  <w:tcBorders>
                    <w:tl2br w:val="nil"/>
                    <w:tr2bl w:val="nil"/>
                  </w:tcBorders>
                  <w:noWrap w:val="0"/>
                  <w:vAlign w:val="center"/>
                </w:tcPr>
                <w:p w14:paraId="39078202">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1</w:t>
                  </w:r>
                  <w:r>
                    <w:rPr>
                      <w:rFonts w:hint="eastAsia"/>
                      <w:color w:val="auto"/>
                      <w:sz w:val="21"/>
                      <w:szCs w:val="21"/>
                      <w:highlight w:val="none"/>
                      <w:lang w:eastAsia="zh-CN"/>
                    </w:rPr>
                    <w:t>.</w:t>
                  </w:r>
                  <w:r>
                    <w:rPr>
                      <w:rFonts w:hint="eastAsia"/>
                      <w:color w:val="auto"/>
                      <w:sz w:val="21"/>
                      <w:szCs w:val="21"/>
                      <w:highlight w:val="none"/>
                    </w:rPr>
                    <w:t>高污染燃料禁燃区内执行淄博市高污染燃料禁燃区划定文件的管控要求。</w:t>
                  </w:r>
                </w:p>
                <w:p w14:paraId="731D4112">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2.加强农业节水，提高水资源使用效率。</w:t>
                  </w:r>
                </w:p>
                <w:p w14:paraId="0227A439">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rPr>
                  </w:pPr>
                  <w:r>
                    <w:rPr>
                      <w:rFonts w:hint="eastAsia"/>
                      <w:color w:val="auto"/>
                      <w:sz w:val="21"/>
                      <w:szCs w:val="21"/>
                      <w:highlight w:val="none"/>
                    </w:rPr>
                    <w:t>3.提升土地集约化水平。</w:t>
                  </w:r>
                </w:p>
                <w:p w14:paraId="7A7BC895">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color w:val="auto"/>
                      <w:sz w:val="21"/>
                      <w:szCs w:val="21"/>
                      <w:highlight w:val="none"/>
                    </w:rPr>
                  </w:pPr>
                  <w:r>
                    <w:rPr>
                      <w:rFonts w:hint="eastAsia"/>
                      <w:color w:val="auto"/>
                      <w:sz w:val="21"/>
                      <w:szCs w:val="21"/>
                      <w:highlight w:val="none"/>
                    </w:rPr>
                    <w:t>4.调整能源利用结构，控制煤炭消费量，实现减量化，鼓励使用清洁能源、新能源和可再生能源。</w:t>
                  </w:r>
                </w:p>
              </w:tc>
              <w:tc>
                <w:tcPr>
                  <w:tcW w:w="1213" w:type="pct"/>
                  <w:tcBorders>
                    <w:tl2br w:val="nil"/>
                    <w:tr2bl w:val="nil"/>
                  </w:tcBorders>
                  <w:noWrap w:val="0"/>
                  <w:vAlign w:val="center"/>
                </w:tcPr>
                <w:p w14:paraId="79D73945">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1.本项目不涉及。</w:t>
                  </w:r>
                </w:p>
                <w:p w14:paraId="68909D91">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2.本项目水资源利用效率较高。</w:t>
                  </w:r>
                </w:p>
                <w:p w14:paraId="11DBAD98">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3.本项目不涉及。</w:t>
                  </w:r>
                </w:p>
                <w:p w14:paraId="0654E1B7">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baseline"/>
                    <w:rPr>
                      <w:rFonts w:hint="default"/>
                      <w:color w:val="auto"/>
                      <w:sz w:val="21"/>
                      <w:szCs w:val="21"/>
                      <w:highlight w:val="none"/>
                      <w:lang w:val="en-US" w:eastAsia="zh-CN"/>
                    </w:rPr>
                  </w:pPr>
                  <w:r>
                    <w:rPr>
                      <w:rFonts w:hint="eastAsia"/>
                      <w:color w:val="auto"/>
                      <w:sz w:val="21"/>
                      <w:szCs w:val="21"/>
                      <w:highlight w:val="none"/>
                      <w:lang w:val="en-US" w:eastAsia="zh-CN"/>
                    </w:rPr>
                    <w:t>4.本项目</w:t>
                  </w:r>
                  <w:r>
                    <w:rPr>
                      <w:rFonts w:hint="eastAsia" w:ascii="Times New Roman" w:hAnsi="Times New Roman" w:eastAsia="宋体" w:cs="Times New Roman"/>
                      <w:color w:val="auto"/>
                      <w:sz w:val="21"/>
                      <w:szCs w:val="21"/>
                      <w:highlight w:val="none"/>
                      <w:lang w:val="en-US" w:eastAsia="zh-CN"/>
                    </w:rPr>
                    <w:t>不涉及燃煤使用，</w:t>
                  </w:r>
                  <w:r>
                    <w:rPr>
                      <w:rFonts w:hint="eastAsia"/>
                      <w:color w:val="auto"/>
                      <w:sz w:val="21"/>
                      <w:szCs w:val="21"/>
                      <w:highlight w:val="none"/>
                      <w:lang w:val="en-US" w:eastAsia="zh-CN"/>
                    </w:rPr>
                    <w:t>使用清洁能源进行生产。</w:t>
                  </w:r>
                </w:p>
              </w:tc>
              <w:tc>
                <w:tcPr>
                  <w:tcW w:w="470" w:type="pct"/>
                  <w:tcBorders>
                    <w:tl2br w:val="nil"/>
                    <w:tr2bl w:val="nil"/>
                  </w:tcBorders>
                  <w:noWrap w:val="0"/>
                  <w:vAlign w:val="center"/>
                </w:tcPr>
                <w:p w14:paraId="067288D8">
                  <w:pPr>
                    <w:keepNext w:val="0"/>
                    <w:keepLines w:val="0"/>
                    <w:pageBreakBefore w:val="0"/>
                    <w:widowControl w:val="0"/>
                    <w:kinsoku/>
                    <w:wordWrap/>
                    <w:overflowPunct/>
                    <w:topLinePunct w:val="0"/>
                    <w:autoSpaceDE/>
                    <w:autoSpaceDN/>
                    <w:bidi w:val="0"/>
                    <w:adjustRightInd/>
                    <w:snapToGrid w:val="0"/>
                    <w:spacing w:line="240" w:lineRule="auto"/>
                    <w:jc w:val="center"/>
                    <w:textAlignment w:val="baseline"/>
                    <w:rPr>
                      <w:color w:val="auto"/>
                      <w:sz w:val="21"/>
                      <w:szCs w:val="21"/>
                      <w:highlight w:val="none"/>
                    </w:rPr>
                  </w:pPr>
                  <w:r>
                    <w:rPr>
                      <w:color w:val="auto"/>
                      <w:sz w:val="21"/>
                      <w:szCs w:val="21"/>
                      <w:highlight w:val="none"/>
                    </w:rPr>
                    <w:t>符合</w:t>
                  </w:r>
                </w:p>
              </w:tc>
            </w:tr>
          </w:tbl>
          <w:p w14:paraId="1C8412FD">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表1-3 本项目与</w:t>
            </w:r>
            <w:r>
              <w:rPr>
                <w:rFonts w:hint="eastAsia" w:ascii="Times New Roman" w:hAnsi="Times New Roman" w:eastAsia="黑体" w:cs="Times New Roman"/>
                <w:b w:val="0"/>
                <w:bCs w:val="0"/>
                <w:color w:val="auto"/>
                <w:kern w:val="0"/>
                <w:sz w:val="24"/>
                <w:szCs w:val="24"/>
                <w:highlight w:val="none"/>
                <w:lang w:val="en-US" w:eastAsia="zh-CN"/>
              </w:rPr>
              <w:t>将军路街道生态环境管控单元</w:t>
            </w:r>
            <w:r>
              <w:rPr>
                <w:rFonts w:hint="default" w:ascii="Times New Roman" w:hAnsi="Times New Roman" w:eastAsia="黑体" w:cs="Times New Roman"/>
                <w:b w:val="0"/>
                <w:bCs w:val="0"/>
                <w:color w:val="auto"/>
                <w:kern w:val="0"/>
                <w:sz w:val="24"/>
                <w:szCs w:val="24"/>
                <w:highlight w:val="none"/>
                <w:lang w:val="en-US" w:eastAsia="zh-CN"/>
              </w:rPr>
              <w:t>准入清单符合性分析</w:t>
            </w:r>
          </w:p>
          <w:tbl>
            <w:tblPr>
              <w:tblStyle w:val="25"/>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8"/>
              <w:gridCol w:w="3203"/>
              <w:gridCol w:w="2258"/>
              <w:gridCol w:w="833"/>
            </w:tblGrid>
            <w:tr w14:paraId="76FB3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l2br w:val="nil"/>
                    <w:tr2bl w:val="nil"/>
                  </w:tcBorders>
                  <w:vAlign w:val="center"/>
                </w:tcPr>
                <w:p w14:paraId="5EE9753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项目</w:t>
                  </w:r>
                </w:p>
              </w:tc>
              <w:tc>
                <w:tcPr>
                  <w:tcW w:w="3657" w:type="dxa"/>
                  <w:tcBorders>
                    <w:tl2br w:val="nil"/>
                    <w:tr2bl w:val="nil"/>
                  </w:tcBorders>
                  <w:vAlign w:val="center"/>
                </w:tcPr>
                <w:p w14:paraId="4A48931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具体要求</w:t>
                  </w:r>
                </w:p>
              </w:tc>
              <w:tc>
                <w:tcPr>
                  <w:tcW w:w="2490" w:type="dxa"/>
                  <w:tcBorders>
                    <w:tl2br w:val="nil"/>
                    <w:tr2bl w:val="nil"/>
                  </w:tcBorders>
                  <w:vAlign w:val="center"/>
                </w:tcPr>
                <w:p w14:paraId="6B71FEE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本项目情况</w:t>
                  </w:r>
                </w:p>
              </w:tc>
              <w:tc>
                <w:tcPr>
                  <w:tcW w:w="911" w:type="dxa"/>
                  <w:tcBorders>
                    <w:tl2br w:val="nil"/>
                    <w:tr2bl w:val="nil"/>
                  </w:tcBorders>
                  <w:vAlign w:val="center"/>
                </w:tcPr>
                <w:p w14:paraId="0786030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符合性分析</w:t>
                  </w:r>
                </w:p>
              </w:tc>
            </w:tr>
            <w:tr w14:paraId="12B3A7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restart"/>
                  <w:tcBorders>
                    <w:tl2br w:val="nil"/>
                    <w:tr2bl w:val="nil"/>
                  </w:tcBorders>
                  <w:vAlign w:val="center"/>
                </w:tcPr>
                <w:p w14:paraId="6F42C9A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空间布局约束</w:t>
                  </w:r>
                </w:p>
              </w:tc>
              <w:tc>
                <w:tcPr>
                  <w:tcW w:w="3657" w:type="dxa"/>
                  <w:tcBorders>
                    <w:tl2br w:val="nil"/>
                    <w:tr2bl w:val="nil"/>
                  </w:tcBorders>
                  <w:vAlign w:val="center"/>
                </w:tcPr>
                <w:p w14:paraId="1261E81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2490" w:type="dxa"/>
                  <w:tcBorders>
                    <w:tl2br w:val="nil"/>
                    <w:tr2bl w:val="nil"/>
                  </w:tcBorders>
                  <w:vAlign w:val="center"/>
                </w:tcPr>
                <w:p w14:paraId="1400EEF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本项目为</w:t>
                  </w:r>
                  <w:r>
                    <w:rPr>
                      <w:rFonts w:hint="default" w:ascii="Times New Roman" w:hAnsi="Times New Roman" w:cs="Times New Roman"/>
                      <w:color w:val="auto"/>
                      <w:kern w:val="0"/>
                      <w:sz w:val="21"/>
                      <w:szCs w:val="21"/>
                      <w:highlight w:val="none"/>
                      <w:vertAlign w:val="baseline"/>
                      <w:lang w:val="en-US" w:eastAsia="zh-CN"/>
                    </w:rPr>
                    <w:t>鼓励建设项目</w:t>
                  </w:r>
                  <w:r>
                    <w:rPr>
                      <w:rFonts w:hint="default" w:ascii="Times New Roman" w:hAnsi="Times New Roman" w:eastAsia="宋体" w:cs="Times New Roman"/>
                      <w:color w:val="auto"/>
                      <w:kern w:val="0"/>
                      <w:sz w:val="21"/>
                      <w:szCs w:val="21"/>
                      <w:highlight w:val="none"/>
                      <w:vertAlign w:val="baseline"/>
                      <w:lang w:val="en-US" w:eastAsia="zh-CN"/>
                    </w:rPr>
                    <w:t>，不属于《产业结构调整指导目录》（现行）明确的淘汰类项目和引入《市场准入负面清单》（现行）禁止准入类事项。</w:t>
                  </w:r>
                </w:p>
              </w:tc>
              <w:tc>
                <w:tcPr>
                  <w:tcW w:w="911" w:type="dxa"/>
                  <w:tcBorders>
                    <w:tl2br w:val="nil"/>
                    <w:tr2bl w:val="nil"/>
                  </w:tcBorders>
                  <w:vAlign w:val="center"/>
                </w:tcPr>
                <w:p w14:paraId="18E1A42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067D6C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02AEFC2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3F3FE50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2.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2490" w:type="dxa"/>
                  <w:tcBorders>
                    <w:tl2br w:val="nil"/>
                    <w:tr2bl w:val="nil"/>
                  </w:tcBorders>
                  <w:vAlign w:val="center"/>
                </w:tcPr>
                <w:p w14:paraId="6A96C36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本项目位于淄博锦明陶瓷材料有限公司现有厂区内，用地类型为工业用地。不涉及新增建设用地。</w:t>
                  </w:r>
                </w:p>
              </w:tc>
              <w:tc>
                <w:tcPr>
                  <w:tcW w:w="911" w:type="dxa"/>
                  <w:tcBorders>
                    <w:tl2br w:val="nil"/>
                    <w:tr2bl w:val="nil"/>
                  </w:tcBorders>
                  <w:vAlign w:val="center"/>
                </w:tcPr>
                <w:p w14:paraId="75A86FA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6E1E16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870" w:type="dxa"/>
                  <w:vMerge w:val="continue"/>
                  <w:tcBorders>
                    <w:tl2br w:val="nil"/>
                    <w:tr2bl w:val="nil"/>
                  </w:tcBorders>
                  <w:vAlign w:val="center"/>
                </w:tcPr>
                <w:p w14:paraId="1B21D9E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4E473CB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3.污水处理设施不健全、未正常运行或污水管网未覆盖的地区，未配套污水处理设施的项目不得建设。</w:t>
                  </w:r>
                </w:p>
              </w:tc>
              <w:tc>
                <w:tcPr>
                  <w:tcW w:w="2490" w:type="dxa"/>
                  <w:tcBorders>
                    <w:tl2br w:val="nil"/>
                    <w:tr2bl w:val="nil"/>
                  </w:tcBorders>
                  <w:vAlign w:val="center"/>
                </w:tcPr>
                <w:p w14:paraId="50430EB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w:t>
                  </w:r>
                  <w:r>
                    <w:rPr>
                      <w:rFonts w:hint="default" w:ascii="Times New Roman" w:hAnsi="Times New Roman" w:cs="Times New Roman"/>
                      <w:color w:val="auto"/>
                      <w:kern w:val="0"/>
                      <w:sz w:val="21"/>
                      <w:szCs w:val="21"/>
                      <w:highlight w:val="none"/>
                      <w:vertAlign w:val="baseline"/>
                      <w:lang w:val="en-US" w:eastAsia="zh-CN"/>
                    </w:rPr>
                    <w:t>无废水外排。</w:t>
                  </w:r>
                </w:p>
              </w:tc>
              <w:tc>
                <w:tcPr>
                  <w:tcW w:w="911" w:type="dxa"/>
                  <w:tcBorders>
                    <w:tl2br w:val="nil"/>
                    <w:tr2bl w:val="nil"/>
                  </w:tcBorders>
                  <w:vAlign w:val="center"/>
                </w:tcPr>
                <w:p w14:paraId="625BC64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4742A3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4" w:hRule="atLeast"/>
                <w:jc w:val="center"/>
              </w:trPr>
              <w:tc>
                <w:tcPr>
                  <w:tcW w:w="870" w:type="dxa"/>
                  <w:vMerge w:val="continue"/>
                  <w:tcBorders>
                    <w:tl2br w:val="nil"/>
                    <w:tr2bl w:val="nil"/>
                  </w:tcBorders>
                  <w:vAlign w:val="center"/>
                </w:tcPr>
                <w:p w14:paraId="5EA7906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506C200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4.新建有污染物排放的工业项目，除在安全生产等方面有特殊要求的以外，应当进入工业园区或工业聚集区。</w:t>
                  </w:r>
                </w:p>
              </w:tc>
              <w:tc>
                <w:tcPr>
                  <w:tcW w:w="2490" w:type="dxa"/>
                  <w:tcBorders>
                    <w:tl2br w:val="nil"/>
                    <w:tr2bl w:val="nil"/>
                  </w:tcBorders>
                  <w:vAlign w:val="center"/>
                </w:tcPr>
                <w:p w14:paraId="4DBE199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本项目为技改项目。</w:t>
                  </w:r>
                </w:p>
              </w:tc>
              <w:tc>
                <w:tcPr>
                  <w:tcW w:w="911" w:type="dxa"/>
                  <w:tcBorders>
                    <w:tl2br w:val="nil"/>
                    <w:tr2bl w:val="nil"/>
                  </w:tcBorders>
                  <w:vAlign w:val="center"/>
                </w:tcPr>
                <w:p w14:paraId="2206C19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符合</w:t>
                  </w:r>
                </w:p>
              </w:tc>
            </w:tr>
            <w:tr w14:paraId="18B163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870" w:type="dxa"/>
                  <w:vMerge w:val="continue"/>
                  <w:tcBorders>
                    <w:tl2br w:val="nil"/>
                    <w:tr2bl w:val="nil"/>
                  </w:tcBorders>
                  <w:vAlign w:val="center"/>
                </w:tcPr>
                <w:p w14:paraId="01ABE1B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0BD6C78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5.按照省市要求，严格控制“两高”项目，新建“两高”项目实行“五个减量替代”。</w:t>
                  </w:r>
                </w:p>
              </w:tc>
              <w:tc>
                <w:tcPr>
                  <w:tcW w:w="2490" w:type="dxa"/>
                  <w:tcBorders>
                    <w:tl2br w:val="nil"/>
                    <w:tr2bl w:val="nil"/>
                  </w:tcBorders>
                  <w:vAlign w:val="center"/>
                </w:tcPr>
                <w:p w14:paraId="05661B4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本项目不属于</w:t>
                  </w:r>
                  <w:r>
                    <w:rPr>
                      <w:rFonts w:hint="default" w:ascii="Times New Roman" w:hAnsi="Times New Roman" w:eastAsia="宋体" w:cs="Times New Roman"/>
                      <w:color w:val="auto"/>
                      <w:kern w:val="0"/>
                      <w:sz w:val="21"/>
                      <w:szCs w:val="21"/>
                      <w:highlight w:val="none"/>
                      <w:vertAlign w:val="baseline"/>
                      <w:lang w:val="en-US" w:eastAsia="zh-CN"/>
                    </w:rPr>
                    <w:t>“两高”项目</w:t>
                  </w:r>
                  <w:r>
                    <w:rPr>
                      <w:rFonts w:hint="eastAsia" w:ascii="Times New Roman" w:hAnsi="Times New Roman" w:eastAsia="宋体" w:cs="Times New Roman"/>
                      <w:color w:val="auto"/>
                      <w:kern w:val="0"/>
                      <w:sz w:val="21"/>
                      <w:szCs w:val="21"/>
                      <w:highlight w:val="none"/>
                      <w:vertAlign w:val="baseline"/>
                      <w:lang w:val="en-US" w:eastAsia="zh-CN"/>
                    </w:rPr>
                    <w:t>。</w:t>
                  </w:r>
                </w:p>
              </w:tc>
              <w:tc>
                <w:tcPr>
                  <w:tcW w:w="911" w:type="dxa"/>
                  <w:tcBorders>
                    <w:tl2br w:val="nil"/>
                    <w:tr2bl w:val="nil"/>
                  </w:tcBorders>
                  <w:vAlign w:val="center"/>
                </w:tcPr>
                <w:p w14:paraId="27035C4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符合</w:t>
                  </w:r>
                </w:p>
              </w:tc>
            </w:tr>
            <w:tr w14:paraId="598D94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restart"/>
                  <w:tcBorders>
                    <w:tl2br w:val="nil"/>
                    <w:tr2bl w:val="nil"/>
                  </w:tcBorders>
                  <w:vAlign w:val="center"/>
                </w:tcPr>
                <w:p w14:paraId="5FD5E9A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污染物排放管控</w:t>
                  </w:r>
                </w:p>
              </w:tc>
              <w:tc>
                <w:tcPr>
                  <w:tcW w:w="3657" w:type="dxa"/>
                  <w:tcBorders>
                    <w:tl2br w:val="nil"/>
                    <w:tr2bl w:val="nil"/>
                  </w:tcBorders>
                  <w:vAlign w:val="center"/>
                </w:tcPr>
                <w:p w14:paraId="0C29044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1.涉“两高”项目企业应当积极实施节能改造提升，提高能源使用效率，推进节能减排。</w:t>
                  </w:r>
                </w:p>
              </w:tc>
              <w:tc>
                <w:tcPr>
                  <w:tcW w:w="2490" w:type="dxa"/>
                  <w:tcBorders>
                    <w:tl2br w:val="nil"/>
                    <w:tr2bl w:val="nil"/>
                  </w:tcBorders>
                  <w:vAlign w:val="center"/>
                </w:tcPr>
                <w:p w14:paraId="6CA0D50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本项目属于</w:t>
                  </w:r>
                  <w:r>
                    <w:rPr>
                      <w:rFonts w:hint="default" w:ascii="Times New Roman" w:hAnsi="Times New Roman" w:cs="Times New Roman"/>
                      <w:color w:val="auto"/>
                      <w:kern w:val="0"/>
                      <w:sz w:val="21"/>
                      <w:szCs w:val="21"/>
                      <w:highlight w:val="none"/>
                      <w:vertAlign w:val="baseline"/>
                      <w:lang w:val="en-US" w:eastAsia="zh-CN"/>
                    </w:rPr>
                    <w:t>C2642油墨及类似产品制造行业</w:t>
                  </w:r>
                  <w:r>
                    <w:rPr>
                      <w:rFonts w:hint="default" w:ascii="Times New Roman" w:hAnsi="Times New Roman" w:eastAsia="宋体" w:cs="Times New Roman"/>
                      <w:color w:val="auto"/>
                      <w:kern w:val="0"/>
                      <w:sz w:val="21"/>
                      <w:szCs w:val="21"/>
                      <w:highlight w:val="none"/>
                      <w:vertAlign w:val="baseline"/>
                      <w:lang w:val="en-US" w:eastAsia="zh-CN"/>
                    </w:rPr>
                    <w:t>，根据《山东省</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两高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项目管理目录（2023年版）》，本项目不属于</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两高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w:t>
                  </w:r>
                </w:p>
              </w:tc>
              <w:tc>
                <w:tcPr>
                  <w:tcW w:w="911" w:type="dxa"/>
                  <w:tcBorders>
                    <w:tl2br w:val="nil"/>
                    <w:tr2bl w:val="nil"/>
                  </w:tcBorders>
                  <w:vAlign w:val="center"/>
                </w:tcPr>
                <w:p w14:paraId="5EAC33D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17A5FD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33B72B0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639B814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2.落实主要污染物总量控制和排污许可制度。新（改、扩）建工业项目生产工艺应达到</w:t>
                  </w:r>
                  <w:r>
                    <w:rPr>
                      <w:rFonts w:hint="default" w:ascii="Times New Roman" w:hAnsi="Times New Roman" w:cs="Times New Roman"/>
                      <w:color w:val="auto"/>
                      <w:kern w:val="0"/>
                      <w:sz w:val="21"/>
                      <w:szCs w:val="21"/>
                      <w:highlight w:val="none"/>
                      <w:vertAlign w:val="baseline"/>
                      <w:lang w:val="en-US" w:eastAsia="zh-CN"/>
                    </w:rPr>
                    <w:t>国际</w:t>
                  </w:r>
                  <w:r>
                    <w:rPr>
                      <w:rFonts w:hint="default" w:ascii="Times New Roman" w:hAnsi="Times New Roman" w:eastAsia="宋体" w:cs="Times New Roman"/>
                      <w:color w:val="auto"/>
                      <w:kern w:val="0"/>
                      <w:sz w:val="21"/>
                      <w:szCs w:val="21"/>
                      <w:highlight w:val="none"/>
                      <w:vertAlign w:val="baseline"/>
                      <w:lang w:val="en-US" w:eastAsia="zh-CN"/>
                    </w:rPr>
                    <w:t>先进水平，主要污染物治理要达到国内同行业先进水平，实施主要污染物总量等量或倍量替代。</w:t>
                  </w:r>
                </w:p>
              </w:tc>
              <w:tc>
                <w:tcPr>
                  <w:tcW w:w="2490" w:type="dxa"/>
                  <w:tcBorders>
                    <w:tl2br w:val="nil"/>
                    <w:tr2bl w:val="nil"/>
                  </w:tcBorders>
                  <w:vAlign w:val="center"/>
                </w:tcPr>
                <w:p w14:paraId="0FDE1F2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在办理环评手续过程中同时申请总量指标，在竣工验收、开始实质性排污之前须重新申请排污登记；本项目采用自动化控制程度较高的生产线，主要污染物治理将达到国内同行业先进水平，项目需重新申请污染物总量并进行倍量替代。</w:t>
                  </w:r>
                </w:p>
              </w:tc>
              <w:tc>
                <w:tcPr>
                  <w:tcW w:w="911" w:type="dxa"/>
                  <w:tcBorders>
                    <w:tl2br w:val="nil"/>
                    <w:tr2bl w:val="nil"/>
                  </w:tcBorders>
                  <w:vAlign w:val="center"/>
                </w:tcPr>
                <w:p w14:paraId="1BC32D4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18F72C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65FCF0B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299425E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3.废水应当按照分类收集、分质处理的要求进行预处理，达到行业排放标准或是综合排放标准后方可排放。</w:t>
                  </w:r>
                </w:p>
              </w:tc>
              <w:tc>
                <w:tcPr>
                  <w:tcW w:w="2490" w:type="dxa"/>
                  <w:tcBorders>
                    <w:tl2br w:val="nil"/>
                    <w:tr2bl w:val="nil"/>
                  </w:tcBorders>
                  <w:vAlign w:val="center"/>
                </w:tcPr>
                <w:p w14:paraId="31A9670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本项目无废水外排。</w:t>
                  </w:r>
                </w:p>
              </w:tc>
              <w:tc>
                <w:tcPr>
                  <w:tcW w:w="911" w:type="dxa"/>
                  <w:tcBorders>
                    <w:tl2br w:val="nil"/>
                    <w:tr2bl w:val="nil"/>
                  </w:tcBorders>
                  <w:vAlign w:val="center"/>
                </w:tcPr>
                <w:p w14:paraId="4ED1142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2D899E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870" w:type="dxa"/>
                  <w:vMerge w:val="continue"/>
                  <w:tcBorders>
                    <w:tl2br w:val="nil"/>
                    <w:tr2bl w:val="nil"/>
                  </w:tcBorders>
                  <w:vAlign w:val="center"/>
                </w:tcPr>
                <w:p w14:paraId="5FC97FF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03B72B7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4.禁止工业废水和生活污水未经处理直排环境；原则上除工业污水集中处理设施、城镇污水处理厂外不得新建入河排污口。</w:t>
                  </w:r>
                </w:p>
              </w:tc>
              <w:tc>
                <w:tcPr>
                  <w:tcW w:w="2490" w:type="dxa"/>
                  <w:tcBorders>
                    <w:tl2br w:val="nil"/>
                    <w:tr2bl w:val="nil"/>
                  </w:tcBorders>
                  <w:vAlign w:val="center"/>
                </w:tcPr>
                <w:p w14:paraId="72CB795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cs="Times New Roman"/>
                      <w:color w:val="auto"/>
                      <w:kern w:val="0"/>
                      <w:sz w:val="21"/>
                      <w:szCs w:val="21"/>
                      <w:highlight w:val="none"/>
                      <w:vertAlign w:val="baseline"/>
                      <w:lang w:val="en-US" w:eastAsia="zh-CN"/>
                    </w:rPr>
                    <w:t>本项目无废水外排。</w:t>
                  </w:r>
                </w:p>
              </w:tc>
              <w:tc>
                <w:tcPr>
                  <w:tcW w:w="911" w:type="dxa"/>
                  <w:tcBorders>
                    <w:tl2br w:val="nil"/>
                    <w:tr2bl w:val="nil"/>
                  </w:tcBorders>
                  <w:vAlign w:val="center"/>
                </w:tcPr>
                <w:p w14:paraId="379D3D2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0EFB4C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870" w:type="dxa"/>
                  <w:vMerge w:val="continue"/>
                  <w:tcBorders>
                    <w:tl2br w:val="nil"/>
                    <w:tr2bl w:val="nil"/>
                  </w:tcBorders>
                  <w:vAlign w:val="center"/>
                </w:tcPr>
                <w:p w14:paraId="423981E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27B96EE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5.涉VOCs排放的行业，严格按照淄博市行业环境管控要求，实施源头替代，建立健全治理设施，确保污染物稳定达标排放，做到持证排污。</w:t>
                  </w:r>
                </w:p>
              </w:tc>
              <w:tc>
                <w:tcPr>
                  <w:tcW w:w="2490" w:type="dxa"/>
                  <w:tcBorders>
                    <w:tl2br w:val="nil"/>
                    <w:tr2bl w:val="nil"/>
                  </w:tcBorders>
                  <w:vAlign w:val="center"/>
                </w:tcPr>
                <w:p w14:paraId="4DAF5EB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本项目废气均采用治理设施处理，开始实质排污前重新申请排污登记。</w:t>
                  </w:r>
                </w:p>
              </w:tc>
              <w:tc>
                <w:tcPr>
                  <w:tcW w:w="911" w:type="dxa"/>
                  <w:tcBorders>
                    <w:tl2br w:val="nil"/>
                    <w:tr2bl w:val="nil"/>
                  </w:tcBorders>
                  <w:vAlign w:val="center"/>
                </w:tcPr>
                <w:p w14:paraId="62FBDDA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符合</w:t>
                  </w:r>
                </w:p>
              </w:tc>
            </w:tr>
            <w:tr w14:paraId="3635C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459A02C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24B7E7B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6.加快实施城中村、老旧城区、城乡结合部污水收集和雨污管网分流改造，基本实现城市建成区污水全收集、全处理。</w:t>
                  </w:r>
                </w:p>
              </w:tc>
              <w:tc>
                <w:tcPr>
                  <w:tcW w:w="2490" w:type="dxa"/>
                  <w:tcBorders>
                    <w:tl2br w:val="nil"/>
                    <w:tr2bl w:val="nil"/>
                  </w:tcBorders>
                  <w:vAlign w:val="center"/>
                </w:tcPr>
                <w:p w14:paraId="0545F4B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本项目无废水外排。</w:t>
                  </w:r>
                </w:p>
              </w:tc>
              <w:tc>
                <w:tcPr>
                  <w:tcW w:w="911" w:type="dxa"/>
                  <w:tcBorders>
                    <w:tl2br w:val="nil"/>
                    <w:tr2bl w:val="nil"/>
                  </w:tcBorders>
                  <w:vAlign w:val="center"/>
                </w:tcPr>
                <w:p w14:paraId="7D3A7EA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3E899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0" w:type="dxa"/>
                  <w:vMerge w:val="continue"/>
                  <w:tcBorders>
                    <w:tl2br w:val="nil"/>
                    <w:tr2bl w:val="nil"/>
                  </w:tcBorders>
                  <w:vAlign w:val="center"/>
                </w:tcPr>
                <w:p w14:paraId="4139507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3FB60E1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7.进一步加强对建设工程施工、建筑物拆除、交通运输、道路保洁、物料运输与堆存、取土、养护绿化等活动的扬尘管理。</w:t>
                  </w:r>
                </w:p>
              </w:tc>
              <w:tc>
                <w:tcPr>
                  <w:tcW w:w="2490" w:type="dxa"/>
                  <w:tcBorders>
                    <w:tl2br w:val="nil"/>
                    <w:tr2bl w:val="nil"/>
                  </w:tcBorders>
                  <w:vAlign w:val="center"/>
                </w:tcPr>
                <w:p w14:paraId="16F37D1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本项目施工期间仅为设备安装，不涉及土建。</w:t>
                  </w:r>
                </w:p>
              </w:tc>
              <w:tc>
                <w:tcPr>
                  <w:tcW w:w="911" w:type="dxa"/>
                  <w:tcBorders>
                    <w:tl2br w:val="nil"/>
                    <w:tr2bl w:val="nil"/>
                  </w:tcBorders>
                  <w:vAlign w:val="center"/>
                </w:tcPr>
                <w:p w14:paraId="64027D1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2A7B38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76D6E79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50A59E5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8.加强餐饮服务业燃料烟气及油烟防治，鼓励餐饮业及居民生活能源使用天然气、液化石油气等洁净能源。餐饮行业按要求安装油烟高效净化设备并定期清洗和维护。</w:t>
                  </w:r>
                </w:p>
              </w:tc>
              <w:tc>
                <w:tcPr>
                  <w:tcW w:w="2490" w:type="dxa"/>
                  <w:tcBorders>
                    <w:tl2br w:val="nil"/>
                    <w:tr2bl w:val="nil"/>
                  </w:tcBorders>
                  <w:vAlign w:val="center"/>
                </w:tcPr>
                <w:p w14:paraId="784D9F9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w:t>
                  </w:r>
                  <w:r>
                    <w:rPr>
                      <w:rFonts w:hint="default" w:ascii="Times New Roman" w:hAnsi="Times New Roman" w:cs="Times New Roman"/>
                      <w:color w:val="auto"/>
                      <w:kern w:val="0"/>
                      <w:sz w:val="21"/>
                      <w:szCs w:val="21"/>
                      <w:highlight w:val="none"/>
                      <w:vertAlign w:val="baseline"/>
                      <w:lang w:val="en-US" w:eastAsia="zh-CN"/>
                    </w:rPr>
                    <w:t>不属于餐饮行业。</w:t>
                  </w:r>
                </w:p>
              </w:tc>
              <w:tc>
                <w:tcPr>
                  <w:tcW w:w="911" w:type="dxa"/>
                  <w:tcBorders>
                    <w:tl2br w:val="nil"/>
                    <w:tr2bl w:val="nil"/>
                  </w:tcBorders>
                  <w:vAlign w:val="center"/>
                </w:tcPr>
                <w:p w14:paraId="17107AB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4F08F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restart"/>
                  <w:tcBorders>
                    <w:tl2br w:val="nil"/>
                    <w:tr2bl w:val="nil"/>
                  </w:tcBorders>
                  <w:vAlign w:val="center"/>
                </w:tcPr>
                <w:p w14:paraId="5567772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环境风险管控</w:t>
                  </w:r>
                </w:p>
              </w:tc>
              <w:tc>
                <w:tcPr>
                  <w:tcW w:w="3657" w:type="dxa"/>
                  <w:tcBorders>
                    <w:tl2br w:val="nil"/>
                    <w:tr2bl w:val="nil"/>
                  </w:tcBorders>
                  <w:vAlign w:val="center"/>
                </w:tcPr>
                <w:p w14:paraId="397324B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1.加强农田土壤、灌溉水的监测，对周边区域环境风险源进行评估。</w:t>
                  </w:r>
                </w:p>
              </w:tc>
              <w:tc>
                <w:tcPr>
                  <w:tcW w:w="2490" w:type="dxa"/>
                  <w:tcBorders>
                    <w:tl2br w:val="nil"/>
                    <w:tr2bl w:val="nil"/>
                  </w:tcBorders>
                  <w:vAlign w:val="center"/>
                </w:tcPr>
                <w:p w14:paraId="10BF68A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本项目重点区域采取防腐防渗措施，基本不会对土壤地下水地表水造成污染。</w:t>
                  </w:r>
                </w:p>
              </w:tc>
              <w:tc>
                <w:tcPr>
                  <w:tcW w:w="911" w:type="dxa"/>
                  <w:tcBorders>
                    <w:tl2br w:val="nil"/>
                    <w:tr2bl w:val="nil"/>
                  </w:tcBorders>
                  <w:vAlign w:val="center"/>
                </w:tcPr>
                <w:p w14:paraId="217B4F1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3A8D71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53C5A2A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6F6EF96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2.紧邻居住、科教、医院等环境敏感点的工业用地，禁止新建环境风险潜势等级高的建设项目。</w:t>
                  </w:r>
                </w:p>
              </w:tc>
              <w:tc>
                <w:tcPr>
                  <w:tcW w:w="2490" w:type="dxa"/>
                  <w:tcBorders>
                    <w:tl2br w:val="nil"/>
                    <w:tr2bl w:val="nil"/>
                  </w:tcBorders>
                  <w:vAlign w:val="center"/>
                </w:tcPr>
                <w:p w14:paraId="7FCFC7E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本项目位于淄博锦明陶瓷材料有限公司现有厂区内，距离最近的敏感点为石门村，位于厂区东南方向375m。</w:t>
                  </w:r>
                </w:p>
              </w:tc>
              <w:tc>
                <w:tcPr>
                  <w:tcW w:w="911" w:type="dxa"/>
                  <w:tcBorders>
                    <w:tl2br w:val="nil"/>
                    <w:tr2bl w:val="nil"/>
                  </w:tcBorders>
                  <w:vAlign w:val="center"/>
                </w:tcPr>
                <w:p w14:paraId="5FF5C0B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4100BD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3A516C2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4C2AB9F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3.企业应按照《企业事业单位突发环境事件应急预案备案管理办法（试行）》等要求，依法依规编制环境应急预案并定期开展演练。</w:t>
                  </w:r>
                </w:p>
              </w:tc>
              <w:tc>
                <w:tcPr>
                  <w:tcW w:w="2490" w:type="dxa"/>
                  <w:tcBorders>
                    <w:tl2br w:val="nil"/>
                    <w:tr2bl w:val="nil"/>
                  </w:tcBorders>
                  <w:vAlign w:val="center"/>
                </w:tcPr>
                <w:p w14:paraId="4B391E8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建设单位将按照《企业事业单位突发环境事件应急预案备案管理办法（试行）》及当地管理要求，依法依规编制环境应急预案并定期开展演练。</w:t>
                  </w:r>
                </w:p>
              </w:tc>
              <w:tc>
                <w:tcPr>
                  <w:tcW w:w="911" w:type="dxa"/>
                  <w:tcBorders>
                    <w:tl2br w:val="nil"/>
                    <w:tr2bl w:val="nil"/>
                  </w:tcBorders>
                  <w:vAlign w:val="center"/>
                </w:tcPr>
                <w:p w14:paraId="3856132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0F7295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2B6E44E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13C72E4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4.建立各企业危险废物的贮存、申报、经营许可、转移及处置管理制度，并负责对危废相应活动的全程监管和环境安全保障。</w:t>
                  </w:r>
                </w:p>
              </w:tc>
              <w:tc>
                <w:tcPr>
                  <w:tcW w:w="2490" w:type="dxa"/>
                  <w:tcBorders>
                    <w:tl2br w:val="nil"/>
                    <w:tr2bl w:val="nil"/>
                  </w:tcBorders>
                  <w:vAlign w:val="center"/>
                </w:tcPr>
                <w:p w14:paraId="44338DD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本报告将严格要求该建设单位在营运过程严格遵守固废法，建立危险废物管理制度，对产生的危废进行全流程管理。</w:t>
                  </w:r>
                </w:p>
              </w:tc>
              <w:tc>
                <w:tcPr>
                  <w:tcW w:w="911" w:type="dxa"/>
                  <w:tcBorders>
                    <w:tl2br w:val="nil"/>
                    <w:tr2bl w:val="nil"/>
                  </w:tcBorders>
                  <w:vAlign w:val="center"/>
                </w:tcPr>
                <w:p w14:paraId="30F1107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27D81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restart"/>
                  <w:tcBorders>
                    <w:tl2br w:val="nil"/>
                    <w:tr2bl w:val="nil"/>
                  </w:tcBorders>
                  <w:vAlign w:val="center"/>
                </w:tcPr>
                <w:p w14:paraId="5DF0AEA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资源开发效率要求</w:t>
                  </w:r>
                </w:p>
              </w:tc>
              <w:tc>
                <w:tcPr>
                  <w:tcW w:w="3657" w:type="dxa"/>
                  <w:tcBorders>
                    <w:tl2br w:val="nil"/>
                    <w:tr2bl w:val="nil"/>
                  </w:tcBorders>
                  <w:vAlign w:val="center"/>
                </w:tcPr>
                <w:p w14:paraId="20BA331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1.严格执行淄博市高污染燃料禁燃区划定范围及管控要求。</w:t>
                  </w:r>
                </w:p>
              </w:tc>
              <w:tc>
                <w:tcPr>
                  <w:tcW w:w="2490" w:type="dxa"/>
                  <w:tcBorders>
                    <w:tl2br w:val="nil"/>
                    <w:tr2bl w:val="nil"/>
                  </w:tcBorders>
                  <w:vAlign w:val="center"/>
                </w:tcPr>
                <w:p w14:paraId="6D24BC0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本项目能源为电能，不涉及煤炭使用。</w:t>
                  </w:r>
                </w:p>
              </w:tc>
              <w:tc>
                <w:tcPr>
                  <w:tcW w:w="911" w:type="dxa"/>
                  <w:tcBorders>
                    <w:tl2br w:val="nil"/>
                    <w:tr2bl w:val="nil"/>
                  </w:tcBorders>
                  <w:vAlign w:val="center"/>
                </w:tcPr>
                <w:p w14:paraId="6E70D04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2FCA4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870" w:type="dxa"/>
                  <w:vMerge w:val="continue"/>
                  <w:tcBorders>
                    <w:tl2br w:val="nil"/>
                    <w:tr2bl w:val="nil"/>
                  </w:tcBorders>
                  <w:vAlign w:val="center"/>
                </w:tcPr>
                <w:p w14:paraId="759E7F3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7F659E9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2.提升土地集约化水平。</w:t>
                  </w:r>
                </w:p>
              </w:tc>
              <w:tc>
                <w:tcPr>
                  <w:tcW w:w="2490" w:type="dxa"/>
                  <w:tcBorders>
                    <w:tl2br w:val="nil"/>
                    <w:tr2bl w:val="nil"/>
                  </w:tcBorders>
                  <w:vAlign w:val="center"/>
                </w:tcPr>
                <w:p w14:paraId="07A3513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本项目位于淄博锦明陶瓷材料有限公司现有厂区内，不新增建设用地。</w:t>
                  </w:r>
                </w:p>
              </w:tc>
              <w:tc>
                <w:tcPr>
                  <w:tcW w:w="911" w:type="dxa"/>
                  <w:tcBorders>
                    <w:tl2br w:val="nil"/>
                    <w:tr2bl w:val="nil"/>
                  </w:tcBorders>
                  <w:vAlign w:val="center"/>
                </w:tcPr>
                <w:p w14:paraId="6DF4464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709134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3620CD3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3657" w:type="dxa"/>
                  <w:tcBorders>
                    <w:tl2br w:val="nil"/>
                    <w:tr2bl w:val="nil"/>
                  </w:tcBorders>
                  <w:vAlign w:val="center"/>
                </w:tcPr>
                <w:p w14:paraId="5BCB1D3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3.调整能源利用结构，控制煤炭消费量，实现减量化，鼓励使用清洁能源、新能源和可再生能源。</w:t>
                  </w:r>
                </w:p>
              </w:tc>
              <w:tc>
                <w:tcPr>
                  <w:tcW w:w="2490" w:type="dxa"/>
                  <w:tcBorders>
                    <w:tl2br w:val="nil"/>
                    <w:tr2bl w:val="nil"/>
                  </w:tcBorders>
                  <w:vAlign w:val="center"/>
                </w:tcPr>
                <w:p w14:paraId="4B5BD7A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本项目能源为电能，不涉及煤炭使用。</w:t>
                  </w:r>
                </w:p>
              </w:tc>
              <w:tc>
                <w:tcPr>
                  <w:tcW w:w="911" w:type="dxa"/>
                  <w:tcBorders>
                    <w:tl2br w:val="nil"/>
                    <w:tr2bl w:val="nil"/>
                  </w:tcBorders>
                  <w:vAlign w:val="center"/>
                </w:tcPr>
                <w:p w14:paraId="4619921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bl>
          <w:p w14:paraId="32634241">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b w:val="0"/>
                <w:bCs w:val="0"/>
                <w:color w:val="auto"/>
                <w:kern w:val="0"/>
                <w:sz w:val="24"/>
                <w:szCs w:val="24"/>
                <w:highlight w:val="none"/>
                <w:lang w:val="en-US" w:eastAsia="zh-CN"/>
              </w:rPr>
              <w:t>综上分析，在落实区域环境保护治理措施的前提下，项目建设符合</w:t>
            </w:r>
            <w:r>
              <w:rPr>
                <w:rFonts w:hint="eastAsia" w:ascii="Times New Roman" w:hAnsi="Times New Roman" w:eastAsia="宋体" w:cs="Times New Roman"/>
                <w:bCs/>
                <w:color w:val="auto"/>
                <w:sz w:val="24"/>
                <w:szCs w:val="24"/>
                <w:highlight w:val="none"/>
                <w:lang w:val="en-US" w:eastAsia="zh-CN"/>
              </w:rPr>
              <w:t>《淄博市人民政府关于印发淄博市“三线一单”生态环境分区管控方案的通知》（淄政字〔2021〕49号）及</w:t>
            </w:r>
            <w:r>
              <w:rPr>
                <w:rFonts w:hint="default" w:ascii="Times New Roman" w:hAnsi="Times New Roman" w:eastAsia="Times New Roman" w:cs="Times New Roman"/>
                <w:b w:val="0"/>
                <w:bCs w:val="0"/>
                <w:color w:val="auto"/>
                <w:sz w:val="24"/>
                <w:szCs w:val="24"/>
                <w:highlight w:val="none"/>
                <w:lang w:val="zh-CN"/>
              </w:rPr>
              <w:t>《淄博市</w:t>
            </w:r>
            <w:r>
              <w:rPr>
                <w:rFonts w:hint="eastAsia" w:ascii="Times New Roman" w:hAnsi="Times New Roman" w:eastAsia="宋体" w:cs="Times New Roman"/>
                <w:b w:val="0"/>
                <w:bCs w:val="0"/>
                <w:color w:val="auto"/>
                <w:sz w:val="24"/>
                <w:szCs w:val="24"/>
                <w:highlight w:val="none"/>
                <w:lang w:val="en-US" w:eastAsia="zh-CN"/>
              </w:rPr>
              <w:t>2023年生态环境分区管控成果动态更新项目生态环境准入清单</w:t>
            </w:r>
            <w:r>
              <w:rPr>
                <w:rFonts w:hint="default" w:ascii="Times New Roman" w:hAnsi="Times New Roman" w:eastAsia="Times New Roman" w:cs="Times New Roman"/>
                <w:b w:val="0"/>
                <w:bCs w:val="0"/>
                <w:color w:val="auto"/>
                <w:sz w:val="24"/>
                <w:szCs w:val="24"/>
                <w:highlight w:val="none"/>
                <w:lang w:val="zh-CN"/>
              </w:rPr>
              <w:t>》</w:t>
            </w:r>
            <w:r>
              <w:rPr>
                <w:rFonts w:hint="eastAsia" w:ascii="Times New Roman" w:hAnsi="Times New Roman" w:eastAsia="宋体" w:cs="Times New Roman"/>
                <w:b w:val="0"/>
                <w:bCs w:val="0"/>
                <w:color w:val="auto"/>
                <w:sz w:val="24"/>
                <w:szCs w:val="24"/>
                <w:highlight w:val="none"/>
                <w:lang w:val="en-US" w:eastAsia="zh-CN"/>
              </w:rPr>
              <w:t>的通知（淄</w:t>
            </w:r>
            <w:r>
              <w:rPr>
                <w:rFonts w:hint="eastAsia" w:ascii="Times New Roman" w:hAnsi="Times New Roman" w:eastAsia="宋体" w:cs="Times New Roman"/>
                <w:bCs/>
                <w:color w:val="auto"/>
                <w:sz w:val="24"/>
                <w:szCs w:val="24"/>
                <w:highlight w:val="none"/>
                <w:lang w:val="en-US" w:eastAsia="zh-CN"/>
              </w:rPr>
              <w:t>博市生态环境委员会办公室，2024年4月18日）的相关要求</w:t>
            </w:r>
            <w:r>
              <w:rPr>
                <w:rFonts w:hint="eastAsia" w:ascii="Times New Roman" w:hAnsi="Times New Roman" w:eastAsia="宋体" w:cs="Times New Roman"/>
                <w:b w:val="0"/>
                <w:bCs w:val="0"/>
                <w:color w:val="auto"/>
                <w:kern w:val="0"/>
                <w:sz w:val="24"/>
                <w:szCs w:val="24"/>
                <w:highlight w:val="none"/>
                <w:lang w:val="en-US" w:eastAsia="zh-CN"/>
              </w:rPr>
              <w:t>。</w:t>
            </w:r>
          </w:p>
          <w:p w14:paraId="2D049968">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cs="Times New Roman"/>
                <w:b/>
                <w:bCs/>
                <w:color w:val="auto"/>
                <w:kern w:val="0"/>
                <w:sz w:val="24"/>
                <w:szCs w:val="24"/>
                <w:highlight w:val="none"/>
                <w:lang w:val="en-US" w:eastAsia="zh-CN"/>
              </w:rPr>
              <w:t>5</w:t>
            </w:r>
            <w:r>
              <w:rPr>
                <w:rFonts w:hint="default" w:ascii="Times New Roman" w:hAnsi="Times New Roman" w:eastAsia="宋体" w:cs="Times New Roman"/>
                <w:b/>
                <w:bCs/>
                <w:color w:val="auto"/>
                <w:kern w:val="0"/>
                <w:sz w:val="24"/>
                <w:szCs w:val="24"/>
                <w:highlight w:val="none"/>
                <w:lang w:val="en-US" w:eastAsia="zh-CN"/>
              </w:rPr>
              <w:t>.与《山东省环境保护条例》符合性分析</w:t>
            </w:r>
          </w:p>
          <w:p w14:paraId="4C3E436E">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4</w:t>
            </w:r>
            <w:r>
              <w:rPr>
                <w:rFonts w:hint="default" w:ascii="Times New Roman" w:hAnsi="Times New Roman" w:eastAsia="黑体" w:cs="Times New Roman"/>
                <w:b w:val="0"/>
                <w:bCs w:val="0"/>
                <w:color w:val="auto"/>
                <w:kern w:val="0"/>
                <w:sz w:val="24"/>
                <w:szCs w:val="24"/>
                <w:lang w:val="en-US" w:eastAsia="zh-CN"/>
              </w:rPr>
              <w:t xml:space="preserve"> 与《山东省环境保护条例》符合性分析</w:t>
            </w:r>
          </w:p>
          <w:tbl>
            <w:tblPr>
              <w:tblStyle w:val="2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37"/>
              <w:gridCol w:w="4040"/>
              <w:gridCol w:w="1852"/>
              <w:gridCol w:w="676"/>
            </w:tblGrid>
            <w:tr w14:paraId="59DD58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78" w:type="pct"/>
                  <w:tcBorders>
                    <w:tl2br w:val="nil"/>
                    <w:tr2bl w:val="nil"/>
                  </w:tcBorders>
                  <w:noWrap w:val="0"/>
                  <w:vAlign w:val="center"/>
                </w:tcPr>
                <w:p w14:paraId="4AE5EE8F">
                  <w:pPr>
                    <w:pStyle w:val="55"/>
                    <w:keepNext w:val="0"/>
                    <w:keepLines w:val="0"/>
                    <w:pageBreakBefore w:val="0"/>
                    <w:widowControl w:val="0"/>
                    <w:shd w:val="clear"/>
                    <w:kinsoku/>
                    <w:wordWrap/>
                    <w:overflowPunct/>
                    <w:topLinePunct w:val="0"/>
                    <w:autoSpaceDE/>
                    <w:autoSpaceDN/>
                    <w:bidi w:val="0"/>
                    <w:adjustRightInd/>
                    <w:snapToGrid/>
                    <w:spacing w:line="312" w:lineRule="atLeast"/>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2843" w:type="pct"/>
                  <w:tcBorders>
                    <w:tl2br w:val="nil"/>
                    <w:tr2bl w:val="nil"/>
                  </w:tcBorders>
                  <w:noWrap w:val="0"/>
                  <w:vAlign w:val="center"/>
                </w:tcPr>
                <w:p w14:paraId="237C6647">
                  <w:pPr>
                    <w:pStyle w:val="55"/>
                    <w:keepNext w:val="0"/>
                    <w:keepLines w:val="0"/>
                    <w:pageBreakBefore w:val="0"/>
                    <w:widowControl w:val="0"/>
                    <w:shd w:val="clear"/>
                    <w:kinsoku/>
                    <w:wordWrap/>
                    <w:overflowPunct/>
                    <w:topLinePunct w:val="0"/>
                    <w:autoSpaceDE/>
                    <w:autoSpaceDN/>
                    <w:bidi w:val="0"/>
                    <w:adjustRightInd/>
                    <w:snapToGrid/>
                    <w:spacing w:line="312" w:lineRule="atLeast"/>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相关要求</w:t>
                  </w:r>
                </w:p>
              </w:tc>
              <w:tc>
                <w:tcPr>
                  <w:tcW w:w="1303" w:type="pct"/>
                  <w:tcBorders>
                    <w:tl2br w:val="nil"/>
                    <w:tr2bl w:val="nil"/>
                  </w:tcBorders>
                  <w:noWrap w:val="0"/>
                  <w:vAlign w:val="center"/>
                </w:tcPr>
                <w:p w14:paraId="280D5CB3">
                  <w:pPr>
                    <w:pStyle w:val="55"/>
                    <w:keepNext w:val="0"/>
                    <w:keepLines w:val="0"/>
                    <w:pageBreakBefore w:val="0"/>
                    <w:widowControl w:val="0"/>
                    <w:shd w:val="clear"/>
                    <w:kinsoku/>
                    <w:wordWrap/>
                    <w:overflowPunct/>
                    <w:topLinePunct w:val="0"/>
                    <w:autoSpaceDE/>
                    <w:autoSpaceDN/>
                    <w:bidi w:val="0"/>
                    <w:adjustRightInd/>
                    <w:snapToGrid/>
                    <w:spacing w:line="312" w:lineRule="atLeast"/>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符合情况</w:t>
                  </w:r>
                </w:p>
              </w:tc>
              <w:tc>
                <w:tcPr>
                  <w:tcW w:w="476" w:type="pct"/>
                  <w:tcBorders>
                    <w:tl2br w:val="nil"/>
                    <w:tr2bl w:val="nil"/>
                  </w:tcBorders>
                  <w:noWrap w:val="0"/>
                  <w:vAlign w:val="center"/>
                </w:tcPr>
                <w:p w14:paraId="3E5F8072">
                  <w:pPr>
                    <w:pStyle w:val="55"/>
                    <w:keepNext w:val="0"/>
                    <w:keepLines w:val="0"/>
                    <w:pageBreakBefore w:val="0"/>
                    <w:widowControl w:val="0"/>
                    <w:shd w:val="clear"/>
                    <w:kinsoku/>
                    <w:wordWrap/>
                    <w:overflowPunct/>
                    <w:topLinePunct w:val="0"/>
                    <w:autoSpaceDE/>
                    <w:autoSpaceDN/>
                    <w:bidi w:val="0"/>
                    <w:adjustRightInd/>
                    <w:snapToGrid/>
                    <w:spacing w:line="312" w:lineRule="atLeast"/>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符合性</w:t>
                  </w:r>
                </w:p>
              </w:tc>
            </w:tr>
            <w:tr w14:paraId="15E729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2" w:hRule="atLeast"/>
              </w:trPr>
              <w:tc>
                <w:tcPr>
                  <w:tcW w:w="378" w:type="pct"/>
                  <w:tcBorders>
                    <w:tl2br w:val="nil"/>
                    <w:tr2bl w:val="nil"/>
                  </w:tcBorders>
                  <w:noWrap w:val="0"/>
                  <w:vAlign w:val="center"/>
                </w:tcPr>
                <w:p w14:paraId="09EA961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1</w:t>
                  </w:r>
                </w:p>
              </w:tc>
              <w:tc>
                <w:tcPr>
                  <w:tcW w:w="2843" w:type="pct"/>
                  <w:tcBorders>
                    <w:tl2br w:val="nil"/>
                    <w:tr2bl w:val="nil"/>
                  </w:tcBorders>
                  <w:noWrap w:val="0"/>
                  <w:vAlign w:val="center"/>
                </w:tcPr>
                <w:p w14:paraId="15E724E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新建、改建、扩建建设项目，应当依法进行环境影响评价。建设项目可能对相邻地区造成重大环境影响的，生态环境主管部门在审批其环境影响评价文件时，应当征求相邻地区同级生态环境主管部门的意见；意见不一致的，由共同的上一级人民政府生态环境主管部门作出处理。</w:t>
                  </w:r>
                </w:p>
              </w:tc>
              <w:tc>
                <w:tcPr>
                  <w:tcW w:w="1303" w:type="pct"/>
                  <w:tcBorders>
                    <w:tl2br w:val="nil"/>
                    <w:tr2bl w:val="nil"/>
                  </w:tcBorders>
                  <w:noWrap w:val="0"/>
                  <w:vAlign w:val="center"/>
                </w:tcPr>
                <w:p w14:paraId="1C93924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bCs/>
                      <w:snapToGrid w:val="0"/>
                      <w:color w:val="auto"/>
                      <w:sz w:val="21"/>
                      <w:szCs w:val="21"/>
                      <w:highlight w:val="none"/>
                    </w:rPr>
                    <w:t>项目依法进行环境影响评价</w:t>
                  </w:r>
                  <w:r>
                    <w:rPr>
                      <w:rFonts w:hint="default" w:ascii="Times New Roman" w:hAnsi="Times New Roman" w:eastAsia="宋体" w:cs="Times New Roman"/>
                      <w:bCs/>
                      <w:snapToGrid w:val="0"/>
                      <w:color w:val="auto"/>
                      <w:sz w:val="21"/>
                      <w:szCs w:val="21"/>
                      <w:highlight w:val="none"/>
                      <w:lang w:eastAsia="zh-CN"/>
                    </w:rPr>
                    <w:t>。</w:t>
                  </w:r>
                </w:p>
              </w:tc>
              <w:tc>
                <w:tcPr>
                  <w:tcW w:w="476" w:type="pct"/>
                  <w:tcBorders>
                    <w:tl2br w:val="nil"/>
                    <w:tr2bl w:val="nil"/>
                  </w:tcBorders>
                  <w:noWrap w:val="0"/>
                  <w:vAlign w:val="center"/>
                </w:tcPr>
                <w:p w14:paraId="0E25F0D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33ABD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2" w:hRule="atLeast"/>
              </w:trPr>
              <w:tc>
                <w:tcPr>
                  <w:tcW w:w="378" w:type="pct"/>
                  <w:tcBorders>
                    <w:tl2br w:val="nil"/>
                    <w:tr2bl w:val="nil"/>
                  </w:tcBorders>
                  <w:noWrap w:val="0"/>
                  <w:vAlign w:val="center"/>
                </w:tcPr>
                <w:p w14:paraId="59B6CC6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2</w:t>
                  </w:r>
                </w:p>
              </w:tc>
              <w:tc>
                <w:tcPr>
                  <w:tcW w:w="2843" w:type="pct"/>
                  <w:tcBorders>
                    <w:tl2br w:val="nil"/>
                    <w:tr2bl w:val="nil"/>
                  </w:tcBorders>
                  <w:noWrap w:val="0"/>
                  <w:vAlign w:val="center"/>
                </w:tcPr>
                <w:p w14:paraId="059DEBD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p>
              </w:tc>
              <w:tc>
                <w:tcPr>
                  <w:tcW w:w="1303" w:type="pct"/>
                  <w:tcBorders>
                    <w:tl2br w:val="nil"/>
                    <w:tr2bl w:val="nil"/>
                  </w:tcBorders>
                  <w:noWrap w:val="0"/>
                  <w:vAlign w:val="center"/>
                </w:tcPr>
                <w:p w14:paraId="1F79ACC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本项目不属于禁止建设项目，符合国家产业政策。</w:t>
                  </w:r>
                </w:p>
              </w:tc>
              <w:tc>
                <w:tcPr>
                  <w:tcW w:w="476" w:type="pct"/>
                  <w:tcBorders>
                    <w:tl2br w:val="nil"/>
                    <w:tr2bl w:val="nil"/>
                  </w:tcBorders>
                  <w:noWrap w:val="0"/>
                  <w:vAlign w:val="center"/>
                </w:tcPr>
                <w:p w14:paraId="2FBF970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235EC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2" w:hRule="atLeast"/>
              </w:trPr>
              <w:tc>
                <w:tcPr>
                  <w:tcW w:w="378" w:type="pct"/>
                  <w:tcBorders>
                    <w:tl2br w:val="nil"/>
                    <w:tr2bl w:val="nil"/>
                  </w:tcBorders>
                  <w:noWrap w:val="0"/>
                  <w:vAlign w:val="center"/>
                </w:tcPr>
                <w:p w14:paraId="61DC0A5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3</w:t>
                  </w:r>
                </w:p>
              </w:tc>
              <w:tc>
                <w:tcPr>
                  <w:tcW w:w="2843" w:type="pct"/>
                  <w:tcBorders>
                    <w:tl2br w:val="nil"/>
                    <w:tr2bl w:val="nil"/>
                  </w:tcBorders>
                  <w:noWrap w:val="0"/>
                  <w:vAlign w:val="center"/>
                </w:tcPr>
                <w:p w14:paraId="3BDD526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排污单位应当采取措施，防止在生产建设或者其他活动中产生的废气、废水、</w:t>
                  </w:r>
                  <w:r>
                    <w:rPr>
                      <w:rFonts w:hint="default" w:ascii="Times New Roman" w:hAnsi="Times New Roman" w:cs="Times New Roman"/>
                      <w:color w:val="auto"/>
                      <w:kern w:val="0"/>
                      <w:sz w:val="21"/>
                      <w:szCs w:val="21"/>
                      <w:highlight w:val="none"/>
                      <w:vertAlign w:val="baseline"/>
                      <w:lang w:val="en-US" w:eastAsia="zh-CN"/>
                    </w:rPr>
                    <w:t>废槽渣</w:t>
                  </w:r>
                  <w:r>
                    <w:rPr>
                      <w:rFonts w:hint="default" w:ascii="Times New Roman" w:hAnsi="Times New Roman" w:eastAsia="宋体" w:cs="Times New Roman"/>
                      <w:color w:val="auto"/>
                      <w:kern w:val="0"/>
                      <w:sz w:val="21"/>
                      <w:szCs w:val="21"/>
                      <w:highlight w:val="none"/>
                      <w:vertAlign w:val="baseline"/>
                      <w:lang w:val="en-US" w:eastAsia="zh-CN"/>
                    </w:rPr>
                    <w:t>、医疗废物、粉尘、恶臭气体、放射性物质以及噪声、振动、光辐射、电磁辐射等对环境的污染和危害，其污染排放不得超过排放标准和重点污染物排放总量控制指标。</w:t>
                  </w:r>
                </w:p>
              </w:tc>
              <w:tc>
                <w:tcPr>
                  <w:tcW w:w="1303" w:type="pct"/>
                  <w:tcBorders>
                    <w:tl2br w:val="nil"/>
                    <w:tr2bl w:val="nil"/>
                  </w:tcBorders>
                  <w:noWrap w:val="0"/>
                  <w:vAlign w:val="center"/>
                </w:tcPr>
                <w:p w14:paraId="35180D1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本项目废气均得到有效治理</w:t>
                  </w:r>
                  <w:r>
                    <w:rPr>
                      <w:rFonts w:hint="default" w:ascii="Times New Roman" w:hAnsi="Times New Roman" w:eastAsia="宋体" w:cs="Times New Roman"/>
                      <w:color w:val="auto"/>
                      <w:kern w:val="0"/>
                      <w:sz w:val="21"/>
                      <w:szCs w:val="21"/>
                      <w:highlight w:val="none"/>
                      <w:vertAlign w:val="baseline"/>
                      <w:lang w:val="en-US" w:eastAsia="zh-CN"/>
                    </w:rPr>
                    <w:t>，</w:t>
                  </w:r>
                  <w:r>
                    <w:rPr>
                      <w:rFonts w:hint="default" w:ascii="Times New Roman" w:hAnsi="Times New Roman" w:cs="Times New Roman"/>
                      <w:color w:val="auto"/>
                      <w:kern w:val="0"/>
                      <w:sz w:val="21"/>
                      <w:szCs w:val="21"/>
                      <w:highlight w:val="none"/>
                      <w:vertAlign w:val="baseline"/>
                      <w:lang w:val="en-US" w:eastAsia="zh-CN"/>
                    </w:rPr>
                    <w:t>无废水外排</w:t>
                  </w:r>
                  <w:r>
                    <w:rPr>
                      <w:rFonts w:hint="default" w:ascii="Times New Roman" w:hAnsi="Times New Roman" w:eastAsia="宋体" w:cs="Times New Roman"/>
                      <w:color w:val="auto"/>
                      <w:kern w:val="0"/>
                      <w:sz w:val="21"/>
                      <w:szCs w:val="21"/>
                      <w:highlight w:val="none"/>
                      <w:vertAlign w:val="baseline"/>
                      <w:lang w:val="en-US" w:eastAsia="zh-CN"/>
                    </w:rPr>
                    <w:t>，噪声经减振处理，固体废物按照相关要求进行处理，污染物排放量不超相关排放标准和总量指标。</w:t>
                  </w:r>
                </w:p>
              </w:tc>
              <w:tc>
                <w:tcPr>
                  <w:tcW w:w="476" w:type="pct"/>
                  <w:tcBorders>
                    <w:tl2br w:val="nil"/>
                    <w:tr2bl w:val="nil"/>
                  </w:tcBorders>
                  <w:noWrap w:val="0"/>
                  <w:vAlign w:val="center"/>
                </w:tcPr>
                <w:p w14:paraId="08F7B43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0CB15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2" w:hRule="atLeast"/>
              </w:trPr>
              <w:tc>
                <w:tcPr>
                  <w:tcW w:w="378" w:type="pct"/>
                  <w:tcBorders>
                    <w:tl2br w:val="nil"/>
                    <w:tr2bl w:val="nil"/>
                  </w:tcBorders>
                  <w:noWrap w:val="0"/>
                  <w:vAlign w:val="center"/>
                </w:tcPr>
                <w:p w14:paraId="5FE2E23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4</w:t>
                  </w:r>
                </w:p>
              </w:tc>
              <w:tc>
                <w:tcPr>
                  <w:tcW w:w="2843" w:type="pct"/>
                  <w:tcBorders>
                    <w:tl2br w:val="nil"/>
                    <w:tr2bl w:val="nil"/>
                  </w:tcBorders>
                  <w:noWrap w:val="0"/>
                  <w:vAlign w:val="center"/>
                </w:tcPr>
                <w:p w14:paraId="634E4CA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新建、改建、扩建建设项目，应当根据环境影响评价文件以及生态环境主管部门审批决定的要求建设环境保护设施、落实环境保护措施。环境保护设施应当与主体工程同时设计、同时施工、同时投产使用。</w:t>
                  </w:r>
                </w:p>
              </w:tc>
              <w:tc>
                <w:tcPr>
                  <w:tcW w:w="2033" w:type="dxa"/>
                  <w:tcBorders>
                    <w:tl2br w:val="nil"/>
                    <w:tr2bl w:val="nil"/>
                  </w:tcBorders>
                  <w:noWrap w:val="0"/>
                  <w:vAlign w:val="center"/>
                </w:tcPr>
                <w:p w14:paraId="6857D60F">
                  <w:pPr>
                    <w:pStyle w:val="55"/>
                    <w:keepNext w:val="0"/>
                    <w:keepLines w:val="0"/>
                    <w:pageBreakBefore w:val="0"/>
                    <w:widowControl w:val="0"/>
                    <w:shd w:val="clear"/>
                    <w:kinsoku/>
                    <w:wordWrap/>
                    <w:overflowPunct/>
                    <w:topLinePunct w:val="0"/>
                    <w:bidi w:val="0"/>
                    <w:spacing w:line="312" w:lineRule="atLeast"/>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本项目按照环保要求进行环保设施的设计、建设。环保设施的建设与主体工程同时进行</w:t>
                  </w:r>
                  <w:r>
                    <w:rPr>
                      <w:rFonts w:hint="default" w:ascii="Times New Roman" w:hAnsi="Times New Roman" w:eastAsia="宋体" w:cs="Times New Roman"/>
                      <w:color w:val="auto"/>
                      <w:sz w:val="21"/>
                      <w:szCs w:val="21"/>
                      <w:highlight w:val="none"/>
                      <w:lang w:eastAsia="zh-CN"/>
                    </w:rPr>
                    <w:t>。</w:t>
                  </w:r>
                </w:p>
              </w:tc>
              <w:tc>
                <w:tcPr>
                  <w:tcW w:w="476" w:type="pct"/>
                  <w:tcBorders>
                    <w:tl2br w:val="nil"/>
                    <w:tr2bl w:val="nil"/>
                  </w:tcBorders>
                  <w:noWrap w:val="0"/>
                  <w:vAlign w:val="center"/>
                </w:tcPr>
                <w:p w14:paraId="0A33A8C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19626A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2" w:hRule="atLeast"/>
              </w:trPr>
              <w:tc>
                <w:tcPr>
                  <w:tcW w:w="378" w:type="pct"/>
                  <w:tcBorders>
                    <w:tl2br w:val="nil"/>
                    <w:tr2bl w:val="nil"/>
                  </w:tcBorders>
                  <w:noWrap w:val="0"/>
                  <w:vAlign w:val="center"/>
                </w:tcPr>
                <w:p w14:paraId="379A0EE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5</w:t>
                  </w:r>
                </w:p>
              </w:tc>
              <w:tc>
                <w:tcPr>
                  <w:tcW w:w="2843" w:type="pct"/>
                  <w:tcBorders>
                    <w:tl2br w:val="nil"/>
                    <w:tr2bl w:val="nil"/>
                  </w:tcBorders>
                  <w:noWrap w:val="0"/>
                  <w:vAlign w:val="center"/>
                </w:tcPr>
                <w:p w14:paraId="023AB7E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排污单位应当按照环境保护设施的设计要求和排污许可证规定的排放要求，制定完善环境保护管理制度和操作规程，并保障环境保护设施正常运行。</w:t>
                  </w:r>
                </w:p>
              </w:tc>
              <w:tc>
                <w:tcPr>
                  <w:tcW w:w="2033" w:type="dxa"/>
                  <w:tcBorders>
                    <w:tl2br w:val="nil"/>
                    <w:tr2bl w:val="nil"/>
                  </w:tcBorders>
                  <w:noWrap w:val="0"/>
                  <w:vAlign w:val="center"/>
                </w:tcPr>
                <w:p w14:paraId="1F7DEE12">
                  <w:pPr>
                    <w:pStyle w:val="55"/>
                    <w:keepNext w:val="0"/>
                    <w:keepLines w:val="0"/>
                    <w:pageBreakBefore w:val="0"/>
                    <w:widowControl w:val="0"/>
                    <w:shd w:val="clear"/>
                    <w:kinsoku/>
                    <w:wordWrap/>
                    <w:overflowPunct/>
                    <w:topLinePunct w:val="0"/>
                    <w:bidi w:val="0"/>
                    <w:spacing w:line="312" w:lineRule="atLeast"/>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项目按要求制定环保管理制度和操作规程，并保证环保设施正常运行</w:t>
                  </w:r>
                  <w:r>
                    <w:rPr>
                      <w:rFonts w:hint="default" w:ascii="Times New Roman" w:hAnsi="Times New Roman" w:eastAsia="宋体" w:cs="Times New Roman"/>
                      <w:color w:val="auto"/>
                      <w:sz w:val="21"/>
                      <w:szCs w:val="21"/>
                      <w:highlight w:val="none"/>
                      <w:lang w:eastAsia="zh-CN"/>
                    </w:rPr>
                    <w:t>。</w:t>
                  </w:r>
                </w:p>
              </w:tc>
              <w:tc>
                <w:tcPr>
                  <w:tcW w:w="476" w:type="pct"/>
                  <w:tcBorders>
                    <w:tl2br w:val="nil"/>
                    <w:tr2bl w:val="nil"/>
                  </w:tcBorders>
                  <w:noWrap w:val="0"/>
                  <w:vAlign w:val="center"/>
                </w:tcPr>
                <w:p w14:paraId="74F946E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bl>
          <w:p w14:paraId="6761378A">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eastAsia" w:cs="Times New Roman"/>
                <w:b/>
                <w:bCs/>
                <w:color w:val="auto"/>
                <w:kern w:val="0"/>
                <w:sz w:val="24"/>
                <w:szCs w:val="24"/>
                <w:highlight w:val="none"/>
                <w:lang w:val="en-US" w:eastAsia="zh-CN"/>
              </w:rPr>
              <w:t>6</w:t>
            </w:r>
            <w:r>
              <w:rPr>
                <w:rFonts w:hint="default" w:ascii="Times New Roman" w:hAnsi="Times New Roman" w:eastAsia="宋体" w:cs="Times New Roman"/>
                <w:b/>
                <w:bCs/>
                <w:color w:val="auto"/>
                <w:kern w:val="0"/>
                <w:sz w:val="24"/>
                <w:szCs w:val="24"/>
                <w:highlight w:val="none"/>
                <w:lang w:val="en-US" w:eastAsia="zh-CN"/>
              </w:rPr>
              <w:t>.与《山东省大气污染防治条例》符合性分析</w:t>
            </w:r>
          </w:p>
          <w:p w14:paraId="5283C99C">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5</w:t>
            </w:r>
            <w:r>
              <w:rPr>
                <w:rFonts w:hint="default" w:ascii="Times New Roman" w:hAnsi="Times New Roman" w:eastAsia="黑体" w:cs="Times New Roman"/>
                <w:b w:val="0"/>
                <w:bCs w:val="0"/>
                <w:color w:val="auto"/>
                <w:kern w:val="0"/>
                <w:sz w:val="24"/>
                <w:szCs w:val="24"/>
                <w:lang w:val="en-US" w:eastAsia="zh-CN"/>
              </w:rPr>
              <w:t xml:space="preserve"> 与《山东省大气污染防治条例》符合性分析</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587"/>
              <w:gridCol w:w="3778"/>
              <w:gridCol w:w="1984"/>
              <w:gridCol w:w="756"/>
            </w:tblGrid>
            <w:tr w14:paraId="2E7E2E1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55" w:hRule="exact"/>
                <w:jc w:val="center"/>
              </w:trPr>
              <w:tc>
                <w:tcPr>
                  <w:tcW w:w="634" w:type="dxa"/>
                  <w:tcBorders>
                    <w:tl2br w:val="nil"/>
                    <w:tr2bl w:val="nil"/>
                  </w:tcBorders>
                  <w:vAlign w:val="center"/>
                </w:tcPr>
                <w:p w14:paraId="470587F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序号</w:t>
                  </w:r>
                </w:p>
              </w:tc>
              <w:tc>
                <w:tcPr>
                  <w:tcW w:w="4227" w:type="dxa"/>
                  <w:tcBorders>
                    <w:tl2br w:val="nil"/>
                    <w:tr2bl w:val="nil"/>
                  </w:tcBorders>
                  <w:vAlign w:val="center"/>
                </w:tcPr>
                <w:p w14:paraId="49170B2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文件要求</w:t>
                  </w:r>
                </w:p>
              </w:tc>
              <w:tc>
                <w:tcPr>
                  <w:tcW w:w="2182" w:type="dxa"/>
                  <w:tcBorders>
                    <w:tl2br w:val="nil"/>
                    <w:tr2bl w:val="nil"/>
                  </w:tcBorders>
                  <w:vAlign w:val="center"/>
                </w:tcPr>
                <w:p w14:paraId="6181F78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本项目情况</w:t>
                  </w:r>
                </w:p>
              </w:tc>
              <w:tc>
                <w:tcPr>
                  <w:tcW w:w="827" w:type="dxa"/>
                  <w:tcBorders>
                    <w:tl2br w:val="nil"/>
                    <w:tr2bl w:val="nil"/>
                  </w:tcBorders>
                  <w:vAlign w:val="center"/>
                </w:tcPr>
                <w:p w14:paraId="2E0508E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符合性</w:t>
                  </w:r>
                </w:p>
              </w:tc>
            </w:tr>
            <w:tr w14:paraId="0BEFC3B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55" w:hRule="atLeast"/>
                <w:jc w:val="center"/>
              </w:trPr>
              <w:tc>
                <w:tcPr>
                  <w:tcW w:w="634" w:type="dxa"/>
                  <w:tcBorders>
                    <w:tl2br w:val="nil"/>
                    <w:tr2bl w:val="nil"/>
                  </w:tcBorders>
                  <w:vAlign w:val="center"/>
                </w:tcPr>
                <w:p w14:paraId="02B6739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1</w:t>
                  </w:r>
                </w:p>
              </w:tc>
              <w:tc>
                <w:tcPr>
                  <w:tcW w:w="4227" w:type="dxa"/>
                  <w:tcBorders>
                    <w:tl2br w:val="nil"/>
                    <w:tr2bl w:val="nil"/>
                  </w:tcBorders>
                  <w:vAlign w:val="center"/>
                </w:tcPr>
                <w:p w14:paraId="6661BA0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设区的市、县（市、区）人民政府应当制定本行政区域锅炉整治计划，按照国家和省有关规定要求淘汰、拆除燃煤小锅炉、分散燃煤锅炉和不能达标排放的其他燃煤锅炉，并对现有的燃煤锅炉进行超低排放改造。除国家和省另有规定外，在城市建成区、开发区、工业园区内不得新建额定蒸发量二十吨以下的直接燃煤、重油、渣油锅炉以及直接燃用生物质的锅炉。</w:t>
                  </w:r>
                </w:p>
              </w:tc>
              <w:tc>
                <w:tcPr>
                  <w:tcW w:w="2182" w:type="dxa"/>
                  <w:tcBorders>
                    <w:tl2br w:val="nil"/>
                    <w:tr2bl w:val="nil"/>
                  </w:tcBorders>
                  <w:vAlign w:val="center"/>
                </w:tcPr>
                <w:p w14:paraId="387633C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本项目使用电作为能源，不使用煤炭、重油、渣油、生物质等燃料，本项目不涉及锅炉。</w:t>
                  </w:r>
                </w:p>
              </w:tc>
              <w:tc>
                <w:tcPr>
                  <w:tcW w:w="827" w:type="dxa"/>
                  <w:tcBorders>
                    <w:tl2br w:val="nil"/>
                    <w:tr2bl w:val="nil"/>
                  </w:tcBorders>
                  <w:vAlign w:val="center"/>
                </w:tcPr>
                <w:p w14:paraId="5B1B959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5B14570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419" w:hRule="atLeast"/>
                <w:jc w:val="center"/>
              </w:trPr>
              <w:tc>
                <w:tcPr>
                  <w:tcW w:w="634" w:type="dxa"/>
                  <w:tcBorders>
                    <w:tl2br w:val="nil"/>
                    <w:tr2bl w:val="nil"/>
                  </w:tcBorders>
                  <w:vAlign w:val="center"/>
                </w:tcPr>
                <w:p w14:paraId="5F66424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2</w:t>
                  </w:r>
                </w:p>
              </w:tc>
              <w:tc>
                <w:tcPr>
                  <w:tcW w:w="4227" w:type="dxa"/>
                  <w:tcBorders>
                    <w:tl2br w:val="nil"/>
                    <w:tr2bl w:val="nil"/>
                  </w:tcBorders>
                  <w:vAlign w:val="center"/>
                </w:tcPr>
                <w:p w14:paraId="0446E41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县级以上人民政府供热主管部门应当组织编制供热专项规划，发展分布式能源，统筹热源和管网建设，逐步扩大城乡集中供热范围。在集中供热管网覆盖区域内，禁止新建、扩建分散燃煤供热锅炉；已建成的分散燃煤供热锅炉应当在县级以上人民政府环境保护主管部门规定的期限内停止使用。</w:t>
                  </w:r>
                </w:p>
              </w:tc>
              <w:tc>
                <w:tcPr>
                  <w:tcW w:w="2182" w:type="dxa"/>
                  <w:tcBorders>
                    <w:tl2br w:val="nil"/>
                    <w:tr2bl w:val="nil"/>
                  </w:tcBorders>
                  <w:vAlign w:val="center"/>
                </w:tcPr>
                <w:p w14:paraId="630AE66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企业办公用热使用空调供热，厂内不进行供热锅炉的建设。</w:t>
                  </w:r>
                </w:p>
              </w:tc>
              <w:tc>
                <w:tcPr>
                  <w:tcW w:w="827" w:type="dxa"/>
                  <w:tcBorders>
                    <w:tl2br w:val="nil"/>
                    <w:tr2bl w:val="nil"/>
                  </w:tcBorders>
                  <w:vAlign w:val="center"/>
                </w:tcPr>
                <w:p w14:paraId="31256DE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6CC70B1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561" w:hRule="atLeast"/>
                <w:jc w:val="center"/>
              </w:trPr>
              <w:tc>
                <w:tcPr>
                  <w:tcW w:w="634" w:type="dxa"/>
                  <w:tcBorders>
                    <w:tl2br w:val="nil"/>
                    <w:tr2bl w:val="nil"/>
                  </w:tcBorders>
                  <w:vAlign w:val="center"/>
                </w:tcPr>
                <w:p w14:paraId="3931218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3</w:t>
                  </w:r>
                </w:p>
              </w:tc>
              <w:tc>
                <w:tcPr>
                  <w:tcW w:w="4227" w:type="dxa"/>
                  <w:tcBorders>
                    <w:tl2br w:val="nil"/>
                    <w:tr2bl w:val="nil"/>
                  </w:tcBorders>
                  <w:vAlign w:val="center"/>
                </w:tcPr>
                <w:p w14:paraId="4856F6F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燃煤机组应当实现超低排放，使大气污染物排放浓度符合规定限值。</w:t>
                  </w:r>
                </w:p>
              </w:tc>
              <w:tc>
                <w:tcPr>
                  <w:tcW w:w="2182" w:type="dxa"/>
                  <w:tcBorders>
                    <w:tl2br w:val="nil"/>
                    <w:tr2bl w:val="nil"/>
                  </w:tcBorders>
                  <w:vAlign w:val="center"/>
                </w:tcPr>
                <w:p w14:paraId="7D48FA7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项目不涉及燃煤机组。</w:t>
                  </w:r>
                </w:p>
              </w:tc>
              <w:tc>
                <w:tcPr>
                  <w:tcW w:w="827" w:type="dxa"/>
                  <w:tcBorders>
                    <w:tl2br w:val="nil"/>
                    <w:tr2bl w:val="nil"/>
                  </w:tcBorders>
                  <w:vAlign w:val="center"/>
                </w:tcPr>
                <w:p w14:paraId="7057715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0E3EB42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820" w:hRule="atLeast"/>
                <w:jc w:val="center"/>
              </w:trPr>
              <w:tc>
                <w:tcPr>
                  <w:tcW w:w="634" w:type="dxa"/>
                  <w:tcBorders>
                    <w:tl2br w:val="nil"/>
                    <w:tr2bl w:val="nil"/>
                  </w:tcBorders>
                  <w:vAlign w:val="center"/>
                </w:tcPr>
                <w:p w14:paraId="09884D3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4</w:t>
                  </w:r>
                </w:p>
              </w:tc>
              <w:tc>
                <w:tcPr>
                  <w:tcW w:w="4227" w:type="dxa"/>
                  <w:tcBorders>
                    <w:tl2br w:val="nil"/>
                    <w:tr2bl w:val="nil"/>
                  </w:tcBorders>
                  <w:vAlign w:val="center"/>
                </w:tcPr>
                <w:p w14:paraId="603E8B4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使用燃煤炉窑、煤气发生炉等设施的单位应当采用清洁生产工艺，配套建设除尘、脱硫、脱硝等装置，或者采取技术改造等其他控制大气污染物排放的措施。</w:t>
                  </w:r>
                </w:p>
              </w:tc>
              <w:tc>
                <w:tcPr>
                  <w:tcW w:w="2182" w:type="dxa"/>
                  <w:tcBorders>
                    <w:tl2br w:val="nil"/>
                    <w:tr2bl w:val="nil"/>
                  </w:tcBorders>
                  <w:vAlign w:val="center"/>
                </w:tcPr>
                <w:p w14:paraId="52A8FE7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项目不涉及燃煤炉窑、煤气发生炉。</w:t>
                  </w:r>
                </w:p>
              </w:tc>
              <w:tc>
                <w:tcPr>
                  <w:tcW w:w="827" w:type="dxa"/>
                  <w:tcBorders>
                    <w:tl2br w:val="nil"/>
                    <w:tr2bl w:val="nil"/>
                  </w:tcBorders>
                  <w:vAlign w:val="center"/>
                </w:tcPr>
                <w:p w14:paraId="0E8196D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359A39E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1365" w:hRule="atLeast"/>
                <w:jc w:val="center"/>
              </w:trPr>
              <w:tc>
                <w:tcPr>
                  <w:tcW w:w="634" w:type="dxa"/>
                  <w:tcBorders>
                    <w:tl2br w:val="nil"/>
                    <w:tr2bl w:val="nil"/>
                  </w:tcBorders>
                  <w:vAlign w:val="center"/>
                </w:tcPr>
                <w:p w14:paraId="2E248D7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5</w:t>
                  </w:r>
                </w:p>
              </w:tc>
              <w:tc>
                <w:tcPr>
                  <w:tcW w:w="4227" w:type="dxa"/>
                  <w:tcBorders>
                    <w:tl2br w:val="nil"/>
                    <w:tr2bl w:val="nil"/>
                  </w:tcBorders>
                  <w:vAlign w:val="center"/>
                </w:tcPr>
                <w:p w14:paraId="4D82290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县级以上人民政府应当合理确定产业布局和发展规模，制定产业投资项目负面清单，严格控制新建、扩建钢铁、石化、化工、有色金属冶炼、水泥、平板玻璃、建筑陶瓷等工业项目，鼓励、支持现有的工业企业进行技术升级改造。在城市建成区及其周边的重污染企业，应当逐步进行搬迁改造或者转型退出。</w:t>
                  </w:r>
                </w:p>
              </w:tc>
              <w:tc>
                <w:tcPr>
                  <w:tcW w:w="2182" w:type="dxa"/>
                  <w:tcBorders>
                    <w:tl2br w:val="nil"/>
                    <w:tr2bl w:val="nil"/>
                  </w:tcBorders>
                  <w:vAlign w:val="center"/>
                </w:tcPr>
                <w:p w14:paraId="6F31253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本项目属于</w:t>
                  </w:r>
                  <w:r>
                    <w:rPr>
                      <w:rFonts w:hint="default" w:ascii="Times New Roman" w:hAnsi="Times New Roman" w:cs="Times New Roman"/>
                      <w:color w:val="auto"/>
                      <w:kern w:val="0"/>
                      <w:sz w:val="21"/>
                      <w:szCs w:val="21"/>
                      <w:highlight w:val="none"/>
                      <w:vertAlign w:val="baseline"/>
                      <w:lang w:val="en-US" w:eastAsia="zh-CN"/>
                    </w:rPr>
                    <w:t>C2642油墨及类似产品制造行业</w:t>
                  </w:r>
                  <w:r>
                    <w:rPr>
                      <w:rFonts w:hint="default" w:ascii="Times New Roman" w:hAnsi="Times New Roman" w:eastAsia="宋体" w:cs="Times New Roman"/>
                      <w:color w:val="auto"/>
                      <w:kern w:val="0"/>
                      <w:sz w:val="21"/>
                      <w:szCs w:val="21"/>
                      <w:highlight w:val="none"/>
                      <w:vertAlign w:val="baseline"/>
                      <w:lang w:val="en-US" w:eastAsia="zh-CN"/>
                    </w:rPr>
                    <w:t>，不属于上述</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两高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行业。本项目不属于重污染企业。</w:t>
                  </w:r>
                </w:p>
              </w:tc>
              <w:tc>
                <w:tcPr>
                  <w:tcW w:w="827" w:type="dxa"/>
                  <w:tcBorders>
                    <w:tl2br w:val="nil"/>
                    <w:tr2bl w:val="nil"/>
                  </w:tcBorders>
                  <w:vAlign w:val="center"/>
                </w:tcPr>
                <w:p w14:paraId="06CE7E9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624FD1D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296" w:hRule="atLeast"/>
                <w:jc w:val="center"/>
              </w:trPr>
              <w:tc>
                <w:tcPr>
                  <w:tcW w:w="634" w:type="dxa"/>
                  <w:tcBorders>
                    <w:tl2br w:val="nil"/>
                    <w:tr2bl w:val="nil"/>
                  </w:tcBorders>
                  <w:vAlign w:val="center"/>
                </w:tcPr>
                <w:p w14:paraId="2EF89A7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6</w:t>
                  </w:r>
                </w:p>
              </w:tc>
              <w:tc>
                <w:tcPr>
                  <w:tcW w:w="4227" w:type="dxa"/>
                  <w:tcBorders>
                    <w:tl2br w:val="nil"/>
                    <w:tr2bl w:val="nil"/>
                  </w:tcBorders>
                  <w:vAlign w:val="center"/>
                </w:tcPr>
                <w:p w14:paraId="26787B5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对不经过排气筒集中排放的大气污染物，排污单位应当采取密闭、封闭、集中收集、吸附、分解等处理措施，严格控制生产过程以及内部物料堆存、传输、装卸等环节产生的粉尘和气态污染物的排放。</w:t>
                  </w:r>
                </w:p>
              </w:tc>
              <w:tc>
                <w:tcPr>
                  <w:tcW w:w="2182" w:type="dxa"/>
                  <w:tcBorders>
                    <w:tl2br w:val="nil"/>
                    <w:tr2bl w:val="nil"/>
                  </w:tcBorders>
                  <w:vAlign w:val="center"/>
                </w:tcPr>
                <w:p w14:paraId="1E11F76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产污工序均采取集中收集处理措施，收集的废气经环保设施处理后排放，未经收集的废气采取车间封闭等措施进行阻挡沉降，减少无组织废气排放。本项目液体物料均为密闭桶装，储存、传输、装卸环节几乎没有粉尘和废气产生。</w:t>
                  </w:r>
                </w:p>
              </w:tc>
              <w:tc>
                <w:tcPr>
                  <w:tcW w:w="827" w:type="dxa"/>
                  <w:tcBorders>
                    <w:tl2br w:val="nil"/>
                    <w:tr2bl w:val="nil"/>
                  </w:tcBorders>
                  <w:vAlign w:val="center"/>
                </w:tcPr>
                <w:p w14:paraId="1385E52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2C90835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838" w:hRule="atLeast"/>
                <w:jc w:val="center"/>
              </w:trPr>
              <w:tc>
                <w:tcPr>
                  <w:tcW w:w="634" w:type="dxa"/>
                  <w:tcBorders>
                    <w:tl2br w:val="nil"/>
                    <w:tr2bl w:val="nil"/>
                  </w:tcBorders>
                  <w:vAlign w:val="center"/>
                </w:tcPr>
                <w:p w14:paraId="65504DD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7</w:t>
                  </w:r>
                </w:p>
              </w:tc>
              <w:tc>
                <w:tcPr>
                  <w:tcW w:w="4227" w:type="dxa"/>
                  <w:tcBorders>
                    <w:tl2br w:val="nil"/>
                    <w:tr2bl w:val="nil"/>
                  </w:tcBorders>
                  <w:vAlign w:val="center"/>
                </w:tcPr>
                <w:p w14:paraId="3E3F3B7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石化、重点有机化工等工业企业应当建立泄漏检测与修复体系，对管道、设备等进行日常检修、维护，及时收集处理泄漏物料。</w:t>
                  </w:r>
                </w:p>
              </w:tc>
              <w:tc>
                <w:tcPr>
                  <w:tcW w:w="2182" w:type="dxa"/>
                  <w:tcBorders>
                    <w:tl2br w:val="nil"/>
                    <w:tr2bl w:val="nil"/>
                  </w:tcBorders>
                  <w:vAlign w:val="center"/>
                </w:tcPr>
                <w:p w14:paraId="2FBA162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企业不属于石化、重点有机化工等工业企业。</w:t>
                  </w:r>
                </w:p>
              </w:tc>
              <w:tc>
                <w:tcPr>
                  <w:tcW w:w="827" w:type="dxa"/>
                  <w:tcBorders>
                    <w:tl2br w:val="nil"/>
                    <w:tr2bl w:val="nil"/>
                  </w:tcBorders>
                  <w:vAlign w:val="center"/>
                </w:tcPr>
                <w:p w14:paraId="470085A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68426C1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1634" w:hRule="atLeast"/>
                <w:jc w:val="center"/>
              </w:trPr>
              <w:tc>
                <w:tcPr>
                  <w:tcW w:w="634" w:type="dxa"/>
                  <w:tcBorders>
                    <w:tl2br w:val="nil"/>
                    <w:tr2bl w:val="nil"/>
                  </w:tcBorders>
                  <w:vAlign w:val="center"/>
                </w:tcPr>
                <w:p w14:paraId="2D7BB84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8</w:t>
                  </w:r>
                </w:p>
              </w:tc>
              <w:tc>
                <w:tcPr>
                  <w:tcW w:w="4227" w:type="dxa"/>
                  <w:tcBorders>
                    <w:tl2br w:val="nil"/>
                    <w:tr2bl w:val="nil"/>
                  </w:tcBorders>
                  <w:vAlign w:val="center"/>
                </w:tcPr>
                <w:p w14:paraId="5EE11BF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生产、销售、使用含挥发性有机物的原材料和产品的，其挥发性有机物含量应当符合质量标准或者要求。省人民政府质量技术监督部门应当会同环境保护等部门，定期制定、调整低挥发性有机物含量产品目录和高挥发性有机物含量产品目录并向社会公布。列入高挥发性有机物含量产品目录的产品，应当在其包装或者说明中予以标注。</w:t>
                  </w:r>
                </w:p>
              </w:tc>
              <w:tc>
                <w:tcPr>
                  <w:tcW w:w="2182" w:type="dxa"/>
                  <w:tcBorders>
                    <w:tl2br w:val="nil"/>
                    <w:tr2bl w:val="nil"/>
                  </w:tcBorders>
                  <w:vAlign w:val="center"/>
                </w:tcPr>
                <w:p w14:paraId="4818727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本项目原料、产品均不涉及高挥发性有机物。</w:t>
                  </w:r>
                </w:p>
              </w:tc>
              <w:tc>
                <w:tcPr>
                  <w:tcW w:w="827" w:type="dxa"/>
                  <w:tcBorders>
                    <w:tl2br w:val="nil"/>
                    <w:tr2bl w:val="nil"/>
                  </w:tcBorders>
                  <w:vAlign w:val="center"/>
                </w:tcPr>
                <w:p w14:paraId="75DE865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503F28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823" w:hRule="atLeast"/>
                <w:jc w:val="center"/>
              </w:trPr>
              <w:tc>
                <w:tcPr>
                  <w:tcW w:w="634" w:type="dxa"/>
                  <w:tcBorders>
                    <w:tl2br w:val="nil"/>
                    <w:tr2bl w:val="nil"/>
                  </w:tcBorders>
                  <w:vAlign w:val="center"/>
                </w:tcPr>
                <w:p w14:paraId="37FCE9B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9</w:t>
                  </w:r>
                </w:p>
              </w:tc>
              <w:tc>
                <w:tcPr>
                  <w:tcW w:w="4227" w:type="dxa"/>
                  <w:tcBorders>
                    <w:tl2br w:val="nil"/>
                    <w:tr2bl w:val="nil"/>
                  </w:tcBorders>
                  <w:vAlign w:val="center"/>
                </w:tcPr>
                <w:p w14:paraId="245A2DF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向大气排放恶臭气体的排污单位以及垃圾处置场、污水处理厂，应当按照规定设置合理的防护距离，安装净化装置或者采取其他措施减少恶臭气体排放。</w:t>
                  </w:r>
                </w:p>
              </w:tc>
              <w:tc>
                <w:tcPr>
                  <w:tcW w:w="2182" w:type="dxa"/>
                  <w:tcBorders>
                    <w:tl2br w:val="nil"/>
                    <w:tr2bl w:val="nil"/>
                  </w:tcBorders>
                  <w:vAlign w:val="center"/>
                </w:tcPr>
                <w:p w14:paraId="6045B71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本项目不涉及恶臭气体排放。</w:t>
                  </w:r>
                </w:p>
              </w:tc>
              <w:tc>
                <w:tcPr>
                  <w:tcW w:w="827" w:type="dxa"/>
                  <w:tcBorders>
                    <w:tl2br w:val="nil"/>
                    <w:tr2bl w:val="nil"/>
                  </w:tcBorders>
                  <w:vAlign w:val="center"/>
                </w:tcPr>
                <w:p w14:paraId="5806D0C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bl>
          <w:p w14:paraId="19CBAC81">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eastAsia" w:cs="Times New Roman"/>
                <w:b/>
                <w:bCs/>
                <w:color w:val="auto"/>
                <w:kern w:val="0"/>
                <w:sz w:val="24"/>
                <w:szCs w:val="24"/>
                <w:highlight w:val="none"/>
                <w:lang w:val="en-US" w:eastAsia="zh-CN"/>
              </w:rPr>
              <w:t>7</w:t>
            </w:r>
            <w:r>
              <w:rPr>
                <w:rFonts w:hint="default" w:ascii="Times New Roman" w:hAnsi="Times New Roman" w:eastAsia="宋体" w:cs="Times New Roman"/>
                <w:b/>
                <w:bCs/>
                <w:color w:val="auto"/>
                <w:kern w:val="0"/>
                <w:sz w:val="24"/>
                <w:szCs w:val="24"/>
                <w:highlight w:val="none"/>
                <w:lang w:val="en-US" w:eastAsia="zh-CN"/>
              </w:rPr>
              <w:t>.与《关于</w:t>
            </w:r>
            <w:r>
              <w:rPr>
                <w:rFonts w:hint="default" w:ascii="Times New Roman" w:hAnsi="Times New Roman"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两高</w:t>
            </w:r>
            <w:r>
              <w:rPr>
                <w:rFonts w:hint="default" w:ascii="Times New Roman" w:hAnsi="Times New Roman"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项目管理有关事项的补充通知》（鲁发改工业[2023]34号）符合性分析</w:t>
            </w:r>
          </w:p>
          <w:p w14:paraId="4B3D3A26">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6</w:t>
            </w:r>
            <w:r>
              <w:rPr>
                <w:rFonts w:hint="default" w:ascii="Times New Roman" w:hAnsi="Times New Roman" w:eastAsia="黑体" w:cs="Times New Roman"/>
                <w:b w:val="0"/>
                <w:bCs w:val="0"/>
                <w:color w:val="auto"/>
                <w:kern w:val="0"/>
                <w:sz w:val="24"/>
                <w:szCs w:val="24"/>
                <w:lang w:val="en-US" w:eastAsia="zh-CN"/>
              </w:rPr>
              <w:t xml:space="preserve"> 与《关于“两高”项目管理有关事项的补充通知》符合性</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59"/>
              <w:gridCol w:w="3466"/>
              <w:gridCol w:w="2027"/>
              <w:gridCol w:w="1153"/>
            </w:tblGrid>
            <w:tr w14:paraId="301EE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23" w:type="pct"/>
                  <w:tcBorders>
                    <w:tl2br w:val="nil"/>
                    <w:tr2bl w:val="nil"/>
                  </w:tcBorders>
                  <w:noWrap w:val="0"/>
                  <w:vAlign w:val="center"/>
                </w:tcPr>
                <w:p w14:paraId="75D7950C">
                  <w:pPr>
                    <w:pStyle w:val="55"/>
                    <w:keepNext w:val="0"/>
                    <w:keepLines w:val="0"/>
                    <w:pageBreakBefore w:val="0"/>
                    <w:widowControl w:val="0"/>
                    <w:shd w:val="clear"/>
                    <w:kinsoku/>
                    <w:wordWrap/>
                    <w:overflowPunct/>
                    <w:topLinePunct w:val="0"/>
                    <w:autoSpaceDE/>
                    <w:autoSpaceDN/>
                    <w:bidi w:val="0"/>
                    <w:adjustRightInd/>
                    <w:snapToGrid/>
                    <w:spacing w:line="312" w:lineRule="exact"/>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2438" w:type="pct"/>
                  <w:tcBorders>
                    <w:tl2br w:val="nil"/>
                    <w:tr2bl w:val="nil"/>
                  </w:tcBorders>
                  <w:noWrap w:val="0"/>
                  <w:vAlign w:val="center"/>
                </w:tcPr>
                <w:p w14:paraId="2239320F">
                  <w:pPr>
                    <w:pStyle w:val="55"/>
                    <w:keepNext w:val="0"/>
                    <w:keepLines w:val="0"/>
                    <w:pageBreakBefore w:val="0"/>
                    <w:widowControl w:val="0"/>
                    <w:shd w:val="clear"/>
                    <w:kinsoku/>
                    <w:wordWrap/>
                    <w:overflowPunct/>
                    <w:topLinePunct w:val="0"/>
                    <w:autoSpaceDE/>
                    <w:autoSpaceDN/>
                    <w:bidi w:val="0"/>
                    <w:adjustRightInd/>
                    <w:snapToGrid/>
                    <w:spacing w:line="312" w:lineRule="exact"/>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相关要求</w:t>
                  </w:r>
                </w:p>
              </w:tc>
              <w:tc>
                <w:tcPr>
                  <w:tcW w:w="1426" w:type="pct"/>
                  <w:tcBorders>
                    <w:tl2br w:val="nil"/>
                    <w:tr2bl w:val="nil"/>
                  </w:tcBorders>
                  <w:noWrap w:val="0"/>
                  <w:vAlign w:val="center"/>
                </w:tcPr>
                <w:p w14:paraId="5D360FCE">
                  <w:pPr>
                    <w:pStyle w:val="55"/>
                    <w:keepNext w:val="0"/>
                    <w:keepLines w:val="0"/>
                    <w:pageBreakBefore w:val="0"/>
                    <w:widowControl w:val="0"/>
                    <w:shd w:val="clear"/>
                    <w:kinsoku/>
                    <w:wordWrap/>
                    <w:overflowPunct/>
                    <w:topLinePunct w:val="0"/>
                    <w:autoSpaceDE/>
                    <w:autoSpaceDN/>
                    <w:bidi w:val="0"/>
                    <w:adjustRightInd/>
                    <w:snapToGrid/>
                    <w:spacing w:line="312" w:lineRule="exact"/>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本项目情况</w:t>
                  </w:r>
                </w:p>
              </w:tc>
              <w:tc>
                <w:tcPr>
                  <w:tcW w:w="811" w:type="pct"/>
                  <w:tcBorders>
                    <w:tl2br w:val="nil"/>
                    <w:tr2bl w:val="nil"/>
                  </w:tcBorders>
                  <w:noWrap w:val="0"/>
                  <w:vAlign w:val="center"/>
                </w:tcPr>
                <w:p w14:paraId="5CDAE6B5">
                  <w:pPr>
                    <w:pStyle w:val="55"/>
                    <w:keepNext w:val="0"/>
                    <w:keepLines w:val="0"/>
                    <w:pageBreakBefore w:val="0"/>
                    <w:widowControl w:val="0"/>
                    <w:shd w:val="clear"/>
                    <w:kinsoku/>
                    <w:wordWrap/>
                    <w:overflowPunct/>
                    <w:topLinePunct w:val="0"/>
                    <w:autoSpaceDE/>
                    <w:autoSpaceDN/>
                    <w:bidi w:val="0"/>
                    <w:adjustRightInd/>
                    <w:snapToGrid/>
                    <w:spacing w:line="312" w:lineRule="exact"/>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符合情况</w:t>
                  </w:r>
                </w:p>
              </w:tc>
            </w:tr>
            <w:tr w14:paraId="19E97B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2" w:hRule="atLeast"/>
                <w:jc w:val="center"/>
              </w:trPr>
              <w:tc>
                <w:tcPr>
                  <w:tcW w:w="323" w:type="pct"/>
                  <w:tcBorders>
                    <w:tl2br w:val="nil"/>
                    <w:tr2bl w:val="nil"/>
                  </w:tcBorders>
                  <w:noWrap w:val="0"/>
                  <w:vAlign w:val="center"/>
                </w:tcPr>
                <w:p w14:paraId="550C06D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1</w:t>
                  </w:r>
                </w:p>
              </w:tc>
              <w:tc>
                <w:tcPr>
                  <w:tcW w:w="2438" w:type="pct"/>
                  <w:tcBorders>
                    <w:tl2br w:val="nil"/>
                    <w:tr2bl w:val="nil"/>
                  </w:tcBorders>
                  <w:noWrap w:val="0"/>
                  <w:vAlign w:val="center"/>
                </w:tcPr>
                <w:p w14:paraId="170E58F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凡是属于《山东省</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两高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项目管理目录（2023年版</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》（以下简称《目录》）范围内的新建（含改扩建，下同）固定资产投资项目，都属于</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两高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项目。沿黄重点地区严控</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三高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项目范围中的</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两高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项目范围以《目录》为准。建立</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两高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项目认定机制，企业对是否为</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两高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项目存在疑义的，可以向所在地县级发展改革部门提出认定申请，发展改革委部门视情况征求有关部门意见后出具认定，难以认定的可逐级上报。</w:t>
                  </w:r>
                </w:p>
              </w:tc>
              <w:tc>
                <w:tcPr>
                  <w:tcW w:w="1426" w:type="pct"/>
                  <w:tcBorders>
                    <w:tl2br w:val="nil"/>
                    <w:tr2bl w:val="nil"/>
                  </w:tcBorders>
                  <w:noWrap w:val="0"/>
                  <w:vAlign w:val="center"/>
                </w:tcPr>
                <w:p w14:paraId="0712FE2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bCs/>
                      <w:snapToGrid w:val="0"/>
                      <w:color w:val="auto"/>
                      <w:sz w:val="21"/>
                      <w:szCs w:val="21"/>
                      <w:highlight w:val="none"/>
                    </w:rPr>
                    <w:t>本项目国民经济行业类别为</w:t>
                  </w:r>
                  <w:r>
                    <w:rPr>
                      <w:rFonts w:hint="default" w:ascii="Times New Roman" w:hAnsi="Times New Roman" w:cs="Times New Roman"/>
                      <w:bCs/>
                      <w:snapToGrid w:val="0"/>
                      <w:color w:val="auto"/>
                      <w:sz w:val="21"/>
                      <w:szCs w:val="21"/>
                      <w:highlight w:val="none"/>
                      <w:lang w:eastAsia="zh-CN"/>
                    </w:rPr>
                    <w:t>“</w:t>
                  </w:r>
                  <w:r>
                    <w:rPr>
                      <w:rFonts w:hint="default" w:ascii="Times New Roman" w:hAnsi="Times New Roman" w:cs="Times New Roman"/>
                      <w:bCs/>
                      <w:snapToGrid w:val="0"/>
                      <w:color w:val="auto"/>
                      <w:sz w:val="21"/>
                      <w:szCs w:val="21"/>
                      <w:highlight w:val="none"/>
                      <w:lang w:val="en-US" w:eastAsia="zh-CN"/>
                    </w:rPr>
                    <w:t>C2642油墨及类似产品制造行业”</w:t>
                  </w:r>
                  <w:r>
                    <w:rPr>
                      <w:rFonts w:hint="default" w:ascii="Times New Roman" w:hAnsi="Times New Roman" w:eastAsia="宋体" w:cs="Times New Roman"/>
                      <w:bCs/>
                      <w:snapToGrid w:val="0"/>
                      <w:color w:val="auto"/>
                      <w:sz w:val="21"/>
                      <w:szCs w:val="21"/>
                      <w:highlight w:val="none"/>
                    </w:rPr>
                    <w:t>，不属于</w:t>
                  </w:r>
                  <w:r>
                    <w:rPr>
                      <w:rFonts w:hint="default" w:ascii="Times New Roman" w:hAnsi="Times New Roman" w:cs="Times New Roman"/>
                      <w:bCs/>
                      <w:snapToGrid w:val="0"/>
                      <w:color w:val="auto"/>
                      <w:sz w:val="21"/>
                      <w:szCs w:val="21"/>
                      <w:highlight w:val="none"/>
                      <w:lang w:eastAsia="zh-CN"/>
                    </w:rPr>
                    <w:t>“</w:t>
                  </w:r>
                  <w:r>
                    <w:rPr>
                      <w:rFonts w:hint="default" w:ascii="Times New Roman" w:hAnsi="Times New Roman" w:eastAsia="宋体" w:cs="Times New Roman"/>
                      <w:bCs/>
                      <w:snapToGrid w:val="0"/>
                      <w:color w:val="auto"/>
                      <w:sz w:val="21"/>
                      <w:szCs w:val="21"/>
                      <w:highlight w:val="none"/>
                    </w:rPr>
                    <w:t>两高</w:t>
                  </w:r>
                  <w:r>
                    <w:rPr>
                      <w:rFonts w:hint="default" w:ascii="Times New Roman" w:hAnsi="Times New Roman" w:cs="Times New Roman"/>
                      <w:bCs/>
                      <w:snapToGrid w:val="0"/>
                      <w:color w:val="auto"/>
                      <w:sz w:val="21"/>
                      <w:szCs w:val="21"/>
                      <w:highlight w:val="none"/>
                      <w:lang w:eastAsia="zh-CN"/>
                    </w:rPr>
                    <w:t>”</w:t>
                  </w:r>
                  <w:r>
                    <w:rPr>
                      <w:rFonts w:hint="default" w:ascii="Times New Roman" w:hAnsi="Times New Roman" w:eastAsia="宋体" w:cs="Times New Roman"/>
                      <w:bCs/>
                      <w:snapToGrid w:val="0"/>
                      <w:color w:val="auto"/>
                      <w:sz w:val="21"/>
                      <w:szCs w:val="21"/>
                      <w:highlight w:val="none"/>
                    </w:rPr>
                    <w:t>行业项目。</w:t>
                  </w:r>
                </w:p>
              </w:tc>
              <w:tc>
                <w:tcPr>
                  <w:tcW w:w="811" w:type="pct"/>
                  <w:tcBorders>
                    <w:tl2br w:val="nil"/>
                    <w:tr2bl w:val="nil"/>
                  </w:tcBorders>
                  <w:noWrap w:val="0"/>
                  <w:vAlign w:val="center"/>
                </w:tcPr>
                <w:p w14:paraId="09B58D6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Cs/>
                      <w:snapToGrid w:val="0"/>
                      <w:color w:val="auto"/>
                      <w:sz w:val="21"/>
                      <w:szCs w:val="21"/>
                      <w:highlight w:val="none"/>
                      <w:lang w:eastAsia="zh-CN"/>
                    </w:rPr>
                  </w:pPr>
                  <w:r>
                    <w:rPr>
                      <w:rFonts w:hint="default" w:ascii="Times New Roman" w:hAnsi="Times New Roman" w:eastAsia="宋体" w:cs="Times New Roman"/>
                      <w:bCs/>
                      <w:snapToGrid w:val="0"/>
                      <w:color w:val="auto"/>
                      <w:sz w:val="21"/>
                      <w:szCs w:val="21"/>
                      <w:highlight w:val="none"/>
                      <w:lang w:eastAsia="zh-CN"/>
                    </w:rPr>
                    <w:t>符合</w:t>
                  </w:r>
                </w:p>
              </w:tc>
            </w:tr>
          </w:tbl>
          <w:p w14:paraId="2F346227">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eastAsia" w:cs="Times New Roman"/>
                <w:b/>
                <w:bCs/>
                <w:color w:val="auto"/>
                <w:kern w:val="0"/>
                <w:sz w:val="24"/>
                <w:szCs w:val="24"/>
                <w:highlight w:val="none"/>
                <w:lang w:val="en-US" w:eastAsia="zh-CN"/>
              </w:rPr>
              <w:t>8</w:t>
            </w:r>
            <w:r>
              <w:rPr>
                <w:rFonts w:hint="default" w:ascii="Times New Roman" w:hAnsi="Times New Roman" w:eastAsia="宋体" w:cs="Times New Roman"/>
                <w:b/>
                <w:bCs/>
                <w:color w:val="auto"/>
                <w:kern w:val="0"/>
                <w:sz w:val="24"/>
                <w:szCs w:val="24"/>
                <w:highlight w:val="none"/>
                <w:lang w:val="en-US" w:eastAsia="zh-CN"/>
              </w:rPr>
              <w:t>.与《</w:t>
            </w:r>
            <w:r>
              <w:rPr>
                <w:rFonts w:hint="default" w:ascii="Times New Roman" w:hAnsi="Times New Roman" w:cs="Times New Roman"/>
                <w:b/>
                <w:bCs/>
                <w:color w:val="auto"/>
                <w:kern w:val="0"/>
                <w:sz w:val="24"/>
                <w:szCs w:val="24"/>
                <w:highlight w:val="none"/>
                <w:lang w:val="en-US" w:eastAsia="zh-CN"/>
              </w:rPr>
              <w:t>淄博市</w:t>
            </w:r>
            <w:r>
              <w:rPr>
                <w:rFonts w:hint="default" w:ascii="Times New Roman" w:hAnsi="Times New Roman" w:eastAsia="宋体" w:cs="Times New Roman"/>
                <w:b/>
                <w:bCs/>
                <w:color w:val="auto"/>
                <w:kern w:val="0"/>
                <w:sz w:val="24"/>
                <w:szCs w:val="24"/>
                <w:highlight w:val="none"/>
                <w:lang w:val="en-US" w:eastAsia="zh-CN"/>
              </w:rPr>
              <w:t>新一轮</w:t>
            </w:r>
            <w:r>
              <w:rPr>
                <w:rFonts w:hint="default" w:ascii="Times New Roman" w:hAnsi="Times New Roman"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四减四增</w:t>
            </w:r>
            <w:r>
              <w:rPr>
                <w:rFonts w:hint="default" w:ascii="Times New Roman" w:hAnsi="Times New Roman"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三年行动方案》符合性分析</w:t>
            </w:r>
          </w:p>
          <w:p w14:paraId="596CFA5E">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7</w:t>
            </w:r>
            <w:r>
              <w:rPr>
                <w:rFonts w:hint="default" w:ascii="Times New Roman" w:hAnsi="Times New Roman" w:eastAsia="黑体" w:cs="Times New Roman"/>
                <w:b w:val="0"/>
                <w:bCs w:val="0"/>
                <w:color w:val="auto"/>
                <w:kern w:val="0"/>
                <w:sz w:val="24"/>
                <w:szCs w:val="24"/>
                <w:lang w:val="en-US" w:eastAsia="zh-CN"/>
              </w:rPr>
              <w:t xml:space="preserve"> 与《淄博市新一轮“四减四增”三年行动方案》符合性分析一览表</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97"/>
              <w:gridCol w:w="1903"/>
              <w:gridCol w:w="905"/>
            </w:tblGrid>
            <w:tr w14:paraId="54D436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808" w:type="dxa"/>
                  <w:tcBorders>
                    <w:tl2br w:val="nil"/>
                    <w:tr2bl w:val="nil"/>
                  </w:tcBorders>
                  <w:noWrap w:val="0"/>
                  <w:vAlign w:val="center"/>
                </w:tcPr>
                <w:p w14:paraId="23D97850">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文件要求</w:t>
                  </w:r>
                </w:p>
              </w:tc>
              <w:tc>
                <w:tcPr>
                  <w:tcW w:w="2080" w:type="dxa"/>
                  <w:tcBorders>
                    <w:tl2br w:val="nil"/>
                    <w:tr2bl w:val="nil"/>
                  </w:tcBorders>
                  <w:noWrap w:val="0"/>
                  <w:vAlign w:val="center"/>
                </w:tcPr>
                <w:p w14:paraId="3F6CA238">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本项目情况</w:t>
                  </w:r>
                </w:p>
              </w:tc>
              <w:tc>
                <w:tcPr>
                  <w:tcW w:w="972" w:type="dxa"/>
                  <w:tcBorders>
                    <w:tl2br w:val="nil"/>
                    <w:tr2bl w:val="nil"/>
                  </w:tcBorders>
                  <w:noWrap w:val="0"/>
                  <w:vAlign w:val="center"/>
                </w:tcPr>
                <w:p w14:paraId="00ACACD5">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符合性</w:t>
                  </w:r>
                </w:p>
              </w:tc>
            </w:tr>
            <w:tr w14:paraId="7EC02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08" w:type="dxa"/>
                  <w:tcBorders>
                    <w:tl2br w:val="nil"/>
                    <w:tr2bl w:val="nil"/>
                  </w:tcBorders>
                  <w:noWrap w:val="0"/>
                  <w:vAlign w:val="center"/>
                </w:tcPr>
                <w:p w14:paraId="1C0E1A85">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1.淘汰低效落后产能。依据安全、环保、技术、能耗、效益标准，以钢铁、煤电、水泥、轮胎、煤炭、化工等行业为重点，分类组织实施转移、压减、整合、关停任务，加快淘汰低效落后产能。</w:t>
                  </w:r>
                </w:p>
              </w:tc>
              <w:tc>
                <w:tcPr>
                  <w:tcW w:w="2080" w:type="dxa"/>
                  <w:tcBorders>
                    <w:tl2br w:val="nil"/>
                    <w:tr2bl w:val="nil"/>
                  </w:tcBorders>
                  <w:noWrap w:val="0"/>
                  <w:vAlign w:val="center"/>
                </w:tcPr>
                <w:p w14:paraId="30BFA22C">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本项目不属于低效落后产能</w:t>
                  </w:r>
                </w:p>
              </w:tc>
              <w:tc>
                <w:tcPr>
                  <w:tcW w:w="972" w:type="dxa"/>
                  <w:tcBorders>
                    <w:tl2br w:val="nil"/>
                    <w:tr2bl w:val="nil"/>
                  </w:tcBorders>
                  <w:noWrap w:val="0"/>
                  <w:vAlign w:val="center"/>
                </w:tcPr>
                <w:p w14:paraId="2EA1D924">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752D7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08" w:type="dxa"/>
                  <w:tcBorders>
                    <w:tl2br w:val="nil"/>
                    <w:tr2bl w:val="nil"/>
                  </w:tcBorders>
                  <w:noWrap w:val="0"/>
                  <w:vAlign w:val="center"/>
                </w:tcPr>
                <w:p w14:paraId="38272E95">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2.持续开展</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散乱污</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企业专项执法检查。进一步压实管理责任，按照</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发现一起、处置一起</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的原则，实行</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散乱污</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企业动态清零，确保</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散乱污</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企业不复发。</w:t>
                  </w:r>
                </w:p>
              </w:tc>
              <w:tc>
                <w:tcPr>
                  <w:tcW w:w="2080" w:type="dxa"/>
                  <w:tcBorders>
                    <w:tl2br w:val="nil"/>
                    <w:tr2bl w:val="nil"/>
                  </w:tcBorders>
                  <w:noWrap w:val="0"/>
                  <w:vAlign w:val="center"/>
                </w:tcPr>
                <w:p w14:paraId="28905EA5">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本企业不属于散乱污企业。</w:t>
                  </w:r>
                </w:p>
              </w:tc>
              <w:tc>
                <w:tcPr>
                  <w:tcW w:w="972" w:type="dxa"/>
                  <w:tcBorders>
                    <w:tl2br w:val="nil"/>
                    <w:tr2bl w:val="nil"/>
                  </w:tcBorders>
                  <w:noWrap w:val="0"/>
                  <w:vAlign w:val="center"/>
                </w:tcPr>
                <w:p w14:paraId="228C2497">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484338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08" w:type="dxa"/>
                  <w:tcBorders>
                    <w:tl2br w:val="nil"/>
                    <w:tr2bl w:val="nil"/>
                  </w:tcBorders>
                  <w:noWrap w:val="0"/>
                  <w:vAlign w:val="center"/>
                </w:tcPr>
                <w:p w14:paraId="070F4375">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3.各区县要重点围绕再生橡胶、废旧塑料再生、砖瓦、石灰、石膏等行业制定实施方案，对生产工艺装备进行筛查，按照有关法律法规程序要求，推动低效落后产能退出。</w:t>
                  </w:r>
                </w:p>
              </w:tc>
              <w:tc>
                <w:tcPr>
                  <w:tcW w:w="2080" w:type="dxa"/>
                  <w:tcBorders>
                    <w:tl2br w:val="nil"/>
                    <w:tr2bl w:val="nil"/>
                  </w:tcBorders>
                  <w:noWrap w:val="0"/>
                  <w:vAlign w:val="center"/>
                </w:tcPr>
                <w:p w14:paraId="44363301">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本企业已淘汰落后低效产能设备。</w:t>
                  </w:r>
                </w:p>
              </w:tc>
              <w:tc>
                <w:tcPr>
                  <w:tcW w:w="972" w:type="dxa"/>
                  <w:tcBorders>
                    <w:tl2br w:val="nil"/>
                    <w:tr2bl w:val="nil"/>
                  </w:tcBorders>
                  <w:noWrap w:val="0"/>
                  <w:vAlign w:val="center"/>
                </w:tcPr>
                <w:p w14:paraId="0A7B8E25">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3F9B95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08" w:type="dxa"/>
                  <w:tcBorders>
                    <w:tl2br w:val="nil"/>
                    <w:tr2bl w:val="nil"/>
                  </w:tcBorders>
                  <w:noWrap w:val="0"/>
                  <w:vAlign w:val="center"/>
                </w:tcPr>
                <w:p w14:paraId="43705BEB">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4.严控重点行业新增产能。重大项目建设，必须首先满足环境质量</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只能更好，不能变坏</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的底线，严格落实污染物排放</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减量替代是原则，等量替代是例外</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的总量控制刚性要求。</w:t>
                  </w:r>
                </w:p>
              </w:tc>
              <w:tc>
                <w:tcPr>
                  <w:tcW w:w="2080" w:type="dxa"/>
                  <w:tcBorders>
                    <w:tl2br w:val="nil"/>
                    <w:tr2bl w:val="nil"/>
                  </w:tcBorders>
                  <w:noWrap w:val="0"/>
                  <w:vAlign w:val="center"/>
                </w:tcPr>
                <w:p w14:paraId="28FE7620">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本项目不属于重点行业，严格落实总量控制要求。</w:t>
                  </w:r>
                </w:p>
              </w:tc>
              <w:tc>
                <w:tcPr>
                  <w:tcW w:w="972" w:type="dxa"/>
                  <w:tcBorders>
                    <w:tl2br w:val="nil"/>
                    <w:tr2bl w:val="nil"/>
                  </w:tcBorders>
                  <w:noWrap w:val="0"/>
                  <w:vAlign w:val="center"/>
                </w:tcPr>
                <w:p w14:paraId="3C7EF787">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6A649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08" w:type="dxa"/>
                  <w:tcBorders>
                    <w:tl2br w:val="nil"/>
                    <w:tr2bl w:val="nil"/>
                  </w:tcBorders>
                  <w:noWrap w:val="0"/>
                  <w:vAlign w:val="center"/>
                </w:tcPr>
                <w:p w14:paraId="454D9B06">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5.推动绿色循环低碳改造。严格按照《淄博市实施减碳降碳十大行动工作方案》要求，落实电力、建材、有色、石化、化工等重点行业碳达峰目标，实施减污降碳协同治理。</w:t>
                  </w:r>
                </w:p>
              </w:tc>
              <w:tc>
                <w:tcPr>
                  <w:tcW w:w="2080" w:type="dxa"/>
                  <w:tcBorders>
                    <w:tl2br w:val="nil"/>
                    <w:tr2bl w:val="nil"/>
                  </w:tcBorders>
                  <w:noWrap w:val="0"/>
                  <w:vAlign w:val="center"/>
                </w:tcPr>
                <w:p w14:paraId="3812DBB7">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本企业使用电作为能源，绿色环保。</w:t>
                  </w:r>
                </w:p>
              </w:tc>
              <w:tc>
                <w:tcPr>
                  <w:tcW w:w="972" w:type="dxa"/>
                  <w:tcBorders>
                    <w:tl2br w:val="nil"/>
                    <w:tr2bl w:val="nil"/>
                  </w:tcBorders>
                  <w:noWrap w:val="0"/>
                  <w:vAlign w:val="center"/>
                </w:tcPr>
                <w:p w14:paraId="449CF94A">
                  <w:pPr>
                    <w:keepNext w:val="0"/>
                    <w:keepLines w:val="0"/>
                    <w:pageBreakBefore w:val="0"/>
                    <w:widowControl w:val="0"/>
                    <w:shd w:val="clear"/>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bl>
          <w:p w14:paraId="063AABDA">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eastAsia" w:cs="Times New Roman"/>
                <w:b/>
                <w:bCs/>
                <w:color w:val="auto"/>
                <w:kern w:val="0"/>
                <w:sz w:val="24"/>
                <w:szCs w:val="24"/>
                <w:highlight w:val="none"/>
                <w:lang w:val="en-US" w:eastAsia="zh-CN"/>
              </w:rPr>
              <w:t>9</w:t>
            </w:r>
            <w:r>
              <w:rPr>
                <w:rFonts w:hint="default" w:ascii="Times New Roman" w:hAnsi="Times New Roman" w:eastAsia="宋体" w:cs="Times New Roman"/>
                <w:b/>
                <w:bCs/>
                <w:color w:val="auto"/>
                <w:kern w:val="0"/>
                <w:sz w:val="24"/>
                <w:szCs w:val="24"/>
                <w:highlight w:val="none"/>
                <w:lang w:val="en-US" w:eastAsia="zh-CN"/>
              </w:rPr>
              <w:t>.与《关于印发山东省</w:t>
            </w:r>
            <w:r>
              <w:rPr>
                <w:rFonts w:hint="default" w:ascii="Times New Roman" w:hAnsi="Times New Roman"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十四五</w:t>
            </w:r>
            <w:r>
              <w:rPr>
                <w:rFonts w:hint="default" w:ascii="Times New Roman" w:hAnsi="Times New Roman"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生态环境保护规划的通知》（鲁政发〔2021〕12号）符合性分析</w:t>
            </w:r>
          </w:p>
          <w:p w14:paraId="2FD3B722">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8</w:t>
            </w:r>
            <w:r>
              <w:rPr>
                <w:rFonts w:hint="default" w:ascii="Times New Roman" w:hAnsi="Times New Roman" w:eastAsia="黑体" w:cs="Times New Roman"/>
                <w:b w:val="0"/>
                <w:bCs w:val="0"/>
                <w:color w:val="auto"/>
                <w:kern w:val="0"/>
                <w:sz w:val="24"/>
                <w:szCs w:val="24"/>
                <w:lang w:val="en-US" w:eastAsia="zh-CN"/>
              </w:rPr>
              <w:t xml:space="preserve"> 与《关于印发山东省“十四五”生态环境保护规划的通知》符合性分析</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69"/>
              <w:gridCol w:w="1961"/>
              <w:gridCol w:w="1175"/>
            </w:tblGrid>
            <w:tr w14:paraId="6FA855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442" w:type="dxa"/>
                  <w:tcBorders>
                    <w:tl2br w:val="nil"/>
                    <w:tr2bl w:val="nil"/>
                  </w:tcBorders>
                  <w:noWrap w:val="0"/>
                  <w:vAlign w:val="center"/>
                </w:tcPr>
                <w:p w14:paraId="4A36D01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文件要求</w:t>
                  </w:r>
                </w:p>
              </w:tc>
              <w:tc>
                <w:tcPr>
                  <w:tcW w:w="2130" w:type="dxa"/>
                  <w:tcBorders>
                    <w:tl2br w:val="nil"/>
                    <w:tr2bl w:val="nil"/>
                  </w:tcBorders>
                  <w:noWrap w:val="0"/>
                  <w:vAlign w:val="center"/>
                </w:tcPr>
                <w:p w14:paraId="5BFBA96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本项目情况</w:t>
                  </w:r>
                </w:p>
              </w:tc>
              <w:tc>
                <w:tcPr>
                  <w:tcW w:w="1288" w:type="dxa"/>
                  <w:tcBorders>
                    <w:tl2br w:val="nil"/>
                    <w:tr2bl w:val="nil"/>
                  </w:tcBorders>
                  <w:noWrap w:val="0"/>
                  <w:vAlign w:val="center"/>
                </w:tcPr>
                <w:p w14:paraId="7D97E9F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符合情况</w:t>
                  </w:r>
                </w:p>
              </w:tc>
            </w:tr>
            <w:tr w14:paraId="370F00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442" w:type="dxa"/>
                  <w:tcBorders>
                    <w:tl2br w:val="nil"/>
                    <w:tr2bl w:val="nil"/>
                  </w:tcBorders>
                  <w:noWrap w:val="0"/>
                  <w:vAlign w:val="center"/>
                </w:tcPr>
                <w:p w14:paraId="1ED1033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坚决淘汰落后动能。严格落实《产业结构调整指导目录》，加快推动</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淘汰类</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生产工艺和产品退出。精准聚焦钢铁、地炼、焦化、煤电、水泥、轮胎、煤炭、化工等8个重点行业，加快淘汰低效落后动能。进一步健全并严格落实环保、安全、技术、能耗、效益标准，各市制定具体措施，重点围绕再生橡胶、废旧塑料再生、砖瓦、石灰、石膏等行业，分类组织实施转移、压减、整合、关停任务，推动低效落后产能退出。</w:t>
                  </w:r>
                </w:p>
              </w:tc>
              <w:tc>
                <w:tcPr>
                  <w:tcW w:w="2130" w:type="dxa"/>
                  <w:tcBorders>
                    <w:tl2br w:val="nil"/>
                    <w:tr2bl w:val="nil"/>
                  </w:tcBorders>
                  <w:noWrap w:val="0"/>
                  <w:vAlign w:val="center"/>
                </w:tcPr>
                <w:p w14:paraId="459EB71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本项目不属于</w:t>
                  </w:r>
                  <w:r>
                    <w:rPr>
                      <w:rFonts w:hint="default" w:ascii="Times New Roman" w:hAnsi="Times New Roman" w:cs="Times New Roman"/>
                      <w:color w:val="auto"/>
                      <w:kern w:val="0"/>
                      <w:sz w:val="21"/>
                      <w:szCs w:val="21"/>
                      <w:highlight w:val="none"/>
                      <w:vertAlign w:val="baseline"/>
                      <w:lang w:val="en-US" w:eastAsia="zh-CN"/>
                    </w:rPr>
                    <w:t>《产业结构调整指导目录（2024年本）》</w:t>
                  </w:r>
                  <w:r>
                    <w:rPr>
                      <w:rFonts w:hint="default" w:ascii="Times New Roman" w:hAnsi="Times New Roman" w:eastAsia="宋体" w:cs="Times New Roman"/>
                      <w:color w:val="auto"/>
                      <w:kern w:val="0"/>
                      <w:sz w:val="21"/>
                      <w:szCs w:val="21"/>
                      <w:highlight w:val="none"/>
                      <w:vertAlign w:val="baseline"/>
                      <w:lang w:val="en-US" w:eastAsia="zh-CN"/>
                    </w:rPr>
                    <w:t>中的限制类、淘汰类项目，属于</w:t>
                  </w:r>
                  <w:r>
                    <w:rPr>
                      <w:rFonts w:hint="default" w:ascii="Times New Roman" w:hAnsi="Times New Roman" w:cs="Times New Roman"/>
                      <w:color w:val="auto"/>
                      <w:kern w:val="0"/>
                      <w:sz w:val="21"/>
                      <w:szCs w:val="21"/>
                      <w:highlight w:val="none"/>
                      <w:vertAlign w:val="baseline"/>
                      <w:lang w:val="en-US" w:eastAsia="zh-CN"/>
                    </w:rPr>
                    <w:t>鼓励建设项目</w:t>
                  </w:r>
                  <w:r>
                    <w:rPr>
                      <w:rFonts w:hint="default" w:ascii="Times New Roman" w:hAnsi="Times New Roman" w:eastAsia="宋体" w:cs="Times New Roman"/>
                      <w:color w:val="auto"/>
                      <w:kern w:val="0"/>
                      <w:sz w:val="21"/>
                      <w:szCs w:val="21"/>
                      <w:highlight w:val="none"/>
                      <w:vertAlign w:val="baseline"/>
                      <w:lang w:val="en-US" w:eastAsia="zh-CN"/>
                    </w:rPr>
                    <w:t>。</w:t>
                  </w:r>
                </w:p>
              </w:tc>
              <w:tc>
                <w:tcPr>
                  <w:tcW w:w="1288" w:type="dxa"/>
                  <w:tcBorders>
                    <w:tl2br w:val="nil"/>
                    <w:tr2bl w:val="nil"/>
                  </w:tcBorders>
                  <w:noWrap w:val="0"/>
                  <w:vAlign w:val="center"/>
                </w:tcPr>
                <w:p w14:paraId="5F6B511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5F9EEE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442" w:type="dxa"/>
                  <w:tcBorders>
                    <w:tl2br w:val="nil"/>
                    <w:tr2bl w:val="nil"/>
                  </w:tcBorders>
                  <w:noWrap w:val="0"/>
                  <w:vAlign w:val="center"/>
                </w:tcPr>
                <w:p w14:paraId="36B765D0">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实施节水行动。全面完成山东省引黄灌区农业节水工程，实现高效配水到田间.扩大节水灌溉规模，发展节水种植，2022年年底前，农田灌溉水有效利用系数提高到0.648以上。严格电力、钢铁、石化、化工、食品和发酵等高耗水行业用水管理，推进企业和园区串联用水、分质用水、一水多用，2025年年底前，规模以上工业用水重复利用率达到92.5％，严格高耗水行业用水定额管理，洗浴、洗车、游泳馆、高尔夫球场、人工滑雪场、洗涤、宾馆等行业，积极推广低耗水、循环用水等节水技术、设备和工艺.加强城镇供水管网检漏和更新改造，推进供水管网分区计量管理.积极开展节水示范建设，推动县域节水型社会和节水型城市、企业、校园等各类节水载体建设。</w:t>
                  </w:r>
                </w:p>
              </w:tc>
              <w:tc>
                <w:tcPr>
                  <w:tcW w:w="2130" w:type="dxa"/>
                  <w:tcBorders>
                    <w:tl2br w:val="nil"/>
                    <w:tr2bl w:val="nil"/>
                  </w:tcBorders>
                  <w:noWrap w:val="0"/>
                  <w:vAlign w:val="center"/>
                </w:tcPr>
                <w:p w14:paraId="45E5CAD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本项目用水为</w:t>
                  </w:r>
                  <w:r>
                    <w:rPr>
                      <w:rFonts w:hint="default" w:ascii="Times New Roman" w:hAnsi="Times New Roman" w:cs="Times New Roman"/>
                      <w:color w:val="auto"/>
                      <w:kern w:val="0"/>
                      <w:sz w:val="21"/>
                      <w:szCs w:val="21"/>
                      <w:highlight w:val="none"/>
                      <w:vertAlign w:val="baseline"/>
                      <w:lang w:val="en-US" w:eastAsia="zh-CN"/>
                    </w:rPr>
                    <w:t>陶瓷喷墨墨水原料用水及冷水机用水</w:t>
                  </w:r>
                  <w:r>
                    <w:rPr>
                      <w:rFonts w:hint="default" w:ascii="Times New Roman" w:hAnsi="Times New Roman" w:eastAsia="宋体" w:cs="Times New Roman"/>
                      <w:color w:val="auto"/>
                      <w:kern w:val="0"/>
                      <w:sz w:val="21"/>
                      <w:szCs w:val="21"/>
                      <w:highlight w:val="none"/>
                      <w:vertAlign w:val="baseline"/>
                      <w:lang w:val="en-US" w:eastAsia="zh-CN"/>
                    </w:rPr>
                    <w:t>，</w:t>
                  </w:r>
                  <w:r>
                    <w:rPr>
                      <w:rFonts w:hint="default" w:ascii="Times New Roman" w:hAnsi="Times New Roman" w:cs="Times New Roman"/>
                      <w:color w:val="auto"/>
                      <w:kern w:val="0"/>
                      <w:sz w:val="21"/>
                      <w:szCs w:val="21"/>
                      <w:highlight w:val="none"/>
                      <w:vertAlign w:val="baseline"/>
                      <w:lang w:val="en-US" w:eastAsia="zh-CN"/>
                    </w:rPr>
                    <w:t>用水量较小，</w:t>
                  </w:r>
                  <w:r>
                    <w:rPr>
                      <w:rFonts w:hint="default" w:ascii="Times New Roman" w:hAnsi="Times New Roman" w:eastAsia="宋体" w:cs="Times New Roman"/>
                      <w:color w:val="auto"/>
                      <w:kern w:val="0"/>
                      <w:sz w:val="21"/>
                      <w:szCs w:val="21"/>
                      <w:highlight w:val="none"/>
                      <w:vertAlign w:val="baseline"/>
                      <w:lang w:val="en-US" w:eastAsia="zh-CN"/>
                    </w:rPr>
                    <w:t>由淄川区供水管网提供。</w:t>
                  </w:r>
                </w:p>
              </w:tc>
              <w:tc>
                <w:tcPr>
                  <w:tcW w:w="1288" w:type="dxa"/>
                  <w:tcBorders>
                    <w:tl2br w:val="nil"/>
                    <w:tr2bl w:val="nil"/>
                  </w:tcBorders>
                  <w:noWrap w:val="0"/>
                  <w:vAlign w:val="center"/>
                </w:tcPr>
                <w:p w14:paraId="0778D03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bl>
          <w:p w14:paraId="4948EEC1">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1</w:t>
            </w:r>
            <w:r>
              <w:rPr>
                <w:rFonts w:hint="eastAsia" w:cs="Times New Roman"/>
                <w:b/>
                <w:bCs/>
                <w:color w:val="auto"/>
                <w:kern w:val="0"/>
                <w:sz w:val="24"/>
                <w:szCs w:val="24"/>
                <w:highlight w:val="none"/>
                <w:lang w:val="en-US" w:eastAsia="zh-CN"/>
              </w:rPr>
              <w:t>0</w:t>
            </w:r>
            <w:r>
              <w:rPr>
                <w:rFonts w:hint="default" w:ascii="Times New Roman" w:hAnsi="Times New Roman" w:eastAsia="宋体" w:cs="Times New Roman"/>
                <w:b/>
                <w:bCs/>
                <w:color w:val="auto"/>
                <w:kern w:val="0"/>
                <w:sz w:val="24"/>
                <w:szCs w:val="24"/>
                <w:highlight w:val="none"/>
                <w:lang w:val="en-US" w:eastAsia="zh-CN"/>
              </w:rPr>
              <w:t>.与《关于严格项目审批工作坚决防止新上</w:t>
            </w:r>
            <w:r>
              <w:rPr>
                <w:rFonts w:hint="default" w:ascii="Times New Roman" w:hAnsi="Times New Roman"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散乱污</w:t>
            </w:r>
            <w:r>
              <w:rPr>
                <w:rFonts w:hint="default" w:ascii="Times New Roman" w:hAnsi="Times New Roman" w:cs="Times New Roman"/>
                <w:b/>
                <w:bCs/>
                <w:color w:val="auto"/>
                <w:kern w:val="0"/>
                <w:sz w:val="24"/>
                <w:szCs w:val="24"/>
                <w:highlight w:val="none"/>
                <w:lang w:val="en-US" w:eastAsia="zh-CN"/>
              </w:rPr>
              <w:t>”</w:t>
            </w:r>
            <w:r>
              <w:rPr>
                <w:rFonts w:hint="default" w:ascii="Times New Roman" w:hAnsi="Times New Roman" w:eastAsia="宋体" w:cs="Times New Roman"/>
                <w:b/>
                <w:bCs/>
                <w:color w:val="auto"/>
                <w:kern w:val="0"/>
                <w:sz w:val="24"/>
                <w:szCs w:val="24"/>
                <w:highlight w:val="none"/>
                <w:lang w:val="en-US" w:eastAsia="zh-CN"/>
              </w:rPr>
              <w:t>项目的通知》（鲁环字〔2021〕58号）符合性分析</w:t>
            </w:r>
          </w:p>
          <w:p w14:paraId="6FBDD527">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9</w:t>
            </w:r>
            <w:r>
              <w:rPr>
                <w:rFonts w:hint="default" w:ascii="Times New Roman" w:hAnsi="Times New Roman" w:eastAsia="黑体" w:cs="Times New Roman"/>
                <w:b w:val="0"/>
                <w:bCs w:val="0"/>
                <w:color w:val="auto"/>
                <w:kern w:val="0"/>
                <w:sz w:val="24"/>
                <w:szCs w:val="24"/>
                <w:lang w:val="en-US" w:eastAsia="zh-CN"/>
              </w:rPr>
              <w:t xml:space="preserve"> 与《关于严格项目审批工作坚决防止新上“散乱污”项目的通知》符合性</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61"/>
              <w:gridCol w:w="2167"/>
              <w:gridCol w:w="1177"/>
            </w:tblGrid>
            <w:tr w14:paraId="557B70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79" w:type="dxa"/>
                  <w:tcBorders>
                    <w:tl2br w:val="nil"/>
                    <w:tr2bl w:val="nil"/>
                  </w:tcBorders>
                  <w:noWrap w:val="0"/>
                  <w:vAlign w:val="center"/>
                </w:tcPr>
                <w:p w14:paraId="719BE6A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文件要求</w:t>
                  </w:r>
                </w:p>
              </w:tc>
              <w:tc>
                <w:tcPr>
                  <w:tcW w:w="2343" w:type="dxa"/>
                  <w:tcBorders>
                    <w:tl2br w:val="nil"/>
                    <w:tr2bl w:val="nil"/>
                  </w:tcBorders>
                  <w:noWrap w:val="0"/>
                  <w:vAlign w:val="center"/>
                </w:tcPr>
                <w:p w14:paraId="5C11A55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本项目情况</w:t>
                  </w:r>
                </w:p>
              </w:tc>
              <w:tc>
                <w:tcPr>
                  <w:tcW w:w="1277" w:type="dxa"/>
                  <w:tcBorders>
                    <w:tl2br w:val="nil"/>
                    <w:tr2bl w:val="nil"/>
                  </w:tcBorders>
                  <w:noWrap w:val="0"/>
                  <w:vAlign w:val="center"/>
                </w:tcPr>
                <w:p w14:paraId="4DA3419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符合情况</w:t>
                  </w:r>
                </w:p>
              </w:tc>
            </w:tr>
            <w:tr w14:paraId="21F9E2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79" w:type="dxa"/>
                  <w:tcBorders>
                    <w:tl2br w:val="nil"/>
                    <w:tr2bl w:val="nil"/>
                  </w:tcBorders>
                  <w:noWrap w:val="0"/>
                  <w:vAlign w:val="center"/>
                </w:tcPr>
                <w:p w14:paraId="33C9EFD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一、认真贯彻执行产业政策。新上项目必须符合国家产业政策要求，禁止采用国家公布的淘汰工艺和落后设备，不得引进耗能高、污染大、生产粗放、不符合国家产业政策的项目。</w:t>
                  </w:r>
                </w:p>
              </w:tc>
              <w:tc>
                <w:tcPr>
                  <w:tcW w:w="2343" w:type="dxa"/>
                  <w:tcBorders>
                    <w:tl2br w:val="nil"/>
                    <w:tr2bl w:val="nil"/>
                  </w:tcBorders>
                  <w:noWrap w:val="0"/>
                  <w:vAlign w:val="center"/>
                </w:tcPr>
                <w:p w14:paraId="77987D9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项目不属于</w:t>
                  </w:r>
                  <w:r>
                    <w:rPr>
                      <w:rFonts w:hint="default" w:ascii="Times New Roman" w:hAnsi="Times New Roman" w:cs="Times New Roman"/>
                      <w:color w:val="auto"/>
                      <w:kern w:val="0"/>
                      <w:sz w:val="21"/>
                      <w:szCs w:val="21"/>
                      <w:highlight w:val="none"/>
                      <w:vertAlign w:val="baseline"/>
                      <w:lang w:val="en-US" w:eastAsia="zh-CN"/>
                    </w:rPr>
                    <w:t>《产业结构调整指导目录（2024年本）》</w:t>
                  </w:r>
                  <w:r>
                    <w:rPr>
                      <w:rFonts w:hint="default" w:ascii="Times New Roman" w:hAnsi="Times New Roman" w:eastAsia="宋体" w:cs="Times New Roman"/>
                      <w:color w:val="auto"/>
                      <w:kern w:val="0"/>
                      <w:sz w:val="21"/>
                      <w:szCs w:val="21"/>
                      <w:highlight w:val="none"/>
                      <w:vertAlign w:val="baseline"/>
                      <w:lang w:val="en-US" w:eastAsia="zh-CN"/>
                    </w:rPr>
                    <w:t>中的限制类、淘汰类项目，属于</w:t>
                  </w:r>
                  <w:r>
                    <w:rPr>
                      <w:rFonts w:hint="default" w:ascii="Times New Roman" w:hAnsi="Times New Roman" w:cs="Times New Roman"/>
                      <w:color w:val="auto"/>
                      <w:kern w:val="0"/>
                      <w:sz w:val="21"/>
                      <w:szCs w:val="21"/>
                      <w:highlight w:val="none"/>
                      <w:vertAlign w:val="baseline"/>
                      <w:lang w:val="en-US" w:eastAsia="zh-CN"/>
                    </w:rPr>
                    <w:t>鼓励建设项目</w:t>
                  </w:r>
                  <w:r>
                    <w:rPr>
                      <w:rFonts w:hint="default" w:ascii="Times New Roman" w:hAnsi="Times New Roman" w:eastAsia="宋体" w:cs="Times New Roman"/>
                      <w:color w:val="auto"/>
                      <w:kern w:val="0"/>
                      <w:sz w:val="21"/>
                      <w:szCs w:val="21"/>
                      <w:highlight w:val="none"/>
                      <w:vertAlign w:val="baseline"/>
                      <w:lang w:val="en-US" w:eastAsia="zh-CN"/>
                    </w:rPr>
                    <w:t>，所用设备不属于《高耗能落后机电设备（产品）淘汰目录（第一～四批）》之列。</w:t>
                  </w:r>
                </w:p>
              </w:tc>
              <w:tc>
                <w:tcPr>
                  <w:tcW w:w="1277" w:type="dxa"/>
                  <w:tcBorders>
                    <w:tl2br w:val="nil"/>
                    <w:tr2bl w:val="nil"/>
                  </w:tcBorders>
                  <w:noWrap w:val="0"/>
                  <w:vAlign w:val="center"/>
                </w:tcPr>
                <w:p w14:paraId="127FC47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0A1F2A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79" w:type="dxa"/>
                  <w:tcBorders>
                    <w:tl2br w:val="nil"/>
                    <w:tr2bl w:val="nil"/>
                  </w:tcBorders>
                  <w:noWrap w:val="0"/>
                  <w:vAlign w:val="center"/>
                </w:tcPr>
                <w:p w14:paraId="398F4B5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二、强化规划刚性约束。新上项目必须符合国土空间规划、产业发展规划等要求，积极引导产业园区外的</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散乱污</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整治搬迁改造企业进入产业园区或工业集聚区，并鼓励租赁标准厂房，按照</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布局集中、用地集约、产业集聚、空间优化</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的原则，高标准制定产业发展规划，明确主导产业、布局和产业发展方向，引导企业规范化、规模化、集约化发展。</w:t>
                  </w:r>
                </w:p>
              </w:tc>
              <w:tc>
                <w:tcPr>
                  <w:tcW w:w="2343" w:type="dxa"/>
                  <w:tcBorders>
                    <w:tl2br w:val="nil"/>
                    <w:tr2bl w:val="nil"/>
                  </w:tcBorders>
                  <w:noWrap w:val="0"/>
                  <w:vAlign w:val="center"/>
                </w:tcPr>
                <w:p w14:paraId="2DD17CD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本项目属于</w:t>
                  </w:r>
                  <w:r>
                    <w:rPr>
                      <w:rFonts w:hint="default" w:ascii="Times New Roman" w:hAnsi="Times New Roman" w:cs="Times New Roman"/>
                      <w:color w:val="auto"/>
                      <w:kern w:val="0"/>
                      <w:sz w:val="21"/>
                      <w:szCs w:val="21"/>
                      <w:highlight w:val="none"/>
                      <w:vertAlign w:val="baseline"/>
                      <w:lang w:val="en-US" w:eastAsia="zh-CN"/>
                    </w:rPr>
                    <w:t>技改</w:t>
                  </w:r>
                  <w:r>
                    <w:rPr>
                      <w:rFonts w:hint="default" w:ascii="Times New Roman" w:hAnsi="Times New Roman" w:eastAsia="宋体" w:cs="Times New Roman"/>
                      <w:color w:val="auto"/>
                      <w:kern w:val="0"/>
                      <w:sz w:val="21"/>
                      <w:szCs w:val="21"/>
                      <w:highlight w:val="none"/>
                      <w:vertAlign w:val="baseline"/>
                      <w:lang w:val="en-US" w:eastAsia="zh-CN"/>
                    </w:rPr>
                    <w:t>项目，位于</w:t>
                  </w:r>
                  <w:r>
                    <w:rPr>
                      <w:rFonts w:hint="default" w:ascii="Times New Roman" w:hAnsi="Times New Roman" w:cs="Times New Roman"/>
                      <w:color w:val="auto"/>
                      <w:kern w:val="0"/>
                      <w:sz w:val="21"/>
                      <w:szCs w:val="21"/>
                      <w:highlight w:val="none"/>
                      <w:vertAlign w:val="baseline"/>
                      <w:lang w:val="en-US" w:eastAsia="zh-CN"/>
                    </w:rPr>
                    <w:t>淄博锦明陶瓷材料有限公司现有厂区内，用地类型为工业用地</w:t>
                  </w:r>
                  <w:r>
                    <w:rPr>
                      <w:rFonts w:hint="default" w:ascii="Times New Roman" w:hAnsi="Times New Roman" w:eastAsia="宋体" w:cs="Times New Roman"/>
                      <w:color w:val="auto"/>
                      <w:kern w:val="0"/>
                      <w:sz w:val="21"/>
                      <w:szCs w:val="21"/>
                      <w:highlight w:val="none"/>
                      <w:vertAlign w:val="baseline"/>
                      <w:lang w:val="en-US" w:eastAsia="zh-CN"/>
                    </w:rPr>
                    <w:t>。</w:t>
                  </w:r>
                </w:p>
              </w:tc>
              <w:tc>
                <w:tcPr>
                  <w:tcW w:w="1277" w:type="dxa"/>
                  <w:tcBorders>
                    <w:tl2br w:val="nil"/>
                    <w:tr2bl w:val="nil"/>
                  </w:tcBorders>
                  <w:noWrap w:val="0"/>
                  <w:vAlign w:val="center"/>
                </w:tcPr>
                <w:p w14:paraId="126515D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5F0CFD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79" w:type="dxa"/>
                  <w:tcBorders>
                    <w:tl2br w:val="nil"/>
                    <w:tr2bl w:val="nil"/>
                  </w:tcBorders>
                  <w:noWrap w:val="0"/>
                  <w:vAlign w:val="center"/>
                </w:tcPr>
                <w:p w14:paraId="5F865F6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三、科学把好项目选址关。新建有污染物排放的工业项目，除在安全生产等方面有特殊要求的以外，应当进入工业园区或工业集聚区。</w:t>
                  </w:r>
                </w:p>
              </w:tc>
              <w:tc>
                <w:tcPr>
                  <w:tcW w:w="2343" w:type="dxa"/>
                  <w:tcBorders>
                    <w:tl2br w:val="nil"/>
                    <w:tr2bl w:val="nil"/>
                  </w:tcBorders>
                  <w:noWrap w:val="0"/>
                  <w:vAlign w:val="center"/>
                </w:tcPr>
                <w:p w14:paraId="126108E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本项目属于</w:t>
                  </w:r>
                  <w:r>
                    <w:rPr>
                      <w:rFonts w:hint="default" w:ascii="Times New Roman" w:hAnsi="Times New Roman" w:cs="Times New Roman"/>
                      <w:color w:val="auto"/>
                      <w:kern w:val="0"/>
                      <w:sz w:val="21"/>
                      <w:szCs w:val="21"/>
                      <w:highlight w:val="none"/>
                      <w:vertAlign w:val="baseline"/>
                      <w:lang w:val="en-US" w:eastAsia="zh-CN"/>
                    </w:rPr>
                    <w:t>技改</w:t>
                  </w:r>
                  <w:r>
                    <w:rPr>
                      <w:rFonts w:hint="default" w:ascii="Times New Roman" w:hAnsi="Times New Roman" w:eastAsia="宋体" w:cs="Times New Roman"/>
                      <w:color w:val="auto"/>
                      <w:kern w:val="0"/>
                      <w:sz w:val="21"/>
                      <w:szCs w:val="21"/>
                      <w:highlight w:val="none"/>
                      <w:vertAlign w:val="baseline"/>
                      <w:lang w:val="en-US" w:eastAsia="zh-CN"/>
                    </w:rPr>
                    <w:t>项目，位于</w:t>
                  </w:r>
                  <w:r>
                    <w:rPr>
                      <w:rFonts w:hint="default" w:ascii="Times New Roman" w:hAnsi="Times New Roman" w:cs="Times New Roman"/>
                      <w:color w:val="auto"/>
                      <w:kern w:val="0"/>
                      <w:sz w:val="21"/>
                      <w:szCs w:val="21"/>
                      <w:highlight w:val="none"/>
                      <w:vertAlign w:val="baseline"/>
                      <w:lang w:val="en-US" w:eastAsia="zh-CN"/>
                    </w:rPr>
                    <w:t>淄博锦明陶瓷材料有限公司现有厂区内，用地类型为工业用地</w:t>
                  </w:r>
                  <w:r>
                    <w:rPr>
                      <w:rFonts w:hint="default" w:ascii="Times New Roman" w:hAnsi="Times New Roman" w:eastAsia="宋体" w:cs="Times New Roman"/>
                      <w:color w:val="auto"/>
                      <w:kern w:val="0"/>
                      <w:sz w:val="21"/>
                      <w:szCs w:val="21"/>
                      <w:highlight w:val="none"/>
                      <w:vertAlign w:val="baseline"/>
                      <w:lang w:val="en-US" w:eastAsia="zh-CN"/>
                    </w:rPr>
                    <w:t>。</w:t>
                  </w:r>
                </w:p>
              </w:tc>
              <w:tc>
                <w:tcPr>
                  <w:tcW w:w="1277" w:type="dxa"/>
                  <w:tcBorders>
                    <w:tl2br w:val="nil"/>
                    <w:tr2bl w:val="nil"/>
                  </w:tcBorders>
                  <w:noWrap w:val="0"/>
                  <w:vAlign w:val="center"/>
                </w:tcPr>
                <w:p w14:paraId="02C1843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498289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79" w:type="dxa"/>
                  <w:tcBorders>
                    <w:tl2br w:val="nil"/>
                    <w:tr2bl w:val="nil"/>
                  </w:tcBorders>
                  <w:noWrap w:val="0"/>
                  <w:vAlign w:val="center"/>
                </w:tcPr>
                <w:p w14:paraId="456029F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四、严把项目环评审批关。新上项目必须严格执行环评审批</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三挂钩</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机制和</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五个不批</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要求，落实</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三线一单</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生态环境分区管控要求。强化替代约束，涉及主要污染物排放的，必须落实区域污染物排放替代，确保增产减污；涉及煤炭消耗的，必须落实煤炭消费减量替代，否则各级环评审批部门一律不予审批通过。</w:t>
                  </w:r>
                </w:p>
              </w:tc>
              <w:tc>
                <w:tcPr>
                  <w:tcW w:w="2343" w:type="dxa"/>
                  <w:tcBorders>
                    <w:tl2br w:val="nil"/>
                    <w:tr2bl w:val="nil"/>
                  </w:tcBorders>
                  <w:noWrap w:val="0"/>
                  <w:vAlign w:val="center"/>
                </w:tcPr>
                <w:p w14:paraId="5BF5102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本项目符合</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三线一单</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生态环境分区管控要求；污染物排放满足当地总量要求；不涉及煤炭消耗。</w:t>
                  </w:r>
                </w:p>
              </w:tc>
              <w:tc>
                <w:tcPr>
                  <w:tcW w:w="1277" w:type="dxa"/>
                  <w:tcBorders>
                    <w:tl2br w:val="nil"/>
                    <w:tr2bl w:val="nil"/>
                  </w:tcBorders>
                  <w:noWrap w:val="0"/>
                  <w:vAlign w:val="center"/>
                </w:tcPr>
                <w:p w14:paraId="06DA61D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51073A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79" w:type="dxa"/>
                  <w:tcBorders>
                    <w:tl2br w:val="nil"/>
                    <w:tr2bl w:val="nil"/>
                  </w:tcBorders>
                  <w:noWrap w:val="0"/>
                  <w:vAlign w:val="center"/>
                </w:tcPr>
                <w:p w14:paraId="6A3EE0D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五、建立部门联动协调机制。各级发展改革、工业和信息化、自然资源、生态环境等部门要按照职责分工，建立长效工作机制，密切配合，强化对项目产业政策、固定资产投资、能耗、用地标准、环境等的论证，对不符合要求的，一律不得办理立项、规划、土地、环评等手续。</w:t>
                  </w:r>
                </w:p>
              </w:tc>
              <w:tc>
                <w:tcPr>
                  <w:tcW w:w="2343" w:type="dxa"/>
                  <w:tcBorders>
                    <w:tl2br w:val="nil"/>
                    <w:tr2bl w:val="nil"/>
                  </w:tcBorders>
                  <w:noWrap w:val="0"/>
                  <w:vAlign w:val="center"/>
                </w:tcPr>
                <w:p w14:paraId="7AB34C0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本项目符合国家产业政策，投资强度满足标准要求，能耗较小，经落实各项环保措施后对周围环境影响较小。</w:t>
                  </w:r>
                </w:p>
              </w:tc>
              <w:tc>
                <w:tcPr>
                  <w:tcW w:w="1277" w:type="dxa"/>
                  <w:tcBorders>
                    <w:tl2br w:val="nil"/>
                    <w:tr2bl w:val="nil"/>
                  </w:tcBorders>
                  <w:noWrap w:val="0"/>
                  <w:vAlign w:val="center"/>
                </w:tcPr>
                <w:p w14:paraId="0A66847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bl>
          <w:p w14:paraId="1BDB0751">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1</w:t>
            </w:r>
            <w:r>
              <w:rPr>
                <w:rFonts w:hint="eastAsia" w:cs="Times New Roman"/>
                <w:b/>
                <w:bCs/>
                <w:color w:val="auto"/>
                <w:kern w:val="0"/>
                <w:sz w:val="24"/>
                <w:szCs w:val="24"/>
                <w:highlight w:val="none"/>
                <w:lang w:val="en-US" w:eastAsia="zh-CN"/>
              </w:rPr>
              <w:t>1</w:t>
            </w:r>
            <w:r>
              <w:rPr>
                <w:rFonts w:hint="default" w:ascii="Times New Roman" w:hAnsi="Times New Roman" w:eastAsia="宋体" w:cs="Times New Roman"/>
                <w:b/>
                <w:bCs/>
                <w:color w:val="auto"/>
                <w:kern w:val="0"/>
                <w:sz w:val="24"/>
                <w:szCs w:val="24"/>
                <w:highlight w:val="none"/>
                <w:lang w:val="en-US" w:eastAsia="zh-CN"/>
              </w:rPr>
              <w:t>.与《山东省深入打好蓝天保卫战行动计划》（2021-2025年）符合性分析</w:t>
            </w:r>
          </w:p>
          <w:p w14:paraId="5B2B6F5C">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10</w:t>
            </w:r>
            <w:r>
              <w:rPr>
                <w:rFonts w:hint="default" w:ascii="Times New Roman" w:hAnsi="Times New Roman" w:eastAsia="黑体" w:cs="Times New Roman"/>
                <w:b w:val="0"/>
                <w:bCs w:val="0"/>
                <w:color w:val="auto"/>
                <w:kern w:val="0"/>
                <w:sz w:val="24"/>
                <w:szCs w:val="24"/>
                <w:lang w:val="en-US" w:eastAsia="zh-CN"/>
              </w:rPr>
              <w:t xml:space="preserve"> 与《山东省深入打好蓝天保卫战行动计划》（2021-2025年）符合性</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4167"/>
              <w:gridCol w:w="1387"/>
              <w:gridCol w:w="838"/>
            </w:tblGrid>
            <w:tr w14:paraId="2E5CD5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tcBorders>
                    <w:tl2br w:val="nil"/>
                    <w:tr2bl w:val="nil"/>
                  </w:tcBorders>
                  <w:noWrap w:val="0"/>
                  <w:vAlign w:val="center"/>
                </w:tcPr>
                <w:p w14:paraId="4C0AB5C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内容</w:t>
                  </w:r>
                </w:p>
              </w:tc>
              <w:tc>
                <w:tcPr>
                  <w:tcW w:w="4845" w:type="dxa"/>
                  <w:tcBorders>
                    <w:tl2br w:val="nil"/>
                    <w:tr2bl w:val="nil"/>
                  </w:tcBorders>
                  <w:noWrap w:val="0"/>
                  <w:vAlign w:val="center"/>
                </w:tcPr>
                <w:p w14:paraId="04245FF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文件要求</w:t>
                  </w:r>
                </w:p>
              </w:tc>
              <w:tc>
                <w:tcPr>
                  <w:tcW w:w="1493" w:type="dxa"/>
                  <w:tcBorders>
                    <w:tl2br w:val="nil"/>
                    <w:tr2bl w:val="nil"/>
                  </w:tcBorders>
                  <w:noWrap w:val="0"/>
                  <w:vAlign w:val="center"/>
                </w:tcPr>
                <w:p w14:paraId="75735CC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本项目情况</w:t>
                  </w:r>
                </w:p>
              </w:tc>
              <w:tc>
                <w:tcPr>
                  <w:tcW w:w="921" w:type="dxa"/>
                  <w:tcBorders>
                    <w:tl2br w:val="nil"/>
                    <w:tr2bl w:val="nil"/>
                  </w:tcBorders>
                  <w:noWrap w:val="0"/>
                  <w:vAlign w:val="center"/>
                </w:tcPr>
                <w:p w14:paraId="1FD52CD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符合性</w:t>
                  </w:r>
                </w:p>
              </w:tc>
            </w:tr>
            <w:tr w14:paraId="5C1EA6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tcBorders>
                    <w:tl2br w:val="nil"/>
                    <w:tr2bl w:val="nil"/>
                  </w:tcBorders>
                  <w:noWrap w:val="0"/>
                  <w:vAlign w:val="center"/>
                </w:tcPr>
                <w:p w14:paraId="3934E9B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淘汰低效落后产能</w:t>
                  </w:r>
                </w:p>
              </w:tc>
              <w:tc>
                <w:tcPr>
                  <w:tcW w:w="4845" w:type="dxa"/>
                  <w:tcBorders>
                    <w:tl2br w:val="nil"/>
                    <w:tr2bl w:val="nil"/>
                  </w:tcBorders>
                  <w:noWrap w:val="0"/>
                  <w:vAlign w:val="center"/>
                </w:tcPr>
                <w:p w14:paraId="259AAC9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聚焦钢铁、地炼、焦化、煤电、水泥、轮胎、煤炭、化工8个重点行业，加快淘汰低效落后产能。严格执行质量、环保、能耗、安全等法规标准，按照《产业结构调整指导目录》，对</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淘汰类</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落后生产工艺装备和落后产品全部淘汰出清。各市聚焦</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高耗能、高污染、高排放、高风险</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等行业，分类组织实施转移、压减、整合、关停任务。按照</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发现一起、处置一起</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的原则，实行</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散乱污</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企业动态清零。严格项目准入，高耗能、高排放（以下简称</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两高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）项目建设做到产能减量、能耗减量、煤炭减量、碳排放减量和污染物排放减量</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五个减量</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替代。有序推进</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两高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项目清理工作，确保</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三个坚决</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落实到位，未纳入国家规划的炼油、乙烯、对二甲苯、煤制油气项目，一律不得建设。</w:t>
                  </w:r>
                </w:p>
              </w:tc>
              <w:tc>
                <w:tcPr>
                  <w:tcW w:w="1493" w:type="dxa"/>
                  <w:tcBorders>
                    <w:tl2br w:val="nil"/>
                    <w:tr2bl w:val="nil"/>
                  </w:tcBorders>
                  <w:noWrap w:val="0"/>
                  <w:vAlign w:val="center"/>
                </w:tcPr>
                <w:p w14:paraId="1A6BC17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本项目国民经济行业类别为</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cs="Times New Roman"/>
                      <w:bCs/>
                      <w:snapToGrid w:val="0"/>
                      <w:color w:val="auto"/>
                      <w:sz w:val="21"/>
                      <w:szCs w:val="21"/>
                      <w:highlight w:val="none"/>
                      <w:lang w:val="en-US" w:eastAsia="zh-CN"/>
                    </w:rPr>
                    <w:t>C2642油墨及类似产品制造行业</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，不属于</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重点行业</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，不属于</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淘汰类</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项目，所用工艺及设备不属于淘汰类，本项目不属于</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散乱污</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项目，不属于</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两高</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项目。</w:t>
                  </w:r>
                </w:p>
              </w:tc>
              <w:tc>
                <w:tcPr>
                  <w:tcW w:w="921" w:type="dxa"/>
                  <w:tcBorders>
                    <w:tl2br w:val="nil"/>
                    <w:tr2bl w:val="nil"/>
                  </w:tcBorders>
                  <w:noWrap w:val="0"/>
                  <w:vAlign w:val="center"/>
                </w:tcPr>
                <w:p w14:paraId="4414CEA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77A97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tcBorders>
                    <w:tl2br w:val="nil"/>
                    <w:tr2bl w:val="nil"/>
                  </w:tcBorders>
                  <w:noWrap w:val="0"/>
                  <w:vAlign w:val="center"/>
                </w:tcPr>
                <w:p w14:paraId="3F580B3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压减煤炭消费量</w:t>
                  </w:r>
                </w:p>
              </w:tc>
              <w:tc>
                <w:tcPr>
                  <w:tcW w:w="4845" w:type="dxa"/>
                  <w:tcBorders>
                    <w:tl2br w:val="nil"/>
                    <w:tr2bl w:val="nil"/>
                  </w:tcBorders>
                  <w:noWrap w:val="0"/>
                  <w:vAlign w:val="center"/>
                </w:tcPr>
                <w:p w14:paraId="2F658F2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持续压减煤炭消费总量，</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十四五</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期间，全省煤炭消费总量下降10%，控制在3.5亿吨左右。非化石能源消费比重提高到13%左右。制定碳达峰方案，推动钢铁、建材、有色、电力等重点行业率先达峰。新、改、扩建熔化炉、加热炉、热处理炉、干燥炉原则上使用清洁低碳能源，不得使用煤炭、重油。按照</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先立后破</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的原则，持续推进清洁取暖改造，扩大集中供热范围，因地制宜推行气代煤、电代煤、热代煤、集中生物质等清洁采暖方式。</w:t>
                  </w:r>
                </w:p>
              </w:tc>
              <w:tc>
                <w:tcPr>
                  <w:tcW w:w="1493" w:type="dxa"/>
                  <w:tcBorders>
                    <w:tl2br w:val="nil"/>
                    <w:tr2bl w:val="nil"/>
                  </w:tcBorders>
                  <w:noWrap w:val="0"/>
                  <w:vAlign w:val="center"/>
                </w:tcPr>
                <w:p w14:paraId="14AA19B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本项目不涉及煤炭使用。</w:t>
                  </w:r>
                </w:p>
              </w:tc>
              <w:tc>
                <w:tcPr>
                  <w:tcW w:w="921" w:type="dxa"/>
                  <w:tcBorders>
                    <w:tl2br w:val="nil"/>
                    <w:tr2bl w:val="nil"/>
                  </w:tcBorders>
                  <w:noWrap w:val="0"/>
                  <w:vAlign w:val="center"/>
                </w:tcPr>
                <w:p w14:paraId="2ABAF95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352680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tcBorders>
                    <w:tl2br w:val="nil"/>
                    <w:tr2bl w:val="nil"/>
                  </w:tcBorders>
                  <w:noWrap w:val="0"/>
                  <w:vAlign w:val="center"/>
                </w:tcPr>
                <w:p w14:paraId="380656E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严格扬尘污染管控</w:t>
                  </w:r>
                </w:p>
              </w:tc>
              <w:tc>
                <w:tcPr>
                  <w:tcW w:w="4845" w:type="dxa"/>
                  <w:tcBorders>
                    <w:tl2br w:val="nil"/>
                    <w:tr2bl w:val="nil"/>
                  </w:tcBorders>
                  <w:noWrap w:val="0"/>
                  <w:vAlign w:val="center"/>
                </w:tcPr>
                <w:p w14:paraId="4ABC635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加强施工扬尘精细化管控，建立并动态更新施工工地清单。全面推行绿色施工，将扬尘污染防治费用纳入工程造价，各类施工工地严格落实扬尘污染防治措施，其中建筑施工工地严格执行</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六项措施</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。规模以上建筑施工工地安装在线监测和视频监控设施，并接入当地监管平台。加强执法监管，对问题严重的依法依规实施联合惩戒。</w:t>
                  </w:r>
                </w:p>
              </w:tc>
              <w:tc>
                <w:tcPr>
                  <w:tcW w:w="1493" w:type="dxa"/>
                  <w:tcBorders>
                    <w:tl2br w:val="nil"/>
                    <w:tr2bl w:val="nil"/>
                  </w:tcBorders>
                  <w:noWrap w:val="0"/>
                  <w:vAlign w:val="center"/>
                </w:tcPr>
                <w:p w14:paraId="6D69FD7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本项目施工期间仅为设备安装，不涉及土建。同时，项目将严格执行扬尘污染防治有关规定。</w:t>
                  </w:r>
                </w:p>
              </w:tc>
              <w:tc>
                <w:tcPr>
                  <w:tcW w:w="921" w:type="dxa"/>
                  <w:tcBorders>
                    <w:tl2br w:val="nil"/>
                    <w:tr2bl w:val="nil"/>
                  </w:tcBorders>
                  <w:noWrap w:val="0"/>
                  <w:vAlign w:val="center"/>
                </w:tcPr>
                <w:p w14:paraId="3E9E37C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6478F9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2" w:type="dxa"/>
                  <w:tcBorders>
                    <w:tl2br w:val="nil"/>
                    <w:tr2bl w:val="nil"/>
                  </w:tcBorders>
                  <w:noWrap w:val="0"/>
                  <w:vAlign w:val="center"/>
                </w:tcPr>
                <w:p w14:paraId="35F69DE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加强大气环境监管</w:t>
                  </w:r>
                </w:p>
              </w:tc>
              <w:tc>
                <w:tcPr>
                  <w:tcW w:w="4845" w:type="dxa"/>
                  <w:tcBorders>
                    <w:tl2br w:val="nil"/>
                    <w:tr2bl w:val="nil"/>
                  </w:tcBorders>
                  <w:noWrap w:val="0"/>
                  <w:vAlign w:val="center"/>
                </w:tcPr>
                <w:p w14:paraId="257F670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严厉打击不正常运行废气治理设施等环境违法违规行为。按照生态环境部部署，对已发排污许可证质量开展复核。建立以排污许可数据为基础的</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双随机、一公开</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数据库，将排污许可证与执行报告作为执法检查的重要依据。加强排污许可证后管理，开展排污许可专项执法检查，落实排污许可</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一证式</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管理。</w:t>
                  </w:r>
                </w:p>
              </w:tc>
              <w:tc>
                <w:tcPr>
                  <w:tcW w:w="1493" w:type="dxa"/>
                  <w:tcBorders>
                    <w:tl2br w:val="nil"/>
                    <w:tr2bl w:val="nil"/>
                  </w:tcBorders>
                  <w:noWrap w:val="0"/>
                  <w:vAlign w:val="center"/>
                </w:tcPr>
                <w:p w14:paraId="476D06A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本报告要求企业重新申请排污许可证并做到严格执行废气治理要求。</w:t>
                  </w:r>
                </w:p>
              </w:tc>
              <w:tc>
                <w:tcPr>
                  <w:tcW w:w="921" w:type="dxa"/>
                  <w:tcBorders>
                    <w:tl2br w:val="nil"/>
                    <w:tr2bl w:val="nil"/>
                  </w:tcBorders>
                  <w:noWrap w:val="0"/>
                  <w:vAlign w:val="center"/>
                </w:tcPr>
                <w:p w14:paraId="13A2E0F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bl>
          <w:p w14:paraId="7239875F">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1</w:t>
            </w:r>
            <w:r>
              <w:rPr>
                <w:rFonts w:hint="eastAsia" w:cs="Times New Roman"/>
                <w:b/>
                <w:bCs/>
                <w:color w:val="auto"/>
                <w:kern w:val="0"/>
                <w:sz w:val="24"/>
                <w:szCs w:val="24"/>
                <w:highlight w:val="none"/>
                <w:lang w:val="en-US" w:eastAsia="zh-CN"/>
              </w:rPr>
              <w:t>2</w:t>
            </w:r>
            <w:r>
              <w:rPr>
                <w:rFonts w:hint="default" w:ascii="Times New Roman" w:hAnsi="Times New Roman" w:eastAsia="宋体" w:cs="Times New Roman"/>
                <w:b/>
                <w:bCs/>
                <w:color w:val="auto"/>
                <w:kern w:val="0"/>
                <w:sz w:val="24"/>
                <w:szCs w:val="24"/>
                <w:highlight w:val="none"/>
                <w:lang w:val="en-US" w:eastAsia="zh-CN"/>
              </w:rPr>
              <w:t>.与《山东省深入打好碧水保卫战行动计划》（2021-2025年）符合性分析</w:t>
            </w:r>
          </w:p>
          <w:p w14:paraId="39CC1211">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表1-1</w:t>
            </w:r>
            <w:r>
              <w:rPr>
                <w:rFonts w:hint="eastAsia" w:eastAsia="黑体" w:cs="Times New Roman"/>
                <w:b w:val="0"/>
                <w:bCs w:val="0"/>
                <w:color w:val="auto"/>
                <w:kern w:val="0"/>
                <w:sz w:val="24"/>
                <w:szCs w:val="24"/>
                <w:lang w:val="en-US" w:eastAsia="zh-CN"/>
              </w:rPr>
              <w:t>1</w:t>
            </w:r>
            <w:r>
              <w:rPr>
                <w:rFonts w:hint="default" w:ascii="Times New Roman" w:hAnsi="Times New Roman" w:eastAsia="黑体" w:cs="Times New Roman"/>
                <w:b w:val="0"/>
                <w:bCs w:val="0"/>
                <w:color w:val="auto"/>
                <w:kern w:val="0"/>
                <w:sz w:val="24"/>
                <w:szCs w:val="24"/>
                <w:lang w:val="en-US" w:eastAsia="zh-CN"/>
              </w:rPr>
              <w:t xml:space="preserve"> 与《山东省深入打好碧水保卫战行动计划》（2021-2025年）符合性分析</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9"/>
              <w:gridCol w:w="3339"/>
              <w:gridCol w:w="2454"/>
              <w:gridCol w:w="640"/>
            </w:tblGrid>
            <w:tr w14:paraId="2825F6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71" w:type="pct"/>
                  <w:tcBorders>
                    <w:tl2br w:val="nil"/>
                    <w:tr2bl w:val="nil"/>
                  </w:tcBorders>
                  <w:noWrap w:val="0"/>
                  <w:vAlign w:val="center"/>
                </w:tcPr>
                <w:p w14:paraId="60F23D5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内容</w:t>
                  </w:r>
                </w:p>
              </w:tc>
              <w:tc>
                <w:tcPr>
                  <w:tcW w:w="2350" w:type="pct"/>
                  <w:tcBorders>
                    <w:tl2br w:val="nil"/>
                    <w:tr2bl w:val="nil"/>
                  </w:tcBorders>
                  <w:noWrap w:val="0"/>
                  <w:vAlign w:val="center"/>
                </w:tcPr>
                <w:p w14:paraId="7F513B6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b/>
                      <w:bCs/>
                      <w:color w:val="auto"/>
                      <w:kern w:val="0"/>
                      <w:sz w:val="21"/>
                      <w:szCs w:val="21"/>
                      <w:highlight w:val="none"/>
                      <w:vertAlign w:val="baseline"/>
                      <w:lang w:val="en-US" w:eastAsia="zh-CN"/>
                    </w:rPr>
                    <w:t>文件要求</w:t>
                  </w:r>
                </w:p>
              </w:tc>
              <w:tc>
                <w:tcPr>
                  <w:tcW w:w="1727" w:type="pct"/>
                  <w:tcBorders>
                    <w:tl2br w:val="nil"/>
                    <w:tr2bl w:val="nil"/>
                  </w:tcBorders>
                  <w:noWrap w:val="0"/>
                  <w:vAlign w:val="center"/>
                </w:tcPr>
                <w:p w14:paraId="32B6324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b/>
                      <w:bCs/>
                      <w:color w:val="auto"/>
                      <w:kern w:val="0"/>
                      <w:sz w:val="21"/>
                      <w:szCs w:val="21"/>
                      <w:highlight w:val="none"/>
                      <w:vertAlign w:val="baseline"/>
                      <w:lang w:val="en-US" w:eastAsia="zh-CN"/>
                    </w:rPr>
                    <w:t>本项目情况</w:t>
                  </w:r>
                </w:p>
              </w:tc>
              <w:tc>
                <w:tcPr>
                  <w:tcW w:w="450" w:type="pct"/>
                  <w:tcBorders>
                    <w:tl2br w:val="nil"/>
                    <w:tr2bl w:val="nil"/>
                  </w:tcBorders>
                  <w:noWrap w:val="0"/>
                  <w:vAlign w:val="center"/>
                </w:tcPr>
                <w:p w14:paraId="49DBEC2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b/>
                      <w:bCs/>
                      <w:color w:val="auto"/>
                      <w:kern w:val="0"/>
                      <w:sz w:val="21"/>
                      <w:szCs w:val="21"/>
                      <w:highlight w:val="none"/>
                      <w:vertAlign w:val="baseline"/>
                      <w:lang w:val="en-US" w:eastAsia="zh-CN"/>
                    </w:rPr>
                    <w:t>符合情况</w:t>
                  </w:r>
                </w:p>
              </w:tc>
            </w:tr>
            <w:tr w14:paraId="55A971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71" w:type="pct"/>
                  <w:tcBorders>
                    <w:tl2br w:val="nil"/>
                    <w:tr2bl w:val="nil"/>
                  </w:tcBorders>
                  <w:noWrap w:val="0"/>
                  <w:vAlign w:val="center"/>
                </w:tcPr>
                <w:p w14:paraId="6957EEB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补齐城镇生活污水治理设施短板</w:t>
                  </w:r>
                </w:p>
              </w:tc>
              <w:tc>
                <w:tcPr>
                  <w:tcW w:w="2350" w:type="pct"/>
                  <w:tcBorders>
                    <w:tl2br w:val="nil"/>
                    <w:tr2bl w:val="nil"/>
                  </w:tcBorders>
                  <w:noWrap w:val="0"/>
                  <w:vAlign w:val="top"/>
                </w:tcPr>
                <w:p w14:paraId="3C802AE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开展</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污水零直排区</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建设，控制城市面源污染。彻底摸清城市（含县城）管网底数，加快雨污分流改造，推进实现整县域合流制管网清零。开展城镇生活污水处理设施能力评估，优化生活污水处理厂布局，提升污水处理能力并适度超前。2025年年底前，新增污水处理能力200万吨/日以上。加强建制镇生活污水收集处理设施建设，并实现稳定运行，2025年年底前，建制镇生活污水处理率达到75%以上。</w:t>
                  </w:r>
                </w:p>
              </w:tc>
              <w:tc>
                <w:tcPr>
                  <w:tcW w:w="1727" w:type="pct"/>
                  <w:tcBorders>
                    <w:tl2br w:val="nil"/>
                    <w:tr2bl w:val="nil"/>
                  </w:tcBorders>
                  <w:noWrap w:val="0"/>
                  <w:vAlign w:val="center"/>
                </w:tcPr>
                <w:p w14:paraId="561AA76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本项目排水系统采用雨污分流制。</w:t>
                  </w:r>
                  <w:r>
                    <w:rPr>
                      <w:rFonts w:hint="default" w:ascii="Times New Roman" w:hAnsi="Times New Roman" w:cs="Times New Roman"/>
                      <w:color w:val="auto"/>
                      <w:kern w:val="0"/>
                      <w:sz w:val="21"/>
                      <w:szCs w:val="21"/>
                      <w:highlight w:val="none"/>
                      <w:vertAlign w:val="baseline"/>
                      <w:lang w:val="en-US" w:eastAsia="zh-CN"/>
                    </w:rPr>
                    <w:t>该项目无生产废水外排</w:t>
                  </w:r>
                  <w:r>
                    <w:rPr>
                      <w:rFonts w:hint="default" w:ascii="Times New Roman" w:hAnsi="Times New Roman" w:eastAsia="宋体" w:cs="Times New Roman"/>
                      <w:color w:val="auto"/>
                      <w:kern w:val="0"/>
                      <w:sz w:val="21"/>
                      <w:szCs w:val="21"/>
                      <w:highlight w:val="none"/>
                      <w:vertAlign w:val="baseline"/>
                      <w:lang w:val="en-US" w:eastAsia="zh-CN"/>
                    </w:rPr>
                    <w:t>。</w:t>
                  </w:r>
                </w:p>
              </w:tc>
              <w:tc>
                <w:tcPr>
                  <w:tcW w:w="450" w:type="pct"/>
                  <w:tcBorders>
                    <w:tl2br w:val="nil"/>
                    <w:tr2bl w:val="nil"/>
                  </w:tcBorders>
                  <w:noWrap w:val="0"/>
                  <w:vAlign w:val="center"/>
                </w:tcPr>
                <w:p w14:paraId="3E3527E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455C23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71" w:type="pct"/>
                  <w:tcBorders>
                    <w:tl2br w:val="nil"/>
                    <w:tr2bl w:val="nil"/>
                  </w:tcBorders>
                  <w:noWrap w:val="0"/>
                  <w:vAlign w:val="center"/>
                </w:tcPr>
                <w:p w14:paraId="3485EA4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开展区域再生水循环利用</w:t>
                  </w:r>
                </w:p>
              </w:tc>
              <w:tc>
                <w:tcPr>
                  <w:tcW w:w="2350" w:type="pct"/>
                  <w:tcBorders>
                    <w:tl2br w:val="nil"/>
                    <w:tr2bl w:val="nil"/>
                  </w:tcBorders>
                  <w:noWrap w:val="0"/>
                  <w:vAlign w:val="top"/>
                </w:tcPr>
                <w:p w14:paraId="16946FC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加强工业节水，2025年年底前，全省高耗水工业企业节水型企业达标率达到50%，全省创建50家节水标杆企业和10家节水标杆园区。开展城市污水深度处理，推进再生水资源化利用，缓解水资源短缺问题。推动非常规水纳入水资源统一配置，逐年提高非常规水利用比例，2025年年底前，非常规水源利用量达到15亿立方米。</w:t>
                  </w:r>
                </w:p>
              </w:tc>
              <w:tc>
                <w:tcPr>
                  <w:tcW w:w="1727" w:type="pct"/>
                  <w:tcBorders>
                    <w:tl2br w:val="nil"/>
                    <w:tr2bl w:val="nil"/>
                  </w:tcBorders>
                  <w:noWrap w:val="0"/>
                  <w:vAlign w:val="center"/>
                </w:tcPr>
                <w:p w14:paraId="1D13FEC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本项目排水系统采用雨污分流制。</w:t>
                  </w:r>
                  <w:r>
                    <w:rPr>
                      <w:rFonts w:hint="default" w:ascii="Times New Roman" w:hAnsi="Times New Roman" w:cs="Times New Roman"/>
                      <w:color w:val="auto"/>
                      <w:kern w:val="0"/>
                      <w:sz w:val="21"/>
                      <w:szCs w:val="21"/>
                      <w:highlight w:val="none"/>
                      <w:vertAlign w:val="baseline"/>
                      <w:lang w:val="en-US" w:eastAsia="zh-CN"/>
                    </w:rPr>
                    <w:t>该项目无生产废水外排</w:t>
                  </w:r>
                  <w:r>
                    <w:rPr>
                      <w:rFonts w:hint="default" w:ascii="Times New Roman" w:hAnsi="Times New Roman" w:eastAsia="宋体" w:cs="Times New Roman"/>
                      <w:color w:val="auto"/>
                      <w:kern w:val="0"/>
                      <w:sz w:val="21"/>
                      <w:szCs w:val="21"/>
                      <w:highlight w:val="none"/>
                      <w:vertAlign w:val="baseline"/>
                      <w:lang w:val="en-US" w:eastAsia="zh-CN"/>
                    </w:rPr>
                    <w:t>。</w:t>
                  </w:r>
                </w:p>
              </w:tc>
              <w:tc>
                <w:tcPr>
                  <w:tcW w:w="450" w:type="pct"/>
                  <w:tcBorders>
                    <w:tl2br w:val="nil"/>
                    <w:tr2bl w:val="nil"/>
                  </w:tcBorders>
                  <w:noWrap w:val="0"/>
                  <w:vAlign w:val="center"/>
                </w:tcPr>
                <w:p w14:paraId="4DC3365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bl>
          <w:p w14:paraId="6B4521C0">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1</w:t>
            </w:r>
            <w:r>
              <w:rPr>
                <w:rFonts w:hint="eastAsia" w:cs="Times New Roman"/>
                <w:b/>
                <w:bCs/>
                <w:color w:val="auto"/>
                <w:kern w:val="0"/>
                <w:sz w:val="24"/>
                <w:szCs w:val="24"/>
                <w:highlight w:val="none"/>
                <w:lang w:val="en-US" w:eastAsia="zh-CN"/>
              </w:rPr>
              <w:t>3</w:t>
            </w:r>
            <w:r>
              <w:rPr>
                <w:rFonts w:hint="default" w:ascii="Times New Roman" w:hAnsi="Times New Roman" w:eastAsia="宋体" w:cs="Times New Roman"/>
                <w:b/>
                <w:bCs/>
                <w:color w:val="auto"/>
                <w:kern w:val="0"/>
                <w:sz w:val="24"/>
                <w:szCs w:val="24"/>
                <w:highlight w:val="none"/>
                <w:lang w:val="en-US" w:eastAsia="zh-CN"/>
              </w:rPr>
              <w:t>.与《山东省深入打好净土保卫战行动计划》（2021-2025年）符合性分析</w:t>
            </w:r>
          </w:p>
          <w:p w14:paraId="65AD26C0">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表1-1</w:t>
            </w:r>
            <w:r>
              <w:rPr>
                <w:rFonts w:hint="eastAsia" w:eastAsia="黑体" w:cs="Times New Roman"/>
                <w:b w:val="0"/>
                <w:bCs w:val="0"/>
                <w:color w:val="auto"/>
                <w:kern w:val="0"/>
                <w:sz w:val="24"/>
                <w:szCs w:val="24"/>
                <w:lang w:val="en-US" w:eastAsia="zh-CN"/>
              </w:rPr>
              <w:t>2</w:t>
            </w:r>
            <w:r>
              <w:rPr>
                <w:rFonts w:hint="default" w:ascii="Times New Roman" w:hAnsi="Times New Roman" w:eastAsia="黑体" w:cs="Times New Roman"/>
                <w:b w:val="0"/>
                <w:bCs w:val="0"/>
                <w:color w:val="auto"/>
                <w:kern w:val="0"/>
                <w:sz w:val="24"/>
                <w:szCs w:val="24"/>
                <w:lang w:val="en-US" w:eastAsia="zh-CN"/>
              </w:rPr>
              <w:t xml:space="preserve"> 与《山东省山东省深入打好净土保卫战行动计划》（2021-2025年）符合性</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9"/>
              <w:gridCol w:w="3648"/>
              <w:gridCol w:w="1999"/>
              <w:gridCol w:w="786"/>
            </w:tblGrid>
            <w:tr w14:paraId="6FCF38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71" w:type="pct"/>
                  <w:tcBorders>
                    <w:tl2br w:val="nil"/>
                    <w:tr2bl w:val="nil"/>
                  </w:tcBorders>
                  <w:noWrap w:val="0"/>
                  <w:vAlign w:val="center"/>
                </w:tcPr>
                <w:p w14:paraId="36ED0D7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内容</w:t>
                  </w:r>
                </w:p>
              </w:tc>
              <w:tc>
                <w:tcPr>
                  <w:tcW w:w="2567" w:type="pct"/>
                  <w:tcBorders>
                    <w:tl2br w:val="nil"/>
                    <w:tr2bl w:val="nil"/>
                  </w:tcBorders>
                  <w:noWrap w:val="0"/>
                  <w:vAlign w:val="center"/>
                </w:tcPr>
                <w:p w14:paraId="36F033C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b/>
                      <w:bCs/>
                      <w:color w:val="auto"/>
                      <w:kern w:val="0"/>
                      <w:sz w:val="21"/>
                      <w:szCs w:val="21"/>
                      <w:highlight w:val="none"/>
                      <w:vertAlign w:val="baseline"/>
                      <w:lang w:val="en-US" w:eastAsia="zh-CN"/>
                    </w:rPr>
                    <w:t>文件要求</w:t>
                  </w:r>
                </w:p>
              </w:tc>
              <w:tc>
                <w:tcPr>
                  <w:tcW w:w="1407" w:type="pct"/>
                  <w:tcBorders>
                    <w:tl2br w:val="nil"/>
                    <w:tr2bl w:val="nil"/>
                  </w:tcBorders>
                  <w:noWrap w:val="0"/>
                  <w:vAlign w:val="center"/>
                </w:tcPr>
                <w:p w14:paraId="043625A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b/>
                      <w:bCs/>
                      <w:color w:val="auto"/>
                      <w:kern w:val="0"/>
                      <w:sz w:val="21"/>
                      <w:szCs w:val="21"/>
                      <w:highlight w:val="none"/>
                      <w:vertAlign w:val="baseline"/>
                      <w:lang w:val="en-US" w:eastAsia="zh-CN"/>
                    </w:rPr>
                    <w:t>本项目情况</w:t>
                  </w:r>
                </w:p>
              </w:tc>
              <w:tc>
                <w:tcPr>
                  <w:tcW w:w="553" w:type="pct"/>
                  <w:tcBorders>
                    <w:tl2br w:val="nil"/>
                    <w:tr2bl w:val="nil"/>
                  </w:tcBorders>
                  <w:noWrap w:val="0"/>
                  <w:vAlign w:val="center"/>
                </w:tcPr>
                <w:p w14:paraId="1ECDBA2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b/>
                      <w:bCs/>
                      <w:color w:val="auto"/>
                      <w:kern w:val="0"/>
                      <w:sz w:val="21"/>
                      <w:szCs w:val="21"/>
                      <w:highlight w:val="none"/>
                      <w:vertAlign w:val="baseline"/>
                      <w:lang w:val="en-US" w:eastAsia="zh-CN" w:bidi="ar-SA"/>
                    </w:rPr>
                  </w:pPr>
                  <w:r>
                    <w:rPr>
                      <w:rFonts w:hint="default" w:ascii="Times New Roman" w:hAnsi="Times New Roman" w:eastAsia="宋体" w:cs="Times New Roman"/>
                      <w:b/>
                      <w:bCs/>
                      <w:color w:val="auto"/>
                      <w:kern w:val="0"/>
                      <w:sz w:val="21"/>
                      <w:szCs w:val="21"/>
                      <w:highlight w:val="none"/>
                      <w:vertAlign w:val="baseline"/>
                      <w:lang w:val="en-US" w:eastAsia="zh-CN"/>
                    </w:rPr>
                    <w:t>符合性</w:t>
                  </w:r>
                </w:p>
              </w:tc>
            </w:tr>
            <w:tr w14:paraId="65AEBF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71" w:type="pct"/>
                  <w:tcBorders>
                    <w:tl2br w:val="nil"/>
                    <w:tr2bl w:val="nil"/>
                  </w:tcBorders>
                  <w:noWrap w:val="0"/>
                  <w:vAlign w:val="center"/>
                </w:tcPr>
                <w:p w14:paraId="060B437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加强固体废物环境管理</w:t>
                  </w:r>
                </w:p>
              </w:tc>
              <w:tc>
                <w:tcPr>
                  <w:tcW w:w="2567" w:type="pct"/>
                  <w:tcBorders>
                    <w:tl2br w:val="nil"/>
                    <w:tr2bl w:val="nil"/>
                  </w:tcBorders>
                  <w:noWrap w:val="0"/>
                  <w:vAlign w:val="top"/>
                </w:tcPr>
                <w:p w14:paraId="54FE614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开展非正规固体废物堆存场所排查整治。构建集污水、垃圾、固废、危废、医废处理处置设施和监测监管能力于一体的环境基础设施体系，形成由城市向建制镇和乡村延伸覆盖的环境基础设施网络。到2025年，试点城市建立起</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无废城市</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建设综合管理制度和监管体系。深入推进生活垃圾分类，建立有害垃圾收集转运体系。严格落实《山东省城市生活垃圾分类制度实施方案》，完善垃圾分类标识体系，健全垃圾分类奖励制度。</w:t>
                  </w:r>
                </w:p>
              </w:tc>
              <w:tc>
                <w:tcPr>
                  <w:tcW w:w="1407" w:type="pct"/>
                  <w:tcBorders>
                    <w:tl2br w:val="nil"/>
                    <w:tr2bl w:val="nil"/>
                  </w:tcBorders>
                  <w:noWrap w:val="0"/>
                  <w:vAlign w:val="center"/>
                </w:tcPr>
                <w:p w14:paraId="1AEF9F4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本项目危险废物主要为废包装桶</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废润滑油废油桶</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废滤芯</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废活性炭，委托有资质的单位处置；生活垃圾分类收集，收集后由环卫部门定期清运；一般工业固废新建一般固废暂存处，集中回收后外卖或由厂家回收利用。</w:t>
                  </w:r>
                </w:p>
              </w:tc>
              <w:tc>
                <w:tcPr>
                  <w:tcW w:w="553" w:type="pct"/>
                  <w:tcBorders>
                    <w:tl2br w:val="nil"/>
                    <w:tr2bl w:val="nil"/>
                  </w:tcBorders>
                  <w:noWrap w:val="0"/>
                  <w:vAlign w:val="center"/>
                </w:tcPr>
                <w:p w14:paraId="427F1CD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bl>
          <w:p w14:paraId="523A163A">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1</w:t>
            </w:r>
            <w:r>
              <w:rPr>
                <w:rFonts w:hint="eastAsia" w:cs="Times New Roman"/>
                <w:b/>
                <w:bCs/>
                <w:color w:val="auto"/>
                <w:kern w:val="0"/>
                <w:sz w:val="24"/>
                <w:szCs w:val="24"/>
                <w:highlight w:val="none"/>
                <w:lang w:val="en-US" w:eastAsia="zh-CN"/>
              </w:rPr>
              <w:t>4</w:t>
            </w:r>
            <w:r>
              <w:rPr>
                <w:rFonts w:hint="default" w:ascii="Times New Roman" w:hAnsi="Times New Roman" w:eastAsia="宋体" w:cs="Times New Roman"/>
                <w:b/>
                <w:bCs/>
                <w:color w:val="auto"/>
                <w:kern w:val="0"/>
                <w:sz w:val="24"/>
                <w:szCs w:val="24"/>
                <w:highlight w:val="none"/>
                <w:lang w:val="en-US" w:eastAsia="zh-CN"/>
              </w:rPr>
              <w:t>.与《关于做好环境影响评价制度与排污许可制衔接相关工作的通知》（环办环评〔20</w:t>
            </w:r>
            <w:r>
              <w:rPr>
                <w:rFonts w:hint="default" w:ascii="Times New Roman" w:hAnsi="Times New Roman" w:cs="Times New Roman"/>
                <w:b/>
                <w:bCs/>
                <w:color w:val="auto"/>
                <w:kern w:val="0"/>
                <w:sz w:val="24"/>
                <w:szCs w:val="24"/>
                <w:highlight w:val="none"/>
                <w:lang w:val="en-US" w:eastAsia="zh-CN"/>
              </w:rPr>
              <w:t>17</w:t>
            </w:r>
            <w:r>
              <w:rPr>
                <w:rFonts w:hint="default" w:ascii="Times New Roman" w:hAnsi="Times New Roman" w:eastAsia="宋体" w:cs="Times New Roman"/>
                <w:b/>
                <w:bCs/>
                <w:color w:val="auto"/>
                <w:kern w:val="0"/>
                <w:sz w:val="24"/>
                <w:szCs w:val="24"/>
                <w:highlight w:val="none"/>
                <w:lang w:val="en-US" w:eastAsia="zh-CN"/>
              </w:rPr>
              <w:t>〕84号）符合性分析</w:t>
            </w:r>
          </w:p>
          <w:p w14:paraId="4824EB74">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表1-1</w:t>
            </w:r>
            <w:r>
              <w:rPr>
                <w:rFonts w:hint="eastAsia" w:eastAsia="黑体" w:cs="Times New Roman"/>
                <w:b w:val="0"/>
                <w:bCs w:val="0"/>
                <w:color w:val="auto"/>
                <w:kern w:val="0"/>
                <w:sz w:val="24"/>
                <w:szCs w:val="24"/>
                <w:lang w:val="en-US" w:eastAsia="zh-CN"/>
              </w:rPr>
              <w:t>3</w:t>
            </w:r>
            <w:r>
              <w:rPr>
                <w:rFonts w:hint="default" w:ascii="Times New Roman" w:hAnsi="Times New Roman" w:eastAsia="黑体" w:cs="Times New Roman"/>
                <w:b w:val="0"/>
                <w:bCs w:val="0"/>
                <w:color w:val="auto"/>
                <w:kern w:val="0"/>
                <w:sz w:val="24"/>
                <w:szCs w:val="24"/>
                <w:lang w:val="en-US" w:eastAsia="zh-CN"/>
              </w:rPr>
              <w:t xml:space="preserve"> 与《关于做好环境影响评价制度与排污许可制衔接相关工作的通知》符合性</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95"/>
              <w:gridCol w:w="3072"/>
              <w:gridCol w:w="1138"/>
            </w:tblGrid>
            <w:tr w14:paraId="1CEB8C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404" w:type="dxa"/>
                  <w:tcBorders>
                    <w:tl2br w:val="nil"/>
                    <w:tr2bl w:val="nil"/>
                  </w:tcBorders>
                  <w:noWrap w:val="0"/>
                  <w:vAlign w:val="center"/>
                </w:tcPr>
                <w:p w14:paraId="12127BC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文件要求</w:t>
                  </w:r>
                </w:p>
              </w:tc>
              <w:tc>
                <w:tcPr>
                  <w:tcW w:w="3312" w:type="dxa"/>
                  <w:tcBorders>
                    <w:tl2br w:val="nil"/>
                    <w:tr2bl w:val="nil"/>
                  </w:tcBorders>
                  <w:noWrap w:val="0"/>
                  <w:vAlign w:val="center"/>
                </w:tcPr>
                <w:p w14:paraId="588BD61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本项目情况</w:t>
                  </w:r>
                </w:p>
              </w:tc>
              <w:tc>
                <w:tcPr>
                  <w:tcW w:w="1315" w:type="dxa"/>
                  <w:tcBorders>
                    <w:tl2br w:val="nil"/>
                    <w:tr2bl w:val="nil"/>
                  </w:tcBorders>
                  <w:noWrap w:val="0"/>
                  <w:vAlign w:val="center"/>
                </w:tcPr>
                <w:p w14:paraId="68742DB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符合情况</w:t>
                  </w:r>
                </w:p>
              </w:tc>
            </w:tr>
            <w:tr w14:paraId="139708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404" w:type="dxa"/>
                  <w:tcBorders>
                    <w:tl2br w:val="nil"/>
                    <w:tr2bl w:val="nil"/>
                  </w:tcBorders>
                  <w:noWrap w:val="0"/>
                  <w:vAlign w:val="center"/>
                </w:tcPr>
                <w:p w14:paraId="01CD82B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二、做好《建设项目环境影响评价分类管理名录》和《固定污染源排污许可分类管理名录》的衔接，按照建设项目对环境的影响程度、污染物产生量和排放量，实行统一分类管理。纳入排污许可管理的建设项目，可能造成重大环境影响、应当编制环境影响报告书的，原则上实行排污许可重点管理；可能造成轻度环境影响、应当编制环境影响报告表的，原则上实行排污许可简化管理。</w:t>
                  </w:r>
                </w:p>
              </w:tc>
              <w:tc>
                <w:tcPr>
                  <w:tcW w:w="3312" w:type="dxa"/>
                  <w:tcBorders>
                    <w:tl2br w:val="nil"/>
                    <w:tr2bl w:val="nil"/>
                  </w:tcBorders>
                  <w:noWrap w:val="0"/>
                  <w:vAlign w:val="center"/>
                </w:tcPr>
                <w:p w14:paraId="6171080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按照《排污许可管理条例》《山东省生态环境厅关于加强排污许可管理工作的通知》（鲁环函〔2020〕14号）和《固定污染源排污许可分类管理名录》（2019年版）要求，企业应当在本项目投入生产或使用并产生实际排污行为之前重新申请排污许可证。按照规定执行排污许可证执行报告、台账记录以及自行监测等。</w:t>
                  </w:r>
                </w:p>
              </w:tc>
              <w:tc>
                <w:tcPr>
                  <w:tcW w:w="1315" w:type="dxa"/>
                  <w:tcBorders>
                    <w:tl2br w:val="nil"/>
                    <w:tr2bl w:val="nil"/>
                  </w:tcBorders>
                  <w:noWrap w:val="0"/>
                  <w:vAlign w:val="center"/>
                </w:tcPr>
                <w:p w14:paraId="7B532CD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13AFBA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404" w:type="dxa"/>
                  <w:tcBorders>
                    <w:tl2br w:val="nil"/>
                    <w:tr2bl w:val="nil"/>
                  </w:tcBorders>
                  <w:noWrap w:val="0"/>
                  <w:vAlign w:val="center"/>
                </w:tcPr>
                <w:p w14:paraId="6D885F9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三、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tc>
              <w:tc>
                <w:tcPr>
                  <w:tcW w:w="3312" w:type="dxa"/>
                  <w:tcBorders>
                    <w:tl2br w:val="nil"/>
                    <w:tr2bl w:val="nil"/>
                  </w:tcBorders>
                  <w:noWrap w:val="0"/>
                  <w:vAlign w:val="center"/>
                </w:tcPr>
                <w:p w14:paraId="3DC88D4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本项目排水系统采用雨污分流制。</w:t>
                  </w:r>
                  <w:r>
                    <w:rPr>
                      <w:rFonts w:hint="default" w:ascii="Times New Roman" w:hAnsi="Times New Roman" w:cs="Times New Roman"/>
                      <w:color w:val="auto"/>
                      <w:kern w:val="0"/>
                      <w:sz w:val="21"/>
                      <w:szCs w:val="21"/>
                      <w:highlight w:val="none"/>
                      <w:vertAlign w:val="baseline"/>
                      <w:lang w:val="en-US" w:eastAsia="zh-CN"/>
                    </w:rPr>
                    <w:t>该项目无生产废水外排</w:t>
                  </w:r>
                  <w:r>
                    <w:rPr>
                      <w:rFonts w:hint="default" w:ascii="Times New Roman" w:hAnsi="Times New Roman" w:eastAsia="宋体" w:cs="Times New Roman"/>
                      <w:color w:val="auto"/>
                      <w:kern w:val="0"/>
                      <w:sz w:val="21"/>
                      <w:szCs w:val="21"/>
                      <w:highlight w:val="none"/>
                      <w:vertAlign w:val="baseline"/>
                      <w:lang w:val="en-US" w:eastAsia="zh-CN"/>
                    </w:rPr>
                    <w:t>；项目颗粒物排放满足《区域性大气污染物综合排放标准》（DB37/2376-2019）有关排放浓度限值；噪声源经过基础减振、厂房隔声等措施后厂界噪声满足《工业企业厂界环境噪声排放标准》（GB12348-2008）</w:t>
                  </w:r>
                  <w:r>
                    <w:rPr>
                      <w:rFonts w:hint="default" w:ascii="Times New Roman" w:hAnsi="Times New Roman" w:cs="Times New Roman"/>
                      <w:color w:val="auto"/>
                      <w:kern w:val="0"/>
                      <w:sz w:val="21"/>
                      <w:szCs w:val="21"/>
                      <w:highlight w:val="none"/>
                      <w:vertAlign w:val="baseline"/>
                      <w:lang w:val="en-US" w:eastAsia="zh-CN"/>
                    </w:rPr>
                    <w:t>2类标准</w:t>
                  </w:r>
                  <w:r>
                    <w:rPr>
                      <w:rFonts w:hint="default" w:ascii="Times New Roman" w:hAnsi="Times New Roman" w:eastAsia="宋体" w:cs="Times New Roman"/>
                      <w:color w:val="auto"/>
                      <w:kern w:val="0"/>
                      <w:sz w:val="21"/>
                      <w:szCs w:val="21"/>
                      <w:highlight w:val="none"/>
                      <w:vertAlign w:val="baseline"/>
                      <w:lang w:val="en-US" w:eastAsia="zh-CN"/>
                    </w:rPr>
                    <w:t>，固废均得到妥善处置，本报告已按照《排污单位自行监测技术指南总则》（HJ819-2017）及《排污许可证申请与核发技术规范工业炉窑》(HJ1121—2020)、《排污许可证申请与核发技术规范涂料、油墨、颜料及类似产品制造业》（HJ1116-2020）制定自行监测计划。</w:t>
                  </w:r>
                </w:p>
              </w:tc>
              <w:tc>
                <w:tcPr>
                  <w:tcW w:w="1315" w:type="dxa"/>
                  <w:tcBorders>
                    <w:tl2br w:val="nil"/>
                    <w:tr2bl w:val="nil"/>
                  </w:tcBorders>
                  <w:noWrap w:val="0"/>
                  <w:vAlign w:val="center"/>
                </w:tcPr>
                <w:p w14:paraId="342E8EA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bl>
          <w:p w14:paraId="70D8D8EC">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val="en-US" w:eastAsia="zh-CN"/>
              </w:rPr>
              <w:t>1</w:t>
            </w:r>
            <w:r>
              <w:rPr>
                <w:rFonts w:hint="eastAsia" w:cs="Times New Roman"/>
                <w:b/>
                <w:bCs/>
                <w:color w:val="auto"/>
                <w:kern w:val="0"/>
                <w:sz w:val="24"/>
                <w:szCs w:val="24"/>
                <w:highlight w:val="none"/>
                <w:lang w:val="en-US" w:eastAsia="zh-CN"/>
              </w:rPr>
              <w:t>5</w:t>
            </w:r>
            <w:r>
              <w:rPr>
                <w:rFonts w:hint="default" w:ascii="Times New Roman" w:hAnsi="Times New Roman" w:eastAsia="宋体" w:cs="Times New Roman"/>
                <w:b/>
                <w:bCs/>
                <w:color w:val="auto"/>
                <w:kern w:val="0"/>
                <w:sz w:val="24"/>
                <w:szCs w:val="24"/>
                <w:highlight w:val="none"/>
                <w:lang w:val="en-US" w:eastAsia="zh-CN"/>
              </w:rPr>
              <w:t>.与《全市工业企业大气污染治理品质提升实施方案》的</w:t>
            </w:r>
            <w:r>
              <w:rPr>
                <w:rFonts w:hint="default" w:ascii="Times New Roman" w:hAnsi="Times New Roman" w:cs="Times New Roman"/>
                <w:b/>
                <w:bCs/>
                <w:color w:val="auto"/>
                <w:kern w:val="0"/>
                <w:sz w:val="24"/>
                <w:szCs w:val="24"/>
                <w:highlight w:val="none"/>
                <w:lang w:val="en-US" w:eastAsia="zh-CN"/>
              </w:rPr>
              <w:t>符合性</w:t>
            </w:r>
          </w:p>
          <w:p w14:paraId="0D2D1209">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表1-1</w:t>
            </w:r>
            <w:r>
              <w:rPr>
                <w:rFonts w:hint="eastAsia" w:eastAsia="黑体" w:cs="Times New Roman"/>
                <w:b w:val="0"/>
                <w:bCs w:val="0"/>
                <w:color w:val="auto"/>
                <w:kern w:val="0"/>
                <w:sz w:val="24"/>
                <w:szCs w:val="24"/>
                <w:lang w:val="en-US" w:eastAsia="zh-CN"/>
              </w:rPr>
              <w:t>4</w:t>
            </w:r>
            <w:r>
              <w:rPr>
                <w:rFonts w:hint="default" w:ascii="Times New Roman" w:hAnsi="Times New Roman" w:eastAsia="黑体" w:cs="Times New Roman"/>
                <w:b w:val="0"/>
                <w:bCs w:val="0"/>
                <w:color w:val="auto"/>
                <w:kern w:val="0"/>
                <w:sz w:val="24"/>
                <w:szCs w:val="24"/>
                <w:lang w:val="en-US" w:eastAsia="zh-CN"/>
              </w:rPr>
              <w:t xml:space="preserve"> 与《全市工业企业大气污染治理品质提升实施方案》符合性</w:t>
            </w:r>
          </w:p>
          <w:tbl>
            <w:tblPr>
              <w:tblStyle w:val="25"/>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2"/>
              <w:gridCol w:w="3915"/>
              <w:gridCol w:w="1450"/>
              <w:gridCol w:w="787"/>
            </w:tblGrid>
            <w:tr w14:paraId="478639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24" w:type="pct"/>
                  <w:gridSpan w:val="2"/>
                  <w:tcBorders>
                    <w:tl2br w:val="nil"/>
                    <w:tr2bl w:val="nil"/>
                  </w:tcBorders>
                </w:tcPr>
                <w:p w14:paraId="62C1167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文件要求</w:t>
                  </w:r>
                </w:p>
              </w:tc>
              <w:tc>
                <w:tcPr>
                  <w:tcW w:w="1020" w:type="pct"/>
                  <w:tcBorders>
                    <w:tl2br w:val="nil"/>
                    <w:tr2bl w:val="nil"/>
                  </w:tcBorders>
                </w:tcPr>
                <w:p w14:paraId="5B2297F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项目情况</w:t>
                  </w:r>
                </w:p>
              </w:tc>
              <w:tc>
                <w:tcPr>
                  <w:tcW w:w="554" w:type="pct"/>
                  <w:tcBorders>
                    <w:tl2br w:val="nil"/>
                    <w:tr2bl w:val="nil"/>
                  </w:tcBorders>
                </w:tcPr>
                <w:p w14:paraId="08692C3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b/>
                      <w:bCs/>
                      <w:color w:val="auto"/>
                      <w:kern w:val="0"/>
                      <w:sz w:val="21"/>
                      <w:szCs w:val="21"/>
                      <w:highlight w:val="none"/>
                      <w:vertAlign w:val="baseline"/>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符合性</w:t>
                  </w:r>
                </w:p>
              </w:tc>
            </w:tr>
            <w:tr w14:paraId="7CBACA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0" w:type="pct"/>
                  <w:vMerge w:val="restart"/>
                  <w:tcBorders>
                    <w:tl2br w:val="nil"/>
                    <w:tr2bl w:val="nil"/>
                  </w:tcBorders>
                  <w:vAlign w:val="center"/>
                </w:tcPr>
                <w:p w14:paraId="6396F826">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提升颗粒物治理水平</w:t>
                  </w:r>
                </w:p>
              </w:tc>
              <w:tc>
                <w:tcPr>
                  <w:tcW w:w="2754" w:type="pct"/>
                  <w:tcBorders>
                    <w:tl2br w:val="nil"/>
                    <w:tr2bl w:val="nil"/>
                  </w:tcBorders>
                  <w:vAlign w:val="center"/>
                </w:tcPr>
                <w:p w14:paraId="5FF56F8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23.粉性原料、物料（含易起尘的粒状）等贮存场所要全密闭，非道路移动机械（铲车、挖掘机等）内部作业时宜安装并启用喷雾降尘装置。</w:t>
                  </w:r>
                </w:p>
              </w:tc>
              <w:tc>
                <w:tcPr>
                  <w:tcW w:w="1020" w:type="pct"/>
                  <w:tcBorders>
                    <w:tl2br w:val="nil"/>
                    <w:tr2bl w:val="nil"/>
                  </w:tcBorders>
                  <w:vAlign w:val="center"/>
                </w:tcPr>
                <w:p w14:paraId="44E2794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本项目粉状原料密闭保存</w:t>
                  </w:r>
                </w:p>
              </w:tc>
              <w:tc>
                <w:tcPr>
                  <w:tcW w:w="554" w:type="pct"/>
                  <w:tcBorders>
                    <w:tl2br w:val="nil"/>
                    <w:tr2bl w:val="nil"/>
                  </w:tcBorders>
                  <w:vAlign w:val="center"/>
                </w:tcPr>
                <w:p w14:paraId="54BA4CF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7803EF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0" w:type="pct"/>
                  <w:vMerge w:val="continue"/>
                  <w:tcBorders>
                    <w:tl2br w:val="nil"/>
                    <w:tr2bl w:val="nil"/>
                  </w:tcBorders>
                  <w:vAlign w:val="center"/>
                </w:tcPr>
                <w:p w14:paraId="7E0479E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2754" w:type="pct"/>
                  <w:tcBorders>
                    <w:tl2br w:val="nil"/>
                    <w:tr2bl w:val="nil"/>
                  </w:tcBorders>
                  <w:vAlign w:val="center"/>
                </w:tcPr>
                <w:p w14:paraId="23683AF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25.厂内道路要全部硬化，地面要硬化或者绿化，不得出现裸露地面。定期对厂内及车间内道路、地面等进行洒扫保洁，原则上每周冲洗不少于1次，每天洒扫不少于2次，地面无积尘。</w:t>
                  </w:r>
                </w:p>
              </w:tc>
              <w:tc>
                <w:tcPr>
                  <w:tcW w:w="1020" w:type="pct"/>
                  <w:tcBorders>
                    <w:tl2br w:val="nil"/>
                    <w:tr2bl w:val="nil"/>
                  </w:tcBorders>
                  <w:vAlign w:val="center"/>
                </w:tcPr>
                <w:p w14:paraId="6D29CCB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w:t>
                  </w:r>
                  <w:r>
                    <w:rPr>
                      <w:rFonts w:hint="default" w:ascii="Times New Roman" w:hAnsi="Times New Roman" w:cs="Times New Roman"/>
                      <w:color w:val="auto"/>
                      <w:kern w:val="0"/>
                      <w:sz w:val="21"/>
                      <w:szCs w:val="21"/>
                      <w:highlight w:val="none"/>
                      <w:vertAlign w:val="baseline"/>
                      <w:lang w:val="en-US" w:eastAsia="zh-CN"/>
                    </w:rPr>
                    <w:t>地面</w:t>
                  </w:r>
                  <w:r>
                    <w:rPr>
                      <w:rFonts w:hint="default" w:ascii="Times New Roman" w:hAnsi="Times New Roman" w:eastAsia="宋体" w:cs="Times New Roman"/>
                      <w:color w:val="auto"/>
                      <w:kern w:val="0"/>
                      <w:sz w:val="21"/>
                      <w:szCs w:val="21"/>
                      <w:highlight w:val="none"/>
                      <w:vertAlign w:val="baseline"/>
                      <w:lang w:val="en-US" w:eastAsia="zh-CN"/>
                    </w:rPr>
                    <w:t>全部硬化，无裸露地面。本项目建成后将按照要求进行保洁，做到地面无积尘。</w:t>
                  </w:r>
                </w:p>
              </w:tc>
              <w:tc>
                <w:tcPr>
                  <w:tcW w:w="554" w:type="pct"/>
                  <w:tcBorders>
                    <w:tl2br w:val="nil"/>
                    <w:tr2bl w:val="nil"/>
                  </w:tcBorders>
                  <w:vAlign w:val="center"/>
                </w:tcPr>
                <w:p w14:paraId="448A3E2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564B0D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0" w:type="pct"/>
                  <w:vMerge w:val="restart"/>
                  <w:tcBorders>
                    <w:tl2br w:val="nil"/>
                    <w:tr2bl w:val="nil"/>
                  </w:tcBorders>
                  <w:vAlign w:val="center"/>
                </w:tcPr>
                <w:p w14:paraId="7152266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SA"/>
                    </w:rPr>
                  </w:pPr>
                  <w:r>
                    <w:rPr>
                      <w:rFonts w:hint="default" w:ascii="Times New Roman" w:hAnsi="Times New Roman" w:eastAsia="宋体" w:cs="Times New Roman"/>
                      <w:color w:val="auto"/>
                      <w:kern w:val="0"/>
                      <w:sz w:val="21"/>
                      <w:szCs w:val="21"/>
                      <w:highlight w:val="none"/>
                      <w:vertAlign w:val="baseline"/>
                      <w:lang w:val="en-US" w:eastAsia="zh-CN"/>
                    </w:rPr>
                    <w:t>提升精细化管理水平</w:t>
                  </w:r>
                </w:p>
              </w:tc>
              <w:tc>
                <w:tcPr>
                  <w:tcW w:w="2754" w:type="pct"/>
                  <w:tcBorders>
                    <w:tl2br w:val="nil"/>
                    <w:tr2bl w:val="nil"/>
                  </w:tcBorders>
                  <w:vAlign w:val="center"/>
                </w:tcPr>
                <w:p w14:paraId="72707CB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28.企业要按照排污许可证相关要求，完整记录和保存生产设施运行、脱硫脱硝剂消费、活性炭等吸附剂更换、原辅料及能源消费、污染设施运行等台账信息，相关台账信息要与DCS记录一致。DCS记录应定期备份，保存时间不少于书面台账。</w:t>
                  </w:r>
                </w:p>
              </w:tc>
              <w:tc>
                <w:tcPr>
                  <w:tcW w:w="1020" w:type="pct"/>
                  <w:vMerge w:val="restart"/>
                  <w:tcBorders>
                    <w:tl2br w:val="nil"/>
                    <w:tr2bl w:val="nil"/>
                  </w:tcBorders>
                  <w:vAlign w:val="center"/>
                </w:tcPr>
                <w:p w14:paraId="298B11BB">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本项目建成后将按照要求进行精细化管理。</w:t>
                  </w:r>
                </w:p>
              </w:tc>
              <w:tc>
                <w:tcPr>
                  <w:tcW w:w="554" w:type="pct"/>
                  <w:vMerge w:val="restart"/>
                  <w:tcBorders>
                    <w:tl2br w:val="nil"/>
                    <w:tr2bl w:val="nil"/>
                  </w:tcBorders>
                  <w:vAlign w:val="center"/>
                </w:tcPr>
                <w:p w14:paraId="6FCCB73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r w14:paraId="039CB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0" w:type="pct"/>
                  <w:vMerge w:val="continue"/>
                  <w:tcBorders>
                    <w:tl2br w:val="nil"/>
                    <w:tr2bl w:val="nil"/>
                  </w:tcBorders>
                  <w:vAlign w:val="center"/>
                </w:tcPr>
                <w:p w14:paraId="6D85B1A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2754" w:type="pct"/>
                  <w:tcBorders>
                    <w:tl2br w:val="nil"/>
                    <w:tr2bl w:val="nil"/>
                  </w:tcBorders>
                  <w:vAlign w:val="center"/>
                </w:tcPr>
                <w:p w14:paraId="2E4F419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30.废气处理系统应与生产工艺设备</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同启同停</w:t>
                  </w:r>
                  <w:r>
                    <w:rPr>
                      <w:rFonts w:hint="default" w:ascii="Times New Roman" w:hAnsi="Times New Roman"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vertAlign w:val="baseline"/>
                      <w:lang w:val="en-US" w:eastAsia="zh-CN"/>
                    </w:rPr>
                    <w:t>，企业要根据处理工艺，在治污设施操作规程中规定要操作方法，明确启停时间、温度、压力、烟气量等参数</w:t>
                  </w:r>
                </w:p>
              </w:tc>
              <w:tc>
                <w:tcPr>
                  <w:tcW w:w="1020" w:type="pct"/>
                  <w:vMerge w:val="continue"/>
                  <w:tcBorders>
                    <w:tl2br w:val="nil"/>
                    <w:tr2bl w:val="nil"/>
                  </w:tcBorders>
                </w:tcPr>
                <w:p w14:paraId="0F3A61E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554" w:type="pct"/>
                  <w:vMerge w:val="continue"/>
                  <w:tcBorders>
                    <w:tl2br w:val="nil"/>
                    <w:tr2bl w:val="nil"/>
                  </w:tcBorders>
                </w:tcPr>
                <w:p w14:paraId="3FFF2A5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r>
            <w:tr w14:paraId="38F9A4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0" w:type="pct"/>
                  <w:vMerge w:val="continue"/>
                  <w:tcBorders>
                    <w:tl2br w:val="nil"/>
                    <w:tr2bl w:val="nil"/>
                  </w:tcBorders>
                  <w:vAlign w:val="center"/>
                </w:tcPr>
                <w:p w14:paraId="3BAE1AC3">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2754" w:type="pct"/>
                  <w:tcBorders>
                    <w:tl2br w:val="nil"/>
                    <w:tr2bl w:val="nil"/>
                  </w:tcBorders>
                  <w:vAlign w:val="center"/>
                </w:tcPr>
                <w:p w14:paraId="6BF0941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31.企业应建立健全大气污染治理责任制、管理制度和操作规程，定期开展专项培训或综合培训。其中，治污设施操作人员的专项培训，每季度至少开展一次公司级培训，每月至少开展一次车间级培训，考核合格后方可上岗。</w:t>
                  </w:r>
                </w:p>
              </w:tc>
              <w:tc>
                <w:tcPr>
                  <w:tcW w:w="1020" w:type="pct"/>
                  <w:vMerge w:val="continue"/>
                  <w:tcBorders>
                    <w:tl2br w:val="nil"/>
                    <w:tr2bl w:val="nil"/>
                  </w:tcBorders>
                </w:tcPr>
                <w:p w14:paraId="64FFFDC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554" w:type="pct"/>
                  <w:vMerge w:val="continue"/>
                  <w:tcBorders>
                    <w:tl2br w:val="nil"/>
                    <w:tr2bl w:val="nil"/>
                  </w:tcBorders>
                </w:tcPr>
                <w:p w14:paraId="62F83D5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r>
            <w:tr w14:paraId="09E918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0" w:type="pct"/>
                  <w:vMerge w:val="continue"/>
                  <w:tcBorders>
                    <w:tl2br w:val="nil"/>
                    <w:tr2bl w:val="nil"/>
                  </w:tcBorders>
                  <w:vAlign w:val="center"/>
                </w:tcPr>
                <w:p w14:paraId="0659711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2754" w:type="pct"/>
                  <w:tcBorders>
                    <w:tl2br w:val="nil"/>
                    <w:tr2bl w:val="nil"/>
                  </w:tcBorders>
                  <w:vAlign w:val="center"/>
                </w:tcPr>
                <w:p w14:paraId="0505833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32.企业应建立治污设施运行巡查制度，定期巡查治污设施运行情况，巡查间隔时间不得超过半小时。治污设施运行参数要张贴悬挂于醒目位置，并明确异常问题的处理办法。巡查发现的问题要及时处置，不能整改的启用备用治污设施或有序停产，确保污染物达标排放</w:t>
                  </w:r>
                </w:p>
              </w:tc>
              <w:tc>
                <w:tcPr>
                  <w:tcW w:w="1020" w:type="pct"/>
                  <w:vMerge w:val="continue"/>
                  <w:tcBorders>
                    <w:tl2br w:val="nil"/>
                    <w:tr2bl w:val="nil"/>
                  </w:tcBorders>
                </w:tcPr>
                <w:p w14:paraId="4ED888B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c>
                <w:tcPr>
                  <w:tcW w:w="554" w:type="pct"/>
                  <w:vMerge w:val="continue"/>
                  <w:tcBorders>
                    <w:tl2br w:val="nil"/>
                    <w:tr2bl w:val="nil"/>
                  </w:tcBorders>
                </w:tcPr>
                <w:p w14:paraId="16DE5D79">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p>
              </w:tc>
            </w:tr>
            <w:tr w14:paraId="1DE821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0" w:type="pct"/>
                  <w:tcBorders>
                    <w:tl2br w:val="nil"/>
                    <w:tr2bl w:val="nil"/>
                  </w:tcBorders>
                  <w:vAlign w:val="center"/>
                </w:tcPr>
                <w:p w14:paraId="217A133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坚决淘汰落后处理工艺</w:t>
                  </w:r>
                </w:p>
              </w:tc>
              <w:tc>
                <w:tcPr>
                  <w:tcW w:w="2754" w:type="pct"/>
                  <w:tcBorders>
                    <w:tl2br w:val="nil"/>
                    <w:tr2bl w:val="nil"/>
                  </w:tcBorders>
                  <w:vAlign w:val="center"/>
                </w:tcPr>
                <w:p w14:paraId="226DF861">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33.全面淘汰除尘脱硫一体化、简易脱硫脱硝一体化、水洗法脱硫、氨法脱硫、生物脱硫以及无法实现精准管控的双碱法等脱硫工艺；全面淘汰微生物法脱硝及难以实现精准有效控制的氧化法脱硝和湿法脱硝工艺；全面淘汰水膜除尘、重力降尘、旋风除尘等单一措施除尘工艺。</w:t>
                  </w:r>
                </w:p>
              </w:tc>
              <w:tc>
                <w:tcPr>
                  <w:tcW w:w="1020" w:type="pct"/>
                  <w:tcBorders>
                    <w:tl2br w:val="nil"/>
                    <w:tr2bl w:val="nil"/>
                  </w:tcBorders>
                  <w:vAlign w:val="center"/>
                </w:tcPr>
                <w:p w14:paraId="5C772A1F">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本项目不涉及上述环保设施。</w:t>
                  </w:r>
                </w:p>
              </w:tc>
              <w:tc>
                <w:tcPr>
                  <w:tcW w:w="554" w:type="pct"/>
                  <w:tcBorders>
                    <w:tl2br w:val="nil"/>
                    <w:tr2bl w:val="nil"/>
                  </w:tcBorders>
                  <w:vAlign w:val="center"/>
                </w:tcPr>
                <w:p w14:paraId="1FEDD45C">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符合</w:t>
                  </w:r>
                </w:p>
              </w:tc>
            </w:tr>
          </w:tbl>
          <w:p w14:paraId="25B5AC4B">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eastAsia" w:ascii="Times New Roman" w:hAnsi="Times New Roman" w:eastAsia="宋体" w:cs="Times New Roman"/>
                <w:b/>
                <w:bCs/>
                <w:color w:val="auto"/>
                <w:kern w:val="0"/>
                <w:sz w:val="24"/>
                <w:szCs w:val="24"/>
                <w:highlight w:val="none"/>
                <w:lang w:val="en-US" w:eastAsia="zh-CN"/>
              </w:rPr>
              <w:t>16.</w:t>
            </w:r>
            <w:r>
              <w:rPr>
                <w:rFonts w:hint="default" w:ascii="Times New Roman" w:hAnsi="Times New Roman" w:eastAsia="宋体" w:cs="Times New Roman"/>
                <w:b/>
                <w:bCs/>
                <w:color w:val="auto"/>
                <w:kern w:val="0"/>
                <w:sz w:val="24"/>
                <w:szCs w:val="24"/>
                <w:highlight w:val="none"/>
                <w:lang w:val="en-US" w:eastAsia="zh-CN"/>
              </w:rPr>
              <w:t>与《山东省工业企业无组织排放分行业管控指导意见》鲁环发[2020]30号符合性分析</w:t>
            </w:r>
          </w:p>
          <w:p w14:paraId="696B4EF8">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0" w:firstLineChars="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ascii="Times New Roman" w:hAnsi="Times New Roman" w:eastAsia="黑体" w:cs="Times New Roman"/>
                <w:b w:val="0"/>
                <w:bCs w:val="0"/>
                <w:color w:val="auto"/>
                <w:kern w:val="0"/>
                <w:sz w:val="24"/>
                <w:szCs w:val="24"/>
                <w:lang w:val="en-US" w:eastAsia="zh-CN"/>
              </w:rPr>
              <w:t>1</w:t>
            </w:r>
            <w:r>
              <w:rPr>
                <w:rFonts w:hint="eastAsia" w:eastAsia="黑体" w:cs="Times New Roman"/>
                <w:b w:val="0"/>
                <w:bCs w:val="0"/>
                <w:color w:val="auto"/>
                <w:kern w:val="0"/>
                <w:sz w:val="24"/>
                <w:szCs w:val="24"/>
                <w:lang w:val="en-US" w:eastAsia="zh-CN"/>
              </w:rPr>
              <w:t>5</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与《山东省工业企业无组织排放分行业管控指导意见》鲁环发[2020]30号符合性分析</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4311"/>
              <w:gridCol w:w="2073"/>
            </w:tblGrid>
            <w:tr w14:paraId="2F1294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1" w:type="dxa"/>
                  <w:tcBorders>
                    <w:tl2br w:val="nil"/>
                    <w:tr2bl w:val="nil"/>
                  </w:tcBorders>
                  <w:noWrap w:val="0"/>
                  <w:vAlign w:val="center"/>
                </w:tcPr>
                <w:p w14:paraId="4C6DE4B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eastAsia"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分类</w:t>
                  </w:r>
                </w:p>
              </w:tc>
              <w:tc>
                <w:tcPr>
                  <w:tcW w:w="4311" w:type="dxa"/>
                  <w:tcBorders>
                    <w:tl2br w:val="nil"/>
                    <w:tr2bl w:val="nil"/>
                  </w:tcBorders>
                  <w:noWrap w:val="0"/>
                  <w:vAlign w:val="center"/>
                </w:tcPr>
                <w:p w14:paraId="6590CE9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eastAsia"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文件要求</w:t>
                  </w:r>
                </w:p>
              </w:tc>
              <w:tc>
                <w:tcPr>
                  <w:tcW w:w="2073" w:type="dxa"/>
                  <w:tcBorders>
                    <w:tl2br w:val="nil"/>
                    <w:tr2bl w:val="nil"/>
                  </w:tcBorders>
                  <w:noWrap w:val="0"/>
                  <w:vAlign w:val="center"/>
                </w:tcPr>
                <w:p w14:paraId="1939FAF7">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eastAsia"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符合性分析</w:t>
                  </w:r>
                </w:p>
              </w:tc>
            </w:tr>
            <w:tr w14:paraId="1398E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1" w:type="dxa"/>
                  <w:vMerge w:val="restart"/>
                  <w:tcBorders>
                    <w:tl2br w:val="nil"/>
                    <w:tr2bl w:val="nil"/>
                  </w:tcBorders>
                  <w:noWrap w:val="0"/>
                  <w:vAlign w:val="center"/>
                </w:tcPr>
                <w:p w14:paraId="5D70E2C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eastAsia"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管控要求</w:t>
                  </w:r>
                </w:p>
              </w:tc>
              <w:tc>
                <w:tcPr>
                  <w:tcW w:w="4311" w:type="dxa"/>
                  <w:tcBorders>
                    <w:tl2br w:val="nil"/>
                    <w:tr2bl w:val="nil"/>
                  </w:tcBorders>
                  <w:noWrap w:val="0"/>
                  <w:vAlign w:val="center"/>
                </w:tcPr>
                <w:p w14:paraId="520444E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eastAsia"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二）加强物料储存、输送环节管控。含挥发性有机物（VOCs）物料储存于密闭容器、包装袋，高效密封储罐，封闭式储库、料仓等；封闭式储库、料仓设置VOCs有效收集治理设施。含VOCs物料输送，采用密闭管道或密闭容器、罐车等。</w:t>
                  </w:r>
                </w:p>
              </w:tc>
              <w:tc>
                <w:tcPr>
                  <w:tcW w:w="2073" w:type="dxa"/>
                  <w:tcBorders>
                    <w:tl2br w:val="nil"/>
                    <w:tr2bl w:val="nil"/>
                  </w:tcBorders>
                  <w:noWrap w:val="0"/>
                  <w:vAlign w:val="center"/>
                </w:tcPr>
                <w:p w14:paraId="0583BF1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本次</w:t>
                  </w:r>
                  <w:r>
                    <w:rPr>
                      <w:rFonts w:hint="eastAsia" w:cs="Times New Roman"/>
                      <w:color w:val="auto"/>
                      <w:kern w:val="0"/>
                      <w:sz w:val="21"/>
                      <w:szCs w:val="21"/>
                      <w:highlight w:val="none"/>
                      <w:vertAlign w:val="baseline"/>
                      <w:lang w:val="en-US" w:eastAsia="zh-CN"/>
                    </w:rPr>
                    <w:t>项目含VOCs物料均采用桶装。有机废气</w:t>
                  </w:r>
                  <w:r>
                    <w:rPr>
                      <w:rFonts w:hint="default" w:ascii="Times New Roman" w:hAnsi="Times New Roman" w:cs="Times New Roman"/>
                      <w:bCs/>
                      <w:color w:val="auto"/>
                      <w:sz w:val="21"/>
                      <w:szCs w:val="21"/>
                      <w:highlight w:val="none"/>
                      <w:vertAlign w:val="baseline"/>
                      <w:lang w:val="en-US" w:eastAsia="zh-CN"/>
                    </w:rPr>
                    <w:t>经集气罩收集后，经二级活性炭（TA005）处理后经过15m高排气筒（DA005）有组织排放。</w:t>
                  </w:r>
                </w:p>
              </w:tc>
            </w:tr>
            <w:tr w14:paraId="7786DE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1" w:type="dxa"/>
                  <w:vMerge w:val="continue"/>
                  <w:tcBorders>
                    <w:tl2br w:val="nil"/>
                    <w:tr2bl w:val="nil"/>
                  </w:tcBorders>
                  <w:noWrap w:val="0"/>
                  <w:vAlign w:val="center"/>
                </w:tcPr>
                <w:p w14:paraId="1109071D">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eastAsia" w:ascii="Times New Roman" w:hAnsi="Times New Roman" w:eastAsia="宋体" w:cs="Times New Roman"/>
                      <w:color w:val="auto"/>
                      <w:kern w:val="0"/>
                      <w:sz w:val="21"/>
                      <w:szCs w:val="21"/>
                      <w:highlight w:val="none"/>
                      <w:vertAlign w:val="baseline"/>
                      <w:lang w:val="en-US" w:eastAsia="zh-CN"/>
                    </w:rPr>
                  </w:pPr>
                </w:p>
              </w:tc>
              <w:tc>
                <w:tcPr>
                  <w:tcW w:w="4311" w:type="dxa"/>
                  <w:tcBorders>
                    <w:tl2br w:val="nil"/>
                    <w:tr2bl w:val="nil"/>
                  </w:tcBorders>
                  <w:noWrap w:val="0"/>
                  <w:vAlign w:val="center"/>
                </w:tcPr>
                <w:p w14:paraId="28EC197A">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eastAsia"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三）加强生产环节管控。通过提高工艺自动化和设备密闭化水平，减少生产过程中的无组织排放。生产过程中的产尘点和VOCs产生点密闭、封闭或采取有效收集处理措施。生产设备和废气收集处理设施同步运行，废气收集处理设施发生故障或检修时，停止运行对应的生产设备，待检修完毕后投入使用。生产设备不能停止或不能及时停止运行的，设置废气应急处理设施或采取其他替代措施。生产车间地面及生产设备表面保持清洁，除电子、电气原件外，不得采用压缩空气吹扫等易产生扬尘的清理措施。厂内污水收集、输送、处理，污泥产生、暂存、处置，危险废物暂存等产生VOCs或恶臭气体的区域加罩或加盖封闭并进行收集处理。涉VOCs化（试）验室实验平台设置负压集气系统，对化（试）验室中产生的废气进行集中收集治理。</w:t>
                  </w:r>
                </w:p>
              </w:tc>
              <w:tc>
                <w:tcPr>
                  <w:tcW w:w="2073" w:type="dxa"/>
                  <w:tcBorders>
                    <w:tl2br w:val="nil"/>
                    <w:tr2bl w:val="nil"/>
                  </w:tcBorders>
                  <w:shd w:val="clear" w:color="auto" w:fill="auto"/>
                  <w:noWrap w:val="0"/>
                  <w:vAlign w:val="center"/>
                </w:tcPr>
                <w:p w14:paraId="07CDEA08">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exact"/>
                    <w:ind w:left="0" w:leftChars="0" w:firstLine="0" w:firstLine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SA"/>
                    </w:rPr>
                  </w:pPr>
                  <w:r>
                    <w:rPr>
                      <w:rFonts w:hint="eastAsia" w:ascii="Times New Roman" w:hAnsi="Times New Roman" w:eastAsia="宋体" w:cs="Times New Roman"/>
                      <w:color w:val="auto"/>
                      <w:kern w:val="0"/>
                      <w:sz w:val="21"/>
                      <w:szCs w:val="21"/>
                      <w:highlight w:val="none"/>
                      <w:vertAlign w:val="baseline"/>
                      <w:lang w:val="en-US" w:eastAsia="zh-CN"/>
                    </w:rPr>
                    <w:t>本</w:t>
                  </w:r>
                  <w:r>
                    <w:rPr>
                      <w:rFonts w:hint="eastAsia" w:cs="Times New Roman"/>
                      <w:color w:val="auto"/>
                      <w:kern w:val="0"/>
                      <w:sz w:val="21"/>
                      <w:szCs w:val="21"/>
                      <w:highlight w:val="none"/>
                      <w:vertAlign w:val="baseline"/>
                      <w:lang w:val="en-US" w:eastAsia="zh-CN"/>
                    </w:rPr>
                    <w:t>项目有机废气</w:t>
                  </w:r>
                  <w:r>
                    <w:rPr>
                      <w:rFonts w:hint="default" w:ascii="Times New Roman" w:hAnsi="Times New Roman" w:cs="Times New Roman"/>
                      <w:bCs/>
                      <w:color w:val="auto"/>
                      <w:sz w:val="21"/>
                      <w:szCs w:val="21"/>
                      <w:highlight w:val="none"/>
                      <w:vertAlign w:val="baseline"/>
                      <w:lang w:val="en-US" w:eastAsia="zh-CN"/>
                    </w:rPr>
                    <w:t>经集气罩收集后，经二级活性炭（TA005）处理后经过15m高排气筒（DA005）有组织排放。</w:t>
                  </w:r>
                </w:p>
              </w:tc>
            </w:tr>
          </w:tbl>
          <w:p w14:paraId="75C41162">
            <w:pPr>
              <w:pStyle w:val="46"/>
              <w:spacing w:beforeLines="0" w:afterLines="0" w:line="360" w:lineRule="auto"/>
              <w:ind w:firstLine="480" w:firstLineChars="200"/>
              <w:jc w:val="left"/>
              <w:rPr>
                <w:rFonts w:ascii="Times New Roman"/>
                <w:bCs/>
                <w:color w:val="auto"/>
                <w:sz w:val="24"/>
                <w:szCs w:val="24"/>
                <w:highlight w:val="none"/>
              </w:rPr>
            </w:pPr>
            <w:r>
              <w:rPr>
                <w:rFonts w:ascii="Times New Roman"/>
                <w:bCs/>
                <w:color w:val="auto"/>
                <w:sz w:val="24"/>
                <w:szCs w:val="24"/>
                <w:highlight w:val="none"/>
              </w:rPr>
              <w:t>综上，拟建项目建设符合</w:t>
            </w:r>
            <w:r>
              <w:rPr>
                <w:rFonts w:ascii="Times New Roman"/>
                <w:bCs/>
                <w:color w:val="auto"/>
                <w:kern w:val="2"/>
                <w:sz w:val="24"/>
                <w:szCs w:val="24"/>
                <w:highlight w:val="none"/>
              </w:rPr>
              <w:t>《山东省工业企业无组织排放分行业管控指导意见》鲁环发[2020]30号要求</w:t>
            </w:r>
            <w:r>
              <w:rPr>
                <w:rFonts w:ascii="Times New Roman"/>
                <w:bCs/>
                <w:color w:val="auto"/>
                <w:sz w:val="24"/>
                <w:szCs w:val="24"/>
                <w:highlight w:val="none"/>
              </w:rPr>
              <w:t>。</w:t>
            </w:r>
          </w:p>
          <w:p w14:paraId="581E21FA">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eastAsia" w:ascii="Times New Roman" w:hAnsi="Times New Roman" w:eastAsia="宋体" w:cs="Times New Roman"/>
                <w:b/>
                <w:bCs/>
                <w:color w:val="auto"/>
                <w:kern w:val="0"/>
                <w:sz w:val="24"/>
                <w:szCs w:val="24"/>
                <w:highlight w:val="none"/>
                <w:lang w:val="en-US" w:eastAsia="zh-CN"/>
              </w:rPr>
              <w:t>17.</w:t>
            </w:r>
            <w:r>
              <w:rPr>
                <w:rFonts w:hint="default" w:ascii="Times New Roman" w:hAnsi="Times New Roman" w:eastAsia="宋体" w:cs="Times New Roman"/>
                <w:b/>
                <w:bCs/>
                <w:color w:val="auto"/>
                <w:kern w:val="0"/>
                <w:sz w:val="24"/>
                <w:szCs w:val="24"/>
                <w:highlight w:val="none"/>
                <w:lang w:val="en-US" w:eastAsia="zh-CN"/>
              </w:rPr>
              <w:t>与《关于加强高耗能、高排放建设项目生态环境源头防控的指导意见》（环环评[2021]45号）符合性分析</w:t>
            </w:r>
          </w:p>
          <w:p w14:paraId="40B9516C">
            <w:pPr>
              <w:pStyle w:val="56"/>
              <w:spacing w:before="40" w:line="344" w:lineRule="auto"/>
              <w:ind w:left="107" w:right="103" w:firstLine="481"/>
              <w:rPr>
                <w:rFonts w:ascii="Times New Roman" w:hAnsi="Times New Roman" w:eastAsia="宋体" w:cs="Times New Roman"/>
                <w:bCs/>
                <w:color w:val="auto"/>
                <w:kern w:val="0"/>
                <w:sz w:val="24"/>
                <w:szCs w:val="24"/>
                <w:highlight w:val="none"/>
                <w:lang w:val="en-US" w:eastAsia="zh-CN" w:bidi="ar-SA"/>
              </w:rPr>
            </w:pPr>
            <w:r>
              <w:rPr>
                <w:rFonts w:ascii="Times New Roman" w:hAnsi="Times New Roman" w:eastAsia="宋体" w:cs="Times New Roman"/>
                <w:bCs/>
                <w:color w:val="auto"/>
                <w:kern w:val="0"/>
                <w:sz w:val="24"/>
                <w:szCs w:val="24"/>
                <w:highlight w:val="none"/>
                <w:lang w:val="en-US" w:eastAsia="zh-CN" w:bidi="ar-SA"/>
              </w:rPr>
              <w:t>本次技改项目与《关于加强高耗能、高排放建设项目生态环境源头防控的指导意见》（环环评[2021]45号）符合性分析见下表。</w:t>
            </w:r>
          </w:p>
          <w:p w14:paraId="5584B526">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0" w:firstLineChars="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表1-1</w:t>
            </w:r>
            <w:r>
              <w:rPr>
                <w:rFonts w:hint="eastAsia" w:eastAsia="黑体" w:cs="Times New Roman"/>
                <w:b w:val="0"/>
                <w:bCs w:val="0"/>
                <w:color w:val="auto"/>
                <w:kern w:val="0"/>
                <w:sz w:val="24"/>
                <w:szCs w:val="24"/>
                <w:lang w:val="en-US" w:eastAsia="zh-CN"/>
              </w:rPr>
              <w:t>6</w:t>
            </w:r>
            <w:r>
              <w:rPr>
                <w:rFonts w:hint="default" w:ascii="Times New Roman" w:hAnsi="Times New Roman" w:eastAsia="黑体" w:cs="Times New Roman"/>
                <w:b w:val="0"/>
                <w:bCs w:val="0"/>
                <w:color w:val="auto"/>
                <w:kern w:val="0"/>
                <w:sz w:val="24"/>
                <w:szCs w:val="24"/>
                <w:lang w:val="en-US" w:eastAsia="zh-CN"/>
              </w:rPr>
              <w:t xml:space="preserve"> 与环环评[2021]45号符合性分析</w:t>
            </w:r>
          </w:p>
          <w:tbl>
            <w:tblPr>
              <w:tblStyle w:val="57"/>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147"/>
              <w:gridCol w:w="1210"/>
              <w:gridCol w:w="745"/>
            </w:tblGrid>
            <w:tr w14:paraId="233043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704" w:type="dxa"/>
                  <w:tcBorders>
                    <w:tl2br w:val="nil"/>
                    <w:tr2bl w:val="nil"/>
                  </w:tcBorders>
                  <w:noWrap w:val="0"/>
                  <w:vAlign w:val="center"/>
                </w:tcPr>
                <w:p w14:paraId="770D9B1B">
                  <w:pPr>
                    <w:pStyle w:val="5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b/>
                      <w:bCs/>
                      <w:color w:val="auto"/>
                      <w:spacing w:val="6"/>
                      <w:sz w:val="21"/>
                      <w:szCs w:val="21"/>
                    </w:rPr>
                    <w:t>文件要求</w:t>
                  </w:r>
                </w:p>
              </w:tc>
              <w:tc>
                <w:tcPr>
                  <w:tcW w:w="1331" w:type="dxa"/>
                  <w:tcBorders>
                    <w:tl2br w:val="nil"/>
                    <w:tr2bl w:val="nil"/>
                  </w:tcBorders>
                  <w:noWrap w:val="0"/>
                  <w:vAlign w:val="center"/>
                </w:tcPr>
                <w:p w14:paraId="7F42008C">
                  <w:pPr>
                    <w:pStyle w:val="5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b/>
                      <w:bCs/>
                      <w:color w:val="auto"/>
                      <w:spacing w:val="6"/>
                      <w:sz w:val="21"/>
                      <w:szCs w:val="21"/>
                    </w:rPr>
                    <w:t>本次技改项</w:t>
                  </w:r>
                  <w:r>
                    <w:rPr>
                      <w:b/>
                      <w:bCs/>
                      <w:color w:val="auto"/>
                      <w:spacing w:val="-2"/>
                      <w:sz w:val="21"/>
                      <w:szCs w:val="21"/>
                    </w:rPr>
                    <w:t>目建设情况</w:t>
                  </w:r>
                </w:p>
              </w:tc>
              <w:tc>
                <w:tcPr>
                  <w:tcW w:w="810" w:type="dxa"/>
                  <w:tcBorders>
                    <w:tl2br w:val="nil"/>
                    <w:tr2bl w:val="nil"/>
                  </w:tcBorders>
                  <w:noWrap w:val="0"/>
                  <w:vAlign w:val="center"/>
                </w:tcPr>
                <w:p w14:paraId="24D36950">
                  <w:pPr>
                    <w:pStyle w:val="5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b/>
                      <w:bCs/>
                      <w:color w:val="auto"/>
                      <w:spacing w:val="3"/>
                      <w:sz w:val="21"/>
                      <w:szCs w:val="21"/>
                    </w:rPr>
                    <w:t>符合</w:t>
                  </w:r>
                  <w:r>
                    <w:rPr>
                      <w:b/>
                      <w:bCs/>
                      <w:color w:val="auto"/>
                      <w:spacing w:val="-3"/>
                      <w:sz w:val="21"/>
                      <w:szCs w:val="21"/>
                    </w:rPr>
                    <w:t>性</w:t>
                  </w:r>
                </w:p>
              </w:tc>
            </w:tr>
            <w:tr w14:paraId="1CA272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704" w:type="dxa"/>
                  <w:tcBorders>
                    <w:tl2br w:val="nil"/>
                    <w:tr2bl w:val="nil"/>
                  </w:tcBorders>
                  <w:noWrap w:val="0"/>
                  <w:vAlign w:val="center"/>
                </w:tcPr>
                <w:p w14:paraId="47073C49">
                  <w:pPr>
                    <w:pStyle w:val="5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8"/>
                      <w:sz w:val="21"/>
                      <w:szCs w:val="21"/>
                    </w:rPr>
                    <w:t>（三）新建、改建、扩建</w:t>
                  </w:r>
                  <w:r>
                    <w:rPr>
                      <w:rFonts w:ascii="Times New Roman" w:hAnsi="Times New Roman" w:eastAsia="Times New Roman" w:cs="Times New Roman"/>
                      <w:color w:val="auto"/>
                      <w:spacing w:val="8"/>
                      <w:sz w:val="21"/>
                      <w:szCs w:val="21"/>
                    </w:rPr>
                    <w:t>“</w:t>
                  </w:r>
                  <w:r>
                    <w:rPr>
                      <w:color w:val="auto"/>
                      <w:spacing w:val="8"/>
                      <w:sz w:val="21"/>
                      <w:szCs w:val="21"/>
                    </w:rPr>
                    <w:t>两高</w:t>
                  </w:r>
                  <w:r>
                    <w:rPr>
                      <w:rFonts w:ascii="Times New Roman" w:hAnsi="Times New Roman" w:eastAsia="Times New Roman" w:cs="Times New Roman"/>
                      <w:color w:val="auto"/>
                      <w:spacing w:val="8"/>
                      <w:sz w:val="21"/>
                      <w:szCs w:val="21"/>
                    </w:rPr>
                    <w:t>”</w:t>
                  </w:r>
                  <w:r>
                    <w:rPr>
                      <w:color w:val="auto"/>
                      <w:spacing w:val="8"/>
                      <w:sz w:val="21"/>
                      <w:szCs w:val="21"/>
                    </w:rPr>
                    <w:t>项目须符合生态环境保护法律法规和相关法定规划，满足重点污染物排放总</w:t>
                  </w:r>
                  <w:r>
                    <w:rPr>
                      <w:color w:val="auto"/>
                      <w:spacing w:val="7"/>
                      <w:sz w:val="21"/>
                      <w:szCs w:val="21"/>
                    </w:rPr>
                    <w:t>量控制、碳</w:t>
                  </w:r>
                  <w:r>
                    <w:rPr>
                      <w:color w:val="auto"/>
                      <w:spacing w:val="8"/>
                      <w:sz w:val="21"/>
                      <w:szCs w:val="21"/>
                    </w:rPr>
                    <w:t>排放达峰目标、生态环境准入清单、相关规划环</w:t>
                  </w:r>
                  <w:r>
                    <w:rPr>
                      <w:color w:val="auto"/>
                      <w:spacing w:val="7"/>
                      <w:sz w:val="21"/>
                      <w:szCs w:val="21"/>
                    </w:rPr>
                    <w:t>评和相应行</w:t>
                  </w:r>
                  <w:r>
                    <w:rPr>
                      <w:color w:val="auto"/>
                      <w:spacing w:val="8"/>
                      <w:sz w:val="21"/>
                      <w:szCs w:val="21"/>
                    </w:rPr>
                    <w:t>业建设项目环境准入条件、环评文件审批原则要求。石化、现代煤化工项目应纳入国家产业规划。新建、扩</w:t>
                  </w:r>
                  <w:r>
                    <w:rPr>
                      <w:color w:val="auto"/>
                      <w:spacing w:val="7"/>
                      <w:sz w:val="21"/>
                      <w:szCs w:val="21"/>
                    </w:rPr>
                    <w:t>建石化、化</w:t>
                  </w:r>
                  <w:r>
                    <w:rPr>
                      <w:color w:val="auto"/>
                      <w:spacing w:val="8"/>
                      <w:sz w:val="21"/>
                      <w:szCs w:val="21"/>
                    </w:rPr>
                    <w:t>工、焦化、有色金属冶炼、平板玻璃项目应布设</w:t>
                  </w:r>
                  <w:r>
                    <w:rPr>
                      <w:color w:val="auto"/>
                      <w:spacing w:val="7"/>
                      <w:sz w:val="21"/>
                      <w:szCs w:val="21"/>
                    </w:rPr>
                    <w:t>在依法合规</w:t>
                  </w:r>
                  <w:r>
                    <w:rPr>
                      <w:color w:val="auto"/>
                      <w:spacing w:val="8"/>
                      <w:sz w:val="21"/>
                      <w:szCs w:val="21"/>
                    </w:rPr>
                    <w:t>设立并经规划环评的产业园区。各级生态环境部</w:t>
                  </w:r>
                  <w:r>
                    <w:rPr>
                      <w:color w:val="auto"/>
                      <w:spacing w:val="7"/>
                      <w:sz w:val="21"/>
                      <w:szCs w:val="21"/>
                    </w:rPr>
                    <w:t>门和行政审</w:t>
                  </w:r>
                  <w:r>
                    <w:rPr>
                      <w:color w:val="auto"/>
                      <w:spacing w:val="8"/>
                      <w:sz w:val="21"/>
                      <w:szCs w:val="21"/>
                    </w:rPr>
                    <w:t>批部门要严格把关，对于不符合相关法律法规的</w:t>
                  </w:r>
                  <w:r>
                    <w:rPr>
                      <w:color w:val="auto"/>
                      <w:spacing w:val="7"/>
                      <w:sz w:val="21"/>
                      <w:szCs w:val="21"/>
                    </w:rPr>
                    <w:t>，依法不予</w:t>
                  </w:r>
                  <w:r>
                    <w:rPr>
                      <w:color w:val="auto"/>
                      <w:spacing w:val="-1"/>
                      <w:sz w:val="21"/>
                      <w:szCs w:val="21"/>
                    </w:rPr>
                    <w:t>审批。</w:t>
                  </w:r>
                </w:p>
              </w:tc>
              <w:tc>
                <w:tcPr>
                  <w:tcW w:w="1331" w:type="dxa"/>
                  <w:tcBorders>
                    <w:tl2br w:val="nil"/>
                    <w:tr2bl w:val="nil"/>
                  </w:tcBorders>
                  <w:noWrap w:val="0"/>
                  <w:vAlign w:val="center"/>
                </w:tcPr>
                <w:p w14:paraId="67510D45">
                  <w:pPr>
                    <w:pStyle w:val="5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7"/>
                      <w:sz w:val="21"/>
                      <w:szCs w:val="21"/>
                    </w:rPr>
                    <w:t>本次技改项目不属于前</w:t>
                  </w:r>
                  <w:r>
                    <w:rPr>
                      <w:color w:val="auto"/>
                      <w:spacing w:val="8"/>
                      <w:sz w:val="21"/>
                      <w:szCs w:val="21"/>
                    </w:rPr>
                    <w:t>述项目类别</w:t>
                  </w:r>
                </w:p>
              </w:tc>
              <w:tc>
                <w:tcPr>
                  <w:tcW w:w="810" w:type="dxa"/>
                  <w:tcBorders>
                    <w:tl2br w:val="nil"/>
                    <w:tr2bl w:val="nil"/>
                  </w:tcBorders>
                  <w:noWrap w:val="0"/>
                  <w:vAlign w:val="center"/>
                </w:tcPr>
                <w:p w14:paraId="50665112">
                  <w:pPr>
                    <w:pStyle w:val="5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3"/>
                      <w:sz w:val="21"/>
                      <w:szCs w:val="21"/>
                    </w:rPr>
                    <w:t>符合</w:t>
                  </w:r>
                </w:p>
              </w:tc>
            </w:tr>
            <w:tr w14:paraId="2F3FAB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704" w:type="dxa"/>
                  <w:tcBorders>
                    <w:tl2br w:val="nil"/>
                    <w:tr2bl w:val="nil"/>
                  </w:tcBorders>
                  <w:noWrap w:val="0"/>
                  <w:vAlign w:val="center"/>
                </w:tcPr>
                <w:p w14:paraId="063C8EB2">
                  <w:pPr>
                    <w:pStyle w:val="5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8"/>
                      <w:sz w:val="21"/>
                      <w:szCs w:val="21"/>
                    </w:rPr>
                    <w:t>（五）省级生态环境部门应加强对基层</w:t>
                  </w:r>
                  <w:r>
                    <w:rPr>
                      <w:rFonts w:ascii="Times New Roman" w:hAnsi="Times New Roman" w:eastAsia="Times New Roman" w:cs="Times New Roman"/>
                      <w:color w:val="auto"/>
                      <w:spacing w:val="8"/>
                      <w:sz w:val="21"/>
                      <w:szCs w:val="21"/>
                    </w:rPr>
                    <w:t>“</w:t>
                  </w:r>
                  <w:r>
                    <w:rPr>
                      <w:color w:val="auto"/>
                      <w:spacing w:val="8"/>
                      <w:sz w:val="21"/>
                      <w:szCs w:val="21"/>
                    </w:rPr>
                    <w:t>两高</w:t>
                  </w:r>
                  <w:r>
                    <w:rPr>
                      <w:rFonts w:ascii="Times New Roman" w:hAnsi="Times New Roman" w:eastAsia="Times New Roman" w:cs="Times New Roman"/>
                      <w:color w:val="auto"/>
                      <w:spacing w:val="8"/>
                      <w:sz w:val="21"/>
                      <w:szCs w:val="21"/>
                    </w:rPr>
                    <w:t>”</w:t>
                  </w:r>
                  <w:r>
                    <w:rPr>
                      <w:color w:val="auto"/>
                      <w:spacing w:val="8"/>
                      <w:sz w:val="21"/>
                      <w:szCs w:val="21"/>
                    </w:rPr>
                    <w:t>项目环评审批程序、审批结果的监督与评估，对审批能力不适</w:t>
                  </w:r>
                  <w:r>
                    <w:rPr>
                      <w:color w:val="auto"/>
                      <w:spacing w:val="7"/>
                      <w:sz w:val="21"/>
                      <w:szCs w:val="21"/>
                    </w:rPr>
                    <w:t>应的依法调</w:t>
                  </w:r>
                  <w:r>
                    <w:rPr>
                      <w:color w:val="auto"/>
                      <w:spacing w:val="8"/>
                      <w:sz w:val="21"/>
                      <w:szCs w:val="21"/>
                    </w:rPr>
                    <w:t>整上收。对炼油、乙烯、钢铁、焦化、煤化工、燃煤发电、电解铝、水泥熟料、平板玻璃、铜铅锌硅冶炼等</w:t>
                  </w:r>
                  <w:r>
                    <w:rPr>
                      <w:color w:val="auto"/>
                      <w:spacing w:val="7"/>
                      <w:sz w:val="21"/>
                      <w:szCs w:val="21"/>
                    </w:rPr>
                    <w:t>环境影响大</w:t>
                  </w:r>
                  <w:r>
                    <w:rPr>
                      <w:color w:val="auto"/>
                      <w:spacing w:val="8"/>
                      <w:sz w:val="21"/>
                      <w:szCs w:val="21"/>
                    </w:rPr>
                    <w:t>或环境风险高的项目类别，不得以改革试点名义</w:t>
                  </w:r>
                  <w:r>
                    <w:rPr>
                      <w:color w:val="auto"/>
                      <w:spacing w:val="7"/>
                      <w:sz w:val="21"/>
                      <w:szCs w:val="21"/>
                    </w:rPr>
                    <w:t>随意下放环</w:t>
                  </w:r>
                  <w:r>
                    <w:rPr>
                      <w:color w:val="auto"/>
                      <w:spacing w:val="8"/>
                      <w:sz w:val="21"/>
                      <w:szCs w:val="21"/>
                    </w:rPr>
                    <w:t>评审批权限或降低审批要求。</w:t>
                  </w:r>
                </w:p>
              </w:tc>
              <w:tc>
                <w:tcPr>
                  <w:tcW w:w="1331" w:type="dxa"/>
                  <w:tcBorders>
                    <w:tl2br w:val="nil"/>
                    <w:tr2bl w:val="nil"/>
                  </w:tcBorders>
                  <w:noWrap w:val="0"/>
                  <w:vAlign w:val="center"/>
                </w:tcPr>
                <w:p w14:paraId="24BADD03">
                  <w:pPr>
                    <w:pStyle w:val="5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7"/>
                      <w:sz w:val="21"/>
                      <w:szCs w:val="21"/>
                    </w:rPr>
                    <w:t>本次技改项目不属于前</w:t>
                  </w:r>
                  <w:r>
                    <w:rPr>
                      <w:color w:val="auto"/>
                      <w:spacing w:val="8"/>
                      <w:sz w:val="21"/>
                      <w:szCs w:val="21"/>
                    </w:rPr>
                    <w:t>述项目类别</w:t>
                  </w:r>
                </w:p>
              </w:tc>
              <w:tc>
                <w:tcPr>
                  <w:tcW w:w="810" w:type="dxa"/>
                  <w:tcBorders>
                    <w:tl2br w:val="nil"/>
                    <w:tr2bl w:val="nil"/>
                  </w:tcBorders>
                  <w:noWrap w:val="0"/>
                  <w:vAlign w:val="center"/>
                </w:tcPr>
                <w:p w14:paraId="10DB9D5B">
                  <w:pPr>
                    <w:pStyle w:val="5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z w:val="21"/>
                      <w:szCs w:val="21"/>
                    </w:rPr>
                  </w:pPr>
                  <w:r>
                    <w:rPr>
                      <w:color w:val="auto"/>
                      <w:spacing w:val="3"/>
                      <w:sz w:val="21"/>
                      <w:szCs w:val="21"/>
                    </w:rPr>
                    <w:t>符合</w:t>
                  </w:r>
                </w:p>
              </w:tc>
            </w:tr>
          </w:tbl>
          <w:p w14:paraId="489D7864">
            <w:pPr>
              <w:pStyle w:val="56"/>
              <w:spacing w:before="35" w:line="344" w:lineRule="auto"/>
              <w:ind w:left="154" w:right="103" w:firstLine="434"/>
              <w:rPr>
                <w:color w:val="auto"/>
              </w:rPr>
            </w:pPr>
            <w:r>
              <w:rPr>
                <w:color w:val="auto"/>
                <w:spacing w:val="2"/>
              </w:rPr>
              <w:t>根据上述分析，本次技改项目符合《关于加强高耗能、高排放建设项</w:t>
            </w:r>
            <w:r>
              <w:rPr>
                <w:color w:val="auto"/>
                <w:spacing w:val="-2"/>
              </w:rPr>
              <w:t>目生态环境源头防控的指导意见》（环环评</w:t>
            </w:r>
            <w:r>
              <w:rPr>
                <w:rFonts w:ascii="Times New Roman" w:hAnsi="Times New Roman" w:eastAsia="Times New Roman" w:cs="Times New Roman"/>
                <w:color w:val="auto"/>
                <w:spacing w:val="-2"/>
              </w:rPr>
              <w:t>[2021]45</w:t>
            </w:r>
            <w:r>
              <w:rPr>
                <w:color w:val="auto"/>
                <w:spacing w:val="-2"/>
              </w:rPr>
              <w:t>号）的要求。</w:t>
            </w:r>
          </w:p>
          <w:p w14:paraId="17238332">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eastAsia" w:ascii="Times New Roman" w:hAnsi="Times New Roman" w:eastAsia="宋体" w:cs="Times New Roman"/>
                <w:b/>
                <w:bCs/>
                <w:color w:val="auto"/>
                <w:kern w:val="0"/>
                <w:sz w:val="24"/>
                <w:szCs w:val="24"/>
                <w:highlight w:val="none"/>
                <w:lang w:val="en-US" w:eastAsia="zh-CN"/>
              </w:rPr>
              <w:t>18.</w:t>
            </w:r>
            <w:r>
              <w:rPr>
                <w:rFonts w:hint="default" w:ascii="Times New Roman" w:hAnsi="Times New Roman" w:eastAsia="宋体" w:cs="Times New Roman"/>
                <w:b/>
                <w:bCs/>
                <w:color w:val="auto"/>
                <w:kern w:val="0"/>
                <w:sz w:val="24"/>
                <w:szCs w:val="24"/>
                <w:highlight w:val="none"/>
                <w:lang w:val="en-US" w:eastAsia="zh-CN"/>
              </w:rPr>
              <w:t>与《关于印发&lt;重点行业挥发性有机物综合治理方案&gt;的通知》（环大气[2019]53号）符合性分析</w:t>
            </w:r>
          </w:p>
          <w:p w14:paraId="074293BB">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0" w:firstLineChars="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ascii="Times New Roman" w:hAnsi="Times New Roman" w:eastAsia="黑体" w:cs="Times New Roman"/>
                <w:b w:val="0"/>
                <w:bCs w:val="0"/>
                <w:color w:val="auto"/>
                <w:kern w:val="0"/>
                <w:sz w:val="24"/>
                <w:szCs w:val="24"/>
                <w:lang w:val="en-US" w:eastAsia="zh-CN"/>
              </w:rPr>
              <w:t>1</w:t>
            </w:r>
            <w:r>
              <w:rPr>
                <w:rFonts w:hint="eastAsia" w:eastAsia="黑体" w:cs="Times New Roman"/>
                <w:b w:val="0"/>
                <w:bCs w:val="0"/>
                <w:color w:val="auto"/>
                <w:kern w:val="0"/>
                <w:sz w:val="24"/>
                <w:szCs w:val="24"/>
                <w:lang w:val="en-US" w:eastAsia="zh-CN"/>
              </w:rPr>
              <w:t>7</w:t>
            </w:r>
            <w:r>
              <w:rPr>
                <w:rFonts w:hint="default" w:ascii="Times New Roman" w:hAnsi="Times New Roman" w:eastAsia="黑体" w:cs="Times New Roman"/>
                <w:b w:val="0"/>
                <w:bCs w:val="0"/>
                <w:color w:val="auto"/>
                <w:kern w:val="0"/>
                <w:sz w:val="24"/>
                <w:szCs w:val="24"/>
                <w:lang w:val="en-US" w:eastAsia="zh-CN"/>
              </w:rPr>
              <w:t xml:space="preserve"> 与《关于印发&lt;重点行业挥发性有机物综合治理方案&gt;的通知》符合性分析</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7"/>
              <w:gridCol w:w="3216"/>
              <w:gridCol w:w="1754"/>
              <w:gridCol w:w="1118"/>
            </w:tblGrid>
            <w:tr w14:paraId="6D32EF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17" w:type="dxa"/>
                  <w:tcBorders>
                    <w:tl2br w:val="nil"/>
                    <w:tr2bl w:val="nil"/>
                  </w:tcBorders>
                  <w:noWrap w:val="0"/>
                  <w:vAlign w:val="center"/>
                </w:tcPr>
                <w:p w14:paraId="06D62D53">
                  <w:pPr>
                    <w:pStyle w:val="23"/>
                    <w:spacing w:after="0" w:line="240" w:lineRule="auto"/>
                    <w:ind w:left="0" w:leftChars="0" w:firstLine="0" w:firstLineChars="0"/>
                    <w:jc w:val="center"/>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分类</w:t>
                  </w:r>
                </w:p>
              </w:tc>
              <w:tc>
                <w:tcPr>
                  <w:tcW w:w="3216" w:type="dxa"/>
                  <w:tcBorders>
                    <w:tl2br w:val="nil"/>
                    <w:tr2bl w:val="nil"/>
                  </w:tcBorders>
                  <w:noWrap w:val="0"/>
                  <w:vAlign w:val="center"/>
                </w:tcPr>
                <w:p w14:paraId="6A7D01D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ind w:left="0" w:leftChars="0" w:firstLine="0" w:firstLineChars="0"/>
                    <w:jc w:val="center"/>
                    <w:textAlignment w:val="auto"/>
                    <w:rPr>
                      <w:rFonts w:hint="default"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文件要求</w:t>
                  </w:r>
                </w:p>
              </w:tc>
              <w:tc>
                <w:tcPr>
                  <w:tcW w:w="1754" w:type="dxa"/>
                  <w:tcBorders>
                    <w:tl2br w:val="nil"/>
                    <w:tr2bl w:val="nil"/>
                  </w:tcBorders>
                  <w:noWrap w:val="0"/>
                  <w:vAlign w:val="center"/>
                </w:tcPr>
                <w:p w14:paraId="53DD3D94">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ind w:left="0" w:leftChars="0" w:firstLine="0" w:firstLineChars="0"/>
                    <w:jc w:val="center"/>
                    <w:textAlignment w:val="auto"/>
                    <w:rPr>
                      <w:rFonts w:hint="default"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本项目情况</w:t>
                  </w:r>
                </w:p>
              </w:tc>
              <w:tc>
                <w:tcPr>
                  <w:tcW w:w="1118" w:type="dxa"/>
                  <w:tcBorders>
                    <w:tl2br w:val="nil"/>
                    <w:tr2bl w:val="nil"/>
                  </w:tcBorders>
                  <w:noWrap w:val="0"/>
                  <w:vAlign w:val="center"/>
                </w:tcPr>
                <w:p w14:paraId="06DE0FE5">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ind w:left="0" w:leftChars="0" w:firstLine="0" w:firstLineChars="0"/>
                    <w:jc w:val="center"/>
                    <w:textAlignment w:val="auto"/>
                    <w:rPr>
                      <w:rFonts w:hint="default"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kern w:val="0"/>
                      <w:sz w:val="21"/>
                      <w:szCs w:val="21"/>
                      <w:highlight w:val="none"/>
                      <w:vertAlign w:val="baseline"/>
                      <w:lang w:val="en-US" w:eastAsia="zh-CN"/>
                    </w:rPr>
                    <w:t>符合性</w:t>
                  </w:r>
                </w:p>
              </w:tc>
            </w:tr>
            <w:tr w14:paraId="6F3E2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1017" w:type="dxa"/>
                  <w:tcBorders>
                    <w:tl2br w:val="nil"/>
                    <w:tr2bl w:val="nil"/>
                  </w:tcBorders>
                  <w:noWrap w:val="0"/>
                  <w:vAlign w:val="center"/>
                </w:tcPr>
                <w:p w14:paraId="632133CB">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全面加强无组织排放控制</w:t>
                  </w:r>
                </w:p>
              </w:tc>
              <w:tc>
                <w:tcPr>
                  <w:tcW w:w="3216" w:type="dxa"/>
                  <w:tcBorders>
                    <w:tl2br w:val="nil"/>
                    <w:tr2bl w:val="nil"/>
                  </w:tcBorders>
                  <w:noWrap w:val="0"/>
                  <w:vAlign w:val="center"/>
                </w:tcPr>
                <w:p w14:paraId="31C8295D">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1754" w:type="dxa"/>
                  <w:vMerge w:val="restart"/>
                  <w:tcBorders>
                    <w:tl2br w:val="nil"/>
                    <w:tr2bl w:val="nil"/>
                  </w:tcBorders>
                  <w:noWrap w:val="0"/>
                  <w:vAlign w:val="center"/>
                </w:tcPr>
                <w:p w14:paraId="48F93DE5">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本项目液态物料均桶装密闭保存。</w:t>
                  </w:r>
                  <w:r>
                    <w:rPr>
                      <w:rFonts w:hint="default" w:ascii="Times New Roman" w:hAnsi="Times New Roman" w:cs="Times New Roman"/>
                      <w:bCs/>
                      <w:color w:val="auto"/>
                      <w:sz w:val="21"/>
                      <w:szCs w:val="21"/>
                      <w:highlight w:val="none"/>
                      <w:vertAlign w:val="baseline"/>
                      <w:lang w:val="en-US" w:eastAsia="zh-CN"/>
                    </w:rPr>
                    <w:t>陶瓷喷墨墨水生产过程中蒸发产生的VOCs，经集气罩收集后，经二级活性炭（TA005）处理后经过15m高排气筒（DA005）</w:t>
                  </w:r>
                  <w:r>
                    <w:rPr>
                      <w:rFonts w:hint="eastAsia" w:cs="Times New Roman"/>
                      <w:bCs/>
                      <w:color w:val="auto"/>
                      <w:sz w:val="21"/>
                      <w:szCs w:val="21"/>
                      <w:highlight w:val="none"/>
                      <w:vertAlign w:val="baseline"/>
                      <w:lang w:val="en-US" w:eastAsia="zh-CN"/>
                    </w:rPr>
                    <w:t>达标排放</w:t>
                  </w:r>
                  <w:r>
                    <w:rPr>
                      <w:rFonts w:hint="default" w:ascii="Times New Roman" w:hAnsi="Times New Roman" w:cs="Times New Roman"/>
                      <w:bCs/>
                      <w:color w:val="auto"/>
                      <w:sz w:val="21"/>
                      <w:szCs w:val="21"/>
                      <w:highlight w:val="none"/>
                      <w:vertAlign w:val="baseline"/>
                      <w:lang w:val="en-US" w:eastAsia="zh-CN"/>
                    </w:rPr>
                    <w:t>。</w:t>
                  </w:r>
                </w:p>
              </w:tc>
              <w:tc>
                <w:tcPr>
                  <w:tcW w:w="1118" w:type="dxa"/>
                  <w:vMerge w:val="restart"/>
                  <w:tcBorders>
                    <w:tl2br w:val="nil"/>
                    <w:tr2bl w:val="nil"/>
                  </w:tcBorders>
                  <w:noWrap w:val="0"/>
                  <w:vAlign w:val="center"/>
                </w:tcPr>
                <w:p w14:paraId="0AC89B7A">
                  <w:pPr>
                    <w:pStyle w:val="23"/>
                    <w:spacing w:after="0"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符合</w:t>
                  </w:r>
                </w:p>
              </w:tc>
            </w:tr>
            <w:tr w14:paraId="09146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017" w:type="dxa"/>
                  <w:tcBorders>
                    <w:tl2br w:val="nil"/>
                    <w:tr2bl w:val="nil"/>
                  </w:tcBorders>
                  <w:noWrap w:val="0"/>
                  <w:vAlign w:val="center"/>
                </w:tcPr>
                <w:p w14:paraId="07712B20">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加强设备与场所密闭管理</w:t>
                  </w:r>
                </w:p>
              </w:tc>
              <w:tc>
                <w:tcPr>
                  <w:tcW w:w="3216" w:type="dxa"/>
                  <w:tcBorders>
                    <w:tl2br w:val="nil"/>
                    <w:tr2bl w:val="nil"/>
                  </w:tcBorders>
                  <w:noWrap w:val="0"/>
                  <w:vAlign w:val="center"/>
                </w:tcPr>
                <w:p w14:paraId="3156D208">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含VOCs物料应储存于密闭容器、包装袋，高效密封储罐，封闭式储库、料仓等。含VOCs物料转移和输送，应采用密闭管道或密闭容器、罐车等；含VOCs物料生产和使用过程，应采取有效收集措施或在密闭空间中操作。</w:t>
                  </w:r>
                </w:p>
              </w:tc>
              <w:tc>
                <w:tcPr>
                  <w:tcW w:w="1754" w:type="dxa"/>
                  <w:vMerge w:val="continue"/>
                  <w:tcBorders>
                    <w:tl2br w:val="nil"/>
                    <w:tr2bl w:val="nil"/>
                  </w:tcBorders>
                  <w:noWrap w:val="0"/>
                  <w:vAlign w:val="center"/>
                </w:tcPr>
                <w:p w14:paraId="764FC097">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p>
              </w:tc>
              <w:tc>
                <w:tcPr>
                  <w:tcW w:w="1118" w:type="dxa"/>
                  <w:vMerge w:val="continue"/>
                  <w:tcBorders>
                    <w:tl2br w:val="nil"/>
                    <w:tr2bl w:val="nil"/>
                  </w:tcBorders>
                  <w:noWrap w:val="0"/>
                  <w:vAlign w:val="center"/>
                </w:tcPr>
                <w:p w14:paraId="1162C6C2">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p>
              </w:tc>
            </w:tr>
            <w:tr w14:paraId="1FF7F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1017" w:type="dxa"/>
                  <w:tcBorders>
                    <w:tl2br w:val="nil"/>
                    <w:tr2bl w:val="nil"/>
                  </w:tcBorders>
                  <w:noWrap w:val="0"/>
                  <w:vAlign w:val="center"/>
                </w:tcPr>
                <w:p w14:paraId="0E2EA4E8">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提高废气收集率</w:t>
                  </w:r>
                </w:p>
              </w:tc>
              <w:tc>
                <w:tcPr>
                  <w:tcW w:w="3216" w:type="dxa"/>
                  <w:tcBorders>
                    <w:tl2br w:val="nil"/>
                    <w:tr2bl w:val="nil"/>
                  </w:tcBorders>
                  <w:noWrap w:val="0"/>
                  <w:vAlign w:val="center"/>
                </w:tcPr>
                <w:p w14:paraId="12EC4BE8">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遵循“应收尽收、分质收集”的原则，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w:t>
                  </w:r>
                </w:p>
              </w:tc>
              <w:tc>
                <w:tcPr>
                  <w:tcW w:w="1754" w:type="dxa"/>
                  <w:vMerge w:val="continue"/>
                  <w:tcBorders>
                    <w:tl2br w:val="nil"/>
                    <w:tr2bl w:val="nil"/>
                  </w:tcBorders>
                  <w:noWrap w:val="0"/>
                  <w:vAlign w:val="center"/>
                </w:tcPr>
                <w:p w14:paraId="6EEF4CF4">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p>
              </w:tc>
              <w:tc>
                <w:tcPr>
                  <w:tcW w:w="1118" w:type="dxa"/>
                  <w:vMerge w:val="continue"/>
                  <w:tcBorders>
                    <w:tl2br w:val="nil"/>
                    <w:tr2bl w:val="nil"/>
                  </w:tcBorders>
                  <w:noWrap w:val="0"/>
                  <w:vAlign w:val="center"/>
                </w:tcPr>
                <w:p w14:paraId="544EA758">
                  <w:pPr>
                    <w:jc w:val="center"/>
                    <w:rPr>
                      <w:rFonts w:hint="default" w:ascii="Times New Roman" w:hAnsi="Times New Roman" w:cs="Times New Roman"/>
                      <w:color w:val="auto"/>
                      <w:sz w:val="21"/>
                      <w:szCs w:val="21"/>
                    </w:rPr>
                  </w:pPr>
                </w:p>
              </w:tc>
            </w:tr>
            <w:tr w14:paraId="3B9F7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17" w:type="dxa"/>
                  <w:tcBorders>
                    <w:tl2br w:val="nil"/>
                    <w:tr2bl w:val="nil"/>
                  </w:tcBorders>
                  <w:noWrap w:val="0"/>
                  <w:vAlign w:val="center"/>
                </w:tcPr>
                <w:p w14:paraId="28E224ED">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推进建设适宜高效的治污设施</w:t>
                  </w:r>
                </w:p>
              </w:tc>
              <w:tc>
                <w:tcPr>
                  <w:tcW w:w="3216" w:type="dxa"/>
                  <w:tcBorders>
                    <w:tl2br w:val="nil"/>
                    <w:tr2bl w:val="nil"/>
                  </w:tcBorders>
                  <w:noWrap w:val="0"/>
                  <w:vAlign w:val="center"/>
                </w:tcPr>
                <w:p w14:paraId="4E050583">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企业新建治污设施或对现有治污设施实施改造，应依据排放废气的浓度、组分、风量，温度、湿度、压力，以及生产工况等，合理选择治理技术。鼓励企业采用多种技术的组合工艺，提高VOCs治理效率</w:t>
                  </w:r>
                  <w:r>
                    <w:rPr>
                      <w:rFonts w:hint="eastAsia" w:ascii="Times New Roman" w:hAnsi="Times New Roman" w:cs="Times New Roman"/>
                      <w:color w:val="auto"/>
                      <w:sz w:val="21"/>
                      <w:szCs w:val="21"/>
                      <w:lang w:val="en-US" w:eastAsia="zh-CN"/>
                    </w:rPr>
                    <w:t>。</w:t>
                  </w:r>
                </w:p>
              </w:tc>
              <w:tc>
                <w:tcPr>
                  <w:tcW w:w="1754" w:type="dxa"/>
                  <w:vMerge w:val="continue"/>
                  <w:tcBorders>
                    <w:tl2br w:val="nil"/>
                    <w:tr2bl w:val="nil"/>
                  </w:tcBorders>
                  <w:noWrap w:val="0"/>
                  <w:vAlign w:val="center"/>
                </w:tcPr>
                <w:p w14:paraId="0212270E">
                  <w:pPr>
                    <w:pStyle w:val="23"/>
                    <w:spacing w:after="0" w:line="240" w:lineRule="auto"/>
                    <w:ind w:left="0" w:leftChars="0" w:firstLine="0" w:firstLineChars="0"/>
                    <w:jc w:val="center"/>
                    <w:rPr>
                      <w:rFonts w:hint="default" w:ascii="Times New Roman" w:hAnsi="Times New Roman" w:cs="Times New Roman"/>
                      <w:color w:val="auto"/>
                      <w:sz w:val="21"/>
                      <w:szCs w:val="21"/>
                      <w:lang w:val="en-US" w:eastAsia="zh-CN"/>
                    </w:rPr>
                  </w:pPr>
                </w:p>
              </w:tc>
              <w:tc>
                <w:tcPr>
                  <w:tcW w:w="1118" w:type="dxa"/>
                  <w:vMerge w:val="continue"/>
                  <w:tcBorders>
                    <w:tl2br w:val="nil"/>
                    <w:tr2bl w:val="nil"/>
                  </w:tcBorders>
                  <w:noWrap w:val="0"/>
                  <w:vAlign w:val="center"/>
                </w:tcPr>
                <w:p w14:paraId="59FB8B76">
                  <w:pPr>
                    <w:jc w:val="center"/>
                    <w:rPr>
                      <w:rFonts w:hint="default" w:ascii="Times New Roman" w:hAnsi="Times New Roman" w:cs="Times New Roman"/>
                      <w:color w:val="auto"/>
                      <w:sz w:val="21"/>
                      <w:szCs w:val="21"/>
                    </w:rPr>
                  </w:pPr>
                </w:p>
              </w:tc>
            </w:tr>
          </w:tbl>
          <w:p w14:paraId="57B15185">
            <w:pPr>
              <w:widowControl/>
              <w:spacing w:line="360" w:lineRule="auto"/>
              <w:ind w:firstLine="480" w:firstLineChars="200"/>
              <w:jc w:val="left"/>
              <w:rPr>
                <w:rFonts w:hint="default" w:ascii="Times New Roman" w:hAnsi="Times New Roman" w:eastAsia="宋体" w:cs="Times New Roman"/>
                <w:b w:val="0"/>
                <w:bCs/>
                <w:color w:val="auto"/>
                <w:sz w:val="24"/>
                <w:szCs w:val="24"/>
                <w:lang w:eastAsia="zh-CN"/>
              </w:rPr>
            </w:pPr>
            <w:r>
              <w:rPr>
                <w:rFonts w:hint="default" w:ascii="Times New Roman" w:hAnsi="Times New Roman" w:eastAsia="宋体" w:cs="Times New Roman"/>
                <w:b w:val="0"/>
                <w:bCs/>
                <w:color w:val="auto"/>
                <w:sz w:val="24"/>
                <w:szCs w:val="24"/>
                <w:lang w:eastAsia="zh-CN"/>
              </w:rPr>
              <w:t>综上，项目符合《关于印发&lt;重点行业挥发性有机物综合治理方案&gt;的通知》（环大气[2019]53号）要求。</w:t>
            </w:r>
          </w:p>
          <w:p w14:paraId="7AB5136E">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eastAsia="宋体" w:cs="Times New Roman"/>
                <w:b/>
                <w:bCs/>
                <w:color w:val="auto"/>
                <w:kern w:val="0"/>
                <w:sz w:val="24"/>
                <w:szCs w:val="24"/>
                <w:highlight w:val="none"/>
                <w:lang w:val="en-US" w:eastAsia="zh-CN"/>
              </w:rPr>
            </w:pPr>
            <w:r>
              <w:rPr>
                <w:rFonts w:hint="eastAsia" w:ascii="Times New Roman" w:hAnsi="Times New Roman" w:eastAsia="宋体" w:cs="Times New Roman"/>
                <w:b/>
                <w:bCs/>
                <w:color w:val="auto"/>
                <w:kern w:val="0"/>
                <w:sz w:val="24"/>
                <w:szCs w:val="24"/>
                <w:highlight w:val="none"/>
                <w:lang w:val="en-US" w:eastAsia="zh-CN"/>
              </w:rPr>
              <w:t>19.</w:t>
            </w:r>
            <w:r>
              <w:rPr>
                <w:rFonts w:hint="default" w:ascii="Times New Roman" w:hAnsi="Times New Roman" w:eastAsia="宋体" w:cs="Times New Roman"/>
                <w:b/>
                <w:bCs/>
                <w:color w:val="auto"/>
                <w:kern w:val="0"/>
                <w:sz w:val="24"/>
                <w:szCs w:val="24"/>
                <w:highlight w:val="none"/>
                <w:lang w:val="en-US" w:eastAsia="zh-CN"/>
              </w:rPr>
              <w:t>与《挥发性有机物无组织排放控制标准》（GB37822-2019）符合性分析</w:t>
            </w:r>
          </w:p>
          <w:p w14:paraId="3045F3D6">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0" w:firstLineChars="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ascii="Times New Roman" w:hAnsi="Times New Roman" w:eastAsia="黑体" w:cs="Times New Roman"/>
                <w:b w:val="0"/>
                <w:bCs w:val="0"/>
                <w:color w:val="auto"/>
                <w:kern w:val="0"/>
                <w:sz w:val="24"/>
                <w:szCs w:val="24"/>
                <w:lang w:val="en-US" w:eastAsia="zh-CN"/>
              </w:rPr>
              <w:t>1</w:t>
            </w:r>
            <w:r>
              <w:rPr>
                <w:rFonts w:hint="eastAsia" w:eastAsia="黑体" w:cs="Times New Roman"/>
                <w:b w:val="0"/>
                <w:bCs w:val="0"/>
                <w:color w:val="auto"/>
                <w:kern w:val="0"/>
                <w:sz w:val="24"/>
                <w:szCs w:val="24"/>
                <w:lang w:val="en-US" w:eastAsia="zh-CN"/>
              </w:rPr>
              <w:t>8</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与《挥发性有机物无组织排放控制标准》（GB37822-2019）符合性分析</w:t>
            </w:r>
          </w:p>
          <w:tbl>
            <w:tblPr>
              <w:tblStyle w:val="24"/>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8"/>
              <w:gridCol w:w="3355"/>
              <w:gridCol w:w="1539"/>
              <w:gridCol w:w="982"/>
            </w:tblGrid>
            <w:tr w14:paraId="2AF813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28" w:type="dxa"/>
                  <w:tcBorders>
                    <w:tl2br w:val="nil"/>
                    <w:tr2bl w:val="nil"/>
                  </w:tcBorders>
                  <w:noWrap w:val="0"/>
                  <w:vAlign w:val="center"/>
                </w:tcPr>
                <w:p w14:paraId="7EDE54CA">
                  <w:pPr>
                    <w:pStyle w:val="23"/>
                    <w:spacing w:after="0" w:line="240" w:lineRule="auto"/>
                    <w:ind w:left="0" w:leftChars="0" w:firstLine="0" w:firstLineChars="0"/>
                    <w:jc w:val="center"/>
                    <w:rPr>
                      <w:rFonts w:hint="default" w:ascii="Times New Roman" w:hAnsi="Times New Roman" w:eastAsia="宋体" w:cs="Times New Roman"/>
                      <w:b/>
                      <w:bCs/>
                      <w:color w:val="auto"/>
                      <w:sz w:val="21"/>
                      <w:szCs w:val="21"/>
                      <w:lang w:eastAsia="zh-CN"/>
                    </w:rPr>
                  </w:pPr>
                  <w:r>
                    <w:rPr>
                      <w:rFonts w:hint="eastAsia" w:ascii="Times New Roman" w:hAnsi="Times New Roman" w:cs="Times New Roman"/>
                      <w:b/>
                      <w:bCs/>
                      <w:color w:val="auto"/>
                      <w:sz w:val="21"/>
                      <w:szCs w:val="21"/>
                      <w:lang w:val="en-US" w:eastAsia="zh-CN"/>
                    </w:rPr>
                    <w:t>分类</w:t>
                  </w:r>
                </w:p>
              </w:tc>
              <w:tc>
                <w:tcPr>
                  <w:tcW w:w="3355" w:type="dxa"/>
                  <w:tcBorders>
                    <w:tl2br w:val="nil"/>
                    <w:tr2bl w:val="nil"/>
                  </w:tcBorders>
                  <w:noWrap w:val="0"/>
                  <w:vAlign w:val="center"/>
                </w:tcPr>
                <w:p w14:paraId="29F8880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ind w:left="0" w:leftChars="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kern w:val="0"/>
                      <w:sz w:val="21"/>
                      <w:szCs w:val="21"/>
                      <w:highlight w:val="none"/>
                      <w:vertAlign w:val="baseline"/>
                      <w:lang w:val="en-US" w:eastAsia="zh-CN"/>
                    </w:rPr>
                    <w:t>文件要求</w:t>
                  </w:r>
                </w:p>
              </w:tc>
              <w:tc>
                <w:tcPr>
                  <w:tcW w:w="1539" w:type="dxa"/>
                  <w:tcBorders>
                    <w:tl2br w:val="nil"/>
                    <w:tr2bl w:val="nil"/>
                  </w:tcBorders>
                  <w:noWrap w:val="0"/>
                  <w:vAlign w:val="center"/>
                </w:tcPr>
                <w:p w14:paraId="41FAEED2">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ind w:left="0" w:leftChars="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kern w:val="0"/>
                      <w:sz w:val="21"/>
                      <w:szCs w:val="21"/>
                      <w:highlight w:val="none"/>
                      <w:vertAlign w:val="baseline"/>
                      <w:lang w:val="en-US" w:eastAsia="zh-CN"/>
                    </w:rPr>
                    <w:t>本项目情况</w:t>
                  </w:r>
                </w:p>
              </w:tc>
              <w:tc>
                <w:tcPr>
                  <w:tcW w:w="982" w:type="dxa"/>
                  <w:tcBorders>
                    <w:tl2br w:val="nil"/>
                    <w:tr2bl w:val="nil"/>
                  </w:tcBorders>
                  <w:noWrap w:val="0"/>
                  <w:vAlign w:val="center"/>
                </w:tcPr>
                <w:p w14:paraId="271B5D4E">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312" w:lineRule="atLeast"/>
                    <w:ind w:left="0" w:leftChars="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eastAsia="宋体" w:cs="Times New Roman"/>
                      <w:b/>
                      <w:bCs/>
                      <w:color w:val="auto"/>
                      <w:kern w:val="0"/>
                      <w:sz w:val="21"/>
                      <w:szCs w:val="21"/>
                      <w:highlight w:val="none"/>
                      <w:vertAlign w:val="baseline"/>
                      <w:lang w:val="en-US" w:eastAsia="zh-CN"/>
                    </w:rPr>
                    <w:t>符合性</w:t>
                  </w:r>
                </w:p>
              </w:tc>
            </w:tr>
            <w:tr w14:paraId="48816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28" w:type="dxa"/>
                  <w:tcBorders>
                    <w:tl2br w:val="nil"/>
                    <w:tr2bl w:val="nil"/>
                  </w:tcBorders>
                  <w:noWrap w:val="0"/>
                  <w:vAlign w:val="center"/>
                </w:tcPr>
                <w:p w14:paraId="188A97F2">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5.VOCs物料储存无组织排放控制要求</w:t>
                  </w:r>
                </w:p>
              </w:tc>
              <w:tc>
                <w:tcPr>
                  <w:tcW w:w="3355" w:type="dxa"/>
                  <w:tcBorders>
                    <w:tl2br w:val="nil"/>
                    <w:tr2bl w:val="nil"/>
                  </w:tcBorders>
                  <w:noWrap w:val="0"/>
                  <w:vAlign w:val="center"/>
                </w:tcPr>
                <w:p w14:paraId="3045F67C">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5.1.1VOCs物料应储存于密闭的容器、包装袋、储罐、储库、料仓中。</w:t>
                  </w:r>
                </w:p>
                <w:p w14:paraId="5A51819F">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5.1.2盛装VOCs物料的容器或包装袋应存放于室内，或存放于设置有雨棚、遮阳和防渗设施的专用场地，盛装</w:t>
                  </w:r>
                  <w:r>
                    <w:rPr>
                      <w:rFonts w:hint="default" w:ascii="Times New Roman" w:hAnsi="Times New Roman" w:cs="Times New Roman"/>
                      <w:color w:val="auto"/>
                      <w:sz w:val="21"/>
                      <w:szCs w:val="21"/>
                    </w:rPr>
                    <w:t>VOC</w:t>
                  </w:r>
                  <w:r>
                    <w:rPr>
                      <w:rFonts w:hint="default" w:ascii="Times New Roman" w:hAnsi="Times New Roman" w:cs="Times New Roman"/>
                      <w:color w:val="auto"/>
                      <w:sz w:val="21"/>
                      <w:szCs w:val="21"/>
                      <w:lang w:val="en-US" w:eastAsia="zh-CN"/>
                    </w:rPr>
                    <w:t>s物料的容器和包装袋在非取用状态</w:t>
                  </w:r>
                  <w:r>
                    <w:rPr>
                      <w:rFonts w:hint="eastAsia" w:ascii="Times New Roman" w:hAnsi="Times New Roman" w:cs="Times New Roman"/>
                      <w:color w:val="auto"/>
                      <w:sz w:val="21"/>
                      <w:szCs w:val="21"/>
                      <w:lang w:val="en-US" w:eastAsia="zh-CN"/>
                    </w:rPr>
                    <w:t>时</w:t>
                  </w:r>
                  <w:r>
                    <w:rPr>
                      <w:rFonts w:hint="default" w:ascii="Times New Roman" w:hAnsi="Times New Roman" w:cs="Times New Roman"/>
                      <w:color w:val="auto"/>
                      <w:sz w:val="21"/>
                      <w:szCs w:val="21"/>
                      <w:lang w:val="en-US" w:eastAsia="zh-CN"/>
                    </w:rPr>
                    <w:t>应加盖、封口，保持密闭。</w:t>
                  </w:r>
                </w:p>
              </w:tc>
              <w:tc>
                <w:tcPr>
                  <w:tcW w:w="1539" w:type="dxa"/>
                  <w:vMerge w:val="restart"/>
                  <w:tcBorders>
                    <w:tl2br w:val="nil"/>
                    <w:tr2bl w:val="nil"/>
                  </w:tcBorders>
                  <w:noWrap w:val="0"/>
                  <w:vAlign w:val="center"/>
                </w:tcPr>
                <w:p w14:paraId="6E01AA3F">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lang w:val="en-US" w:eastAsia="zh-CN"/>
                    </w:rPr>
                    <w:t>本项目不涉及粉状、粒状VOCs物料，液态物料均桶装密闭保存。</w:t>
                  </w:r>
                </w:p>
              </w:tc>
              <w:tc>
                <w:tcPr>
                  <w:tcW w:w="982" w:type="dxa"/>
                  <w:vMerge w:val="restart"/>
                  <w:tcBorders>
                    <w:tl2br w:val="nil"/>
                    <w:tr2bl w:val="nil"/>
                  </w:tcBorders>
                  <w:noWrap w:val="0"/>
                  <w:vAlign w:val="center"/>
                </w:tcPr>
                <w:p w14:paraId="73CDDBEE">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235BD4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28" w:type="dxa"/>
                  <w:tcBorders>
                    <w:tl2br w:val="nil"/>
                    <w:tr2bl w:val="nil"/>
                  </w:tcBorders>
                  <w:noWrap w:val="0"/>
                  <w:vAlign w:val="center"/>
                </w:tcPr>
                <w:p w14:paraId="2059CF29">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6.VOCs</w:t>
                  </w:r>
                  <w:r>
                    <w:rPr>
                      <w:rFonts w:hint="default" w:ascii="Times New Roman" w:hAnsi="Times New Roman" w:cs="Times New Roman"/>
                      <w:color w:val="auto"/>
                      <w:sz w:val="21"/>
                      <w:szCs w:val="21"/>
                      <w:lang w:eastAsia="zh-CN"/>
                    </w:rPr>
                    <w:t>物料转移和输送无组织排放控制要求</w:t>
                  </w:r>
                </w:p>
              </w:tc>
              <w:tc>
                <w:tcPr>
                  <w:tcW w:w="3355" w:type="dxa"/>
                  <w:tcBorders>
                    <w:tl2br w:val="nil"/>
                    <w:tr2bl w:val="nil"/>
                  </w:tcBorders>
                  <w:noWrap w:val="0"/>
                  <w:vAlign w:val="center"/>
                </w:tcPr>
                <w:p w14:paraId="483DF615">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6.1.1液态VOCs物料应采用密闭管道输送。采用非管道输送方式转移液态VOCs物料时，应采用密闭容器、罐车。</w:t>
                  </w:r>
                </w:p>
                <w:p w14:paraId="26EBF88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kern w:val="2"/>
                      <w:sz w:val="21"/>
                      <w:szCs w:val="21"/>
                      <w:lang w:val="en-US" w:eastAsia="zh-CN" w:bidi="ar-SA"/>
                    </w:rPr>
                    <w:t>6.1.2粉状、粒状VOCs物料应采用气力输送设备、管状带式输送机、螺旋输送机等密闭输送方式或采用密闭的包装袋、容器或罐车进行物料转移</w:t>
                  </w:r>
                  <w:r>
                    <w:rPr>
                      <w:rFonts w:hint="eastAsia" w:ascii="Times New Roman" w:hAnsi="Times New Roman" w:cs="Times New Roman"/>
                      <w:color w:val="auto"/>
                      <w:kern w:val="2"/>
                      <w:sz w:val="21"/>
                      <w:szCs w:val="21"/>
                      <w:lang w:val="en-US" w:eastAsia="zh-CN" w:bidi="ar-SA"/>
                    </w:rPr>
                    <w:t>。</w:t>
                  </w:r>
                </w:p>
              </w:tc>
              <w:tc>
                <w:tcPr>
                  <w:tcW w:w="1539" w:type="dxa"/>
                  <w:vMerge w:val="continue"/>
                  <w:tcBorders>
                    <w:tl2br w:val="nil"/>
                    <w:tr2bl w:val="nil"/>
                  </w:tcBorders>
                  <w:noWrap w:val="0"/>
                  <w:vAlign w:val="center"/>
                </w:tcPr>
                <w:p w14:paraId="0D7199F9">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82" w:type="dxa"/>
                  <w:vMerge w:val="continue"/>
                  <w:tcBorders>
                    <w:tl2br w:val="nil"/>
                    <w:tr2bl w:val="nil"/>
                  </w:tcBorders>
                  <w:noWrap w:val="0"/>
                  <w:vAlign w:val="center"/>
                </w:tcPr>
                <w:p w14:paraId="066C3EE8">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p>
              </w:tc>
            </w:tr>
            <w:tr w14:paraId="23F59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28" w:type="dxa"/>
                  <w:tcBorders>
                    <w:tl2br w:val="nil"/>
                    <w:tr2bl w:val="nil"/>
                  </w:tcBorders>
                  <w:noWrap w:val="0"/>
                  <w:vAlign w:val="center"/>
                </w:tcPr>
                <w:p w14:paraId="0FEF8A3D">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7.2含VOCs产品</w:t>
                  </w:r>
                  <w:r>
                    <w:rPr>
                      <w:rFonts w:hint="default" w:ascii="Times New Roman" w:hAnsi="Times New Roman" w:cs="Times New Roman"/>
                      <w:color w:val="auto"/>
                      <w:sz w:val="21"/>
                      <w:szCs w:val="21"/>
                      <w:lang w:eastAsia="zh-CN"/>
                    </w:rPr>
                    <w:t>的使用过程</w:t>
                  </w:r>
                </w:p>
              </w:tc>
              <w:tc>
                <w:tcPr>
                  <w:tcW w:w="3355" w:type="dxa"/>
                  <w:tcBorders>
                    <w:tl2br w:val="nil"/>
                    <w:tr2bl w:val="nil"/>
                  </w:tcBorders>
                  <w:noWrap w:val="0"/>
                  <w:vAlign w:val="center"/>
                </w:tcPr>
                <w:p w14:paraId="3EA0FB09">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7.2.1VOCs质量占比大于等于10%的含VOCs产品，其使用过程应采用密闭设备或在密闭空间内操作，废气应排至VOCs废气收集处理系统；无法密闭的，应采取局部气体收集措施，废气应排至VOCs废气收集处理系统。</w:t>
                  </w:r>
                </w:p>
              </w:tc>
              <w:tc>
                <w:tcPr>
                  <w:tcW w:w="1539" w:type="dxa"/>
                  <w:tcBorders>
                    <w:tl2br w:val="nil"/>
                    <w:tr2bl w:val="nil"/>
                  </w:tcBorders>
                  <w:noWrap w:val="0"/>
                  <w:vAlign w:val="center"/>
                </w:tcPr>
                <w:p w14:paraId="3A970B8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Cs/>
                      <w:color w:val="auto"/>
                      <w:sz w:val="21"/>
                      <w:szCs w:val="21"/>
                      <w:highlight w:val="none"/>
                      <w:vertAlign w:val="baseline"/>
                      <w:lang w:val="en-US" w:eastAsia="zh-CN"/>
                    </w:rPr>
                    <w:t>陶瓷喷墨墨水生产过程中蒸发产生的VOCs，经集气罩收集后，经二级活性炭（TA005）处理后经过15m高排气筒（DA005）</w:t>
                  </w:r>
                  <w:r>
                    <w:rPr>
                      <w:rFonts w:hint="eastAsia" w:cs="Times New Roman"/>
                      <w:bCs/>
                      <w:color w:val="auto"/>
                      <w:sz w:val="21"/>
                      <w:szCs w:val="21"/>
                      <w:highlight w:val="none"/>
                      <w:vertAlign w:val="baseline"/>
                      <w:lang w:val="en-US" w:eastAsia="zh-CN"/>
                    </w:rPr>
                    <w:t>达标排放</w:t>
                  </w:r>
                  <w:r>
                    <w:rPr>
                      <w:rFonts w:hint="default" w:ascii="Times New Roman" w:hAnsi="Times New Roman" w:cs="Times New Roman"/>
                      <w:bCs/>
                      <w:color w:val="auto"/>
                      <w:sz w:val="21"/>
                      <w:szCs w:val="21"/>
                      <w:highlight w:val="none"/>
                      <w:vertAlign w:val="baseline"/>
                      <w:lang w:val="en-US" w:eastAsia="zh-CN"/>
                    </w:rPr>
                    <w:t>。</w:t>
                  </w:r>
                </w:p>
              </w:tc>
              <w:tc>
                <w:tcPr>
                  <w:tcW w:w="982" w:type="dxa"/>
                  <w:tcBorders>
                    <w:tl2br w:val="nil"/>
                    <w:tr2bl w:val="nil"/>
                  </w:tcBorders>
                  <w:noWrap w:val="0"/>
                  <w:vAlign w:val="center"/>
                </w:tcPr>
                <w:p w14:paraId="5BA3FA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0E155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28" w:type="dxa"/>
                  <w:tcBorders>
                    <w:tl2br w:val="nil"/>
                    <w:tr2bl w:val="nil"/>
                  </w:tcBorders>
                  <w:noWrap w:val="0"/>
                  <w:vAlign w:val="center"/>
                </w:tcPr>
                <w:p w14:paraId="06EFFCB4">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7.3其他要求</w:t>
                  </w:r>
                </w:p>
              </w:tc>
              <w:tc>
                <w:tcPr>
                  <w:tcW w:w="3355" w:type="dxa"/>
                  <w:tcBorders>
                    <w:tl2br w:val="nil"/>
                    <w:tr2bl w:val="nil"/>
                  </w:tcBorders>
                  <w:noWrap w:val="0"/>
                  <w:vAlign w:val="center"/>
                </w:tcPr>
                <w:p w14:paraId="3F486271">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7.3.1企业应建立台账，记录含</w:t>
                  </w:r>
                  <w:r>
                    <w:rPr>
                      <w:rFonts w:hint="default" w:ascii="Times New Roman" w:hAnsi="Times New Roman" w:cs="Times New Roman"/>
                      <w:color w:val="auto"/>
                      <w:sz w:val="21"/>
                      <w:szCs w:val="21"/>
                      <w:lang w:val="en-US" w:eastAsia="zh-CN"/>
                    </w:rPr>
                    <w:t>VOCs原辅材料和含VOCs产品的名称、使用量、回收量、废气量、去向以及VOCs含量等信息。台账保存期限不少于3年</w:t>
                  </w:r>
                  <w:r>
                    <w:rPr>
                      <w:rFonts w:hint="eastAsia" w:ascii="Times New Roman" w:hAnsi="Times New Roman" w:cs="Times New Roman"/>
                      <w:color w:val="auto"/>
                      <w:sz w:val="21"/>
                      <w:szCs w:val="21"/>
                      <w:lang w:val="en-US" w:eastAsia="zh-CN"/>
                    </w:rPr>
                    <w:t>。</w:t>
                  </w:r>
                </w:p>
              </w:tc>
              <w:tc>
                <w:tcPr>
                  <w:tcW w:w="1539" w:type="dxa"/>
                  <w:tcBorders>
                    <w:tl2br w:val="nil"/>
                    <w:tr2bl w:val="nil"/>
                  </w:tcBorders>
                  <w:noWrap w:val="0"/>
                  <w:vAlign w:val="center"/>
                </w:tcPr>
                <w:p w14:paraId="522CF168">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本项目企业按照要求建立台账，记录含VOCs原材料的相关信息，台账保存不少于</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年</w:t>
                  </w:r>
                  <w:r>
                    <w:rPr>
                      <w:rFonts w:hint="eastAsia" w:ascii="Times New Roman" w:hAnsi="Times New Roman" w:cs="Times New Roman"/>
                      <w:color w:val="auto"/>
                      <w:sz w:val="21"/>
                      <w:szCs w:val="21"/>
                      <w:highlight w:val="none"/>
                      <w:lang w:val="en-US" w:eastAsia="zh-CN"/>
                    </w:rPr>
                    <w:t>。</w:t>
                  </w:r>
                </w:p>
              </w:tc>
              <w:tc>
                <w:tcPr>
                  <w:tcW w:w="982" w:type="dxa"/>
                  <w:tcBorders>
                    <w:tl2br w:val="nil"/>
                    <w:tr2bl w:val="nil"/>
                  </w:tcBorders>
                  <w:noWrap w:val="0"/>
                  <w:vAlign w:val="center"/>
                </w:tcPr>
                <w:p w14:paraId="658865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符合</w:t>
                  </w:r>
                </w:p>
              </w:tc>
            </w:tr>
            <w:tr w14:paraId="49C0F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59" w:hRule="atLeast"/>
                <w:jc w:val="center"/>
              </w:trPr>
              <w:tc>
                <w:tcPr>
                  <w:tcW w:w="1228" w:type="dxa"/>
                  <w:tcBorders>
                    <w:tl2br w:val="nil"/>
                    <w:tr2bl w:val="nil"/>
                  </w:tcBorders>
                  <w:noWrap w:val="0"/>
                  <w:vAlign w:val="center"/>
                </w:tcPr>
                <w:p w14:paraId="7ACAAC5E">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10.VOCs无组织排放废气收集处理系统要求</w:t>
                  </w:r>
                </w:p>
              </w:tc>
              <w:tc>
                <w:tcPr>
                  <w:tcW w:w="3355" w:type="dxa"/>
                  <w:tcBorders>
                    <w:tl2br w:val="nil"/>
                    <w:tr2bl w:val="nil"/>
                  </w:tcBorders>
                  <w:noWrap w:val="0"/>
                  <w:vAlign w:val="center"/>
                </w:tcPr>
                <w:p w14:paraId="576ACB91">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10.1.2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p w14:paraId="2E6035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10.3.1VOCs废气收集处理系统污染物排放应符合DB16297或相关行业排放标准的规定。</w:t>
                  </w:r>
                </w:p>
                <w:p w14:paraId="3805B09F">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10.3.2收集的废气中NMHC初始排放速率≥3kg/h时，应配置VOCs处理设施，处理效率不应低于80%；对于重点地区。收集的废气中NMHC初始排放速率≥2kg/h时，应配置VOCs处理设施，处理效率不应低于80%；采用的原辅材料符合国家有关低VOCs含量产品规定的要求</w:t>
                  </w:r>
                  <w:r>
                    <w:rPr>
                      <w:rFonts w:hint="eastAsia" w:ascii="Times New Roman" w:hAnsi="Times New Roman" w:cs="Times New Roman"/>
                      <w:color w:val="auto"/>
                      <w:sz w:val="21"/>
                      <w:szCs w:val="21"/>
                      <w:lang w:val="en-US" w:eastAsia="zh-CN"/>
                    </w:rPr>
                    <w:t>。</w:t>
                  </w:r>
                </w:p>
              </w:tc>
              <w:tc>
                <w:tcPr>
                  <w:tcW w:w="1539" w:type="dxa"/>
                  <w:tcBorders>
                    <w:tl2br w:val="nil"/>
                    <w:tr2bl w:val="nil"/>
                  </w:tcBorders>
                  <w:noWrap w:val="0"/>
                  <w:vAlign w:val="center"/>
                </w:tcPr>
                <w:p w14:paraId="398A942E">
                  <w:pPr>
                    <w:pStyle w:val="23"/>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w:t>
                  </w:r>
                  <w:r>
                    <w:rPr>
                      <w:rFonts w:hint="default" w:ascii="Times New Roman" w:hAnsi="Times New Roman" w:cs="Times New Roman"/>
                      <w:color w:val="auto"/>
                      <w:sz w:val="21"/>
                      <w:szCs w:val="21"/>
                      <w:lang w:val="en-US" w:eastAsia="zh-CN"/>
                    </w:rPr>
                    <w:t>项目VOCs废气收集处理系统应与生产工艺设备同步运行</w:t>
                  </w:r>
                  <w:r>
                    <w:rPr>
                      <w:rFonts w:hint="eastAsia" w:ascii="Times New Roman" w:hAnsi="Times New Roman" w:cs="Times New Roman"/>
                      <w:color w:val="auto"/>
                      <w:sz w:val="21"/>
                      <w:szCs w:val="21"/>
                      <w:lang w:val="en-US" w:eastAsia="zh-CN"/>
                    </w:rPr>
                    <w:t>，收集系统符合</w:t>
                  </w:r>
                  <w:r>
                    <w:rPr>
                      <w:rFonts w:hint="default" w:ascii="Times New Roman" w:hAnsi="Times New Roman" w:cs="Times New Roman"/>
                      <w:color w:val="auto"/>
                      <w:sz w:val="21"/>
                      <w:szCs w:val="21"/>
                      <w:lang w:val="en-US" w:eastAsia="zh-CN"/>
                    </w:rPr>
                    <w:t>DB16297</w:t>
                  </w:r>
                  <w:r>
                    <w:rPr>
                      <w:rFonts w:hint="eastAsia" w:ascii="Times New Roman" w:hAnsi="Times New Roman" w:cs="Times New Roman"/>
                      <w:color w:val="auto"/>
                      <w:sz w:val="21"/>
                      <w:szCs w:val="21"/>
                      <w:lang w:val="en-US" w:eastAsia="zh-CN"/>
                    </w:rPr>
                    <w:t>规定；</w:t>
                  </w:r>
                  <w:r>
                    <w:rPr>
                      <w:rFonts w:hint="default" w:ascii="Times New Roman" w:hAnsi="Times New Roman" w:cs="Times New Roman"/>
                      <w:color w:val="auto"/>
                      <w:sz w:val="21"/>
                      <w:szCs w:val="21"/>
                      <w:lang w:val="en-US" w:eastAsia="zh-CN"/>
                    </w:rPr>
                    <w:t>VOCs处理设施处理效率不低于80%</w:t>
                  </w:r>
                  <w:r>
                    <w:rPr>
                      <w:rFonts w:hint="eastAsia" w:ascii="Times New Roman" w:hAnsi="Times New Roman" w:cs="Times New Roman"/>
                      <w:color w:val="auto"/>
                      <w:sz w:val="21"/>
                      <w:szCs w:val="21"/>
                      <w:lang w:val="en-US" w:eastAsia="zh-CN"/>
                    </w:rPr>
                    <w:t>。</w:t>
                  </w:r>
                </w:p>
              </w:tc>
              <w:tc>
                <w:tcPr>
                  <w:tcW w:w="982" w:type="dxa"/>
                  <w:tcBorders>
                    <w:tl2br w:val="nil"/>
                    <w:tr2bl w:val="nil"/>
                  </w:tcBorders>
                  <w:noWrap w:val="0"/>
                  <w:vAlign w:val="center"/>
                </w:tcPr>
                <w:p w14:paraId="6E7182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符合</w:t>
                  </w:r>
                </w:p>
              </w:tc>
            </w:tr>
          </w:tbl>
          <w:p w14:paraId="79DEF34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综上，项目符合《挥发性有机物无组织排放控制标准》（GB37822-2019）要求</w:t>
            </w:r>
            <w:r>
              <w:rPr>
                <w:rFonts w:hint="eastAsia" w:ascii="Times New Roman" w:hAnsi="Times New Roman" w:eastAsia="宋体" w:cs="Times New Roman"/>
                <w:b w:val="0"/>
                <w:bCs/>
                <w:color w:val="auto"/>
                <w:sz w:val="24"/>
                <w:szCs w:val="24"/>
                <w:lang w:val="en-US" w:eastAsia="zh-CN"/>
              </w:rPr>
              <w:t>。</w:t>
            </w:r>
          </w:p>
          <w:p w14:paraId="5D6AFF0E">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eastAsia" w:ascii="Times New Roman" w:hAnsi="Times New Roman" w:eastAsia="宋体" w:cs="Times New Roman"/>
                <w:b/>
                <w:bCs/>
                <w:color w:val="auto"/>
                <w:kern w:val="0"/>
                <w:sz w:val="24"/>
                <w:szCs w:val="24"/>
                <w:highlight w:val="none"/>
                <w:lang w:val="en-US" w:eastAsia="zh-CN"/>
              </w:rPr>
            </w:pPr>
            <w:r>
              <w:rPr>
                <w:rFonts w:hint="eastAsia" w:ascii="Times New Roman" w:hAnsi="Times New Roman" w:eastAsia="宋体" w:cs="Times New Roman"/>
                <w:b/>
                <w:bCs/>
                <w:color w:val="auto"/>
                <w:kern w:val="0"/>
                <w:sz w:val="24"/>
                <w:szCs w:val="24"/>
                <w:highlight w:val="none"/>
                <w:lang w:val="en-US" w:eastAsia="zh-CN"/>
              </w:rPr>
              <w:t>20.与《山东省涉挥发性有机物企业分行业治理指导意见》符合性分析</w:t>
            </w:r>
          </w:p>
          <w:p w14:paraId="6A193956">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0" w:firstLineChars="0"/>
              <w:jc w:val="center"/>
              <w:textAlignment w:val="auto"/>
              <w:rPr>
                <w:rFonts w:hint="eastAsia"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ascii="Times New Roman" w:hAnsi="Times New Roman" w:eastAsia="黑体" w:cs="Times New Roman"/>
                <w:b w:val="0"/>
                <w:bCs w:val="0"/>
                <w:color w:val="auto"/>
                <w:kern w:val="0"/>
                <w:sz w:val="24"/>
                <w:szCs w:val="24"/>
                <w:lang w:val="en-US" w:eastAsia="zh-CN"/>
              </w:rPr>
              <w:t>1</w:t>
            </w:r>
            <w:r>
              <w:rPr>
                <w:rFonts w:hint="eastAsia" w:eastAsia="黑体" w:cs="Times New Roman"/>
                <w:b w:val="0"/>
                <w:bCs w:val="0"/>
                <w:color w:val="auto"/>
                <w:kern w:val="0"/>
                <w:sz w:val="24"/>
                <w:szCs w:val="24"/>
                <w:lang w:val="en-US" w:eastAsia="zh-CN"/>
              </w:rPr>
              <w:t>9</w:t>
            </w:r>
            <w:r>
              <w:rPr>
                <w:rFonts w:hint="eastAsia" w:ascii="Times New Roman" w:hAnsi="Times New Roman" w:eastAsia="黑体" w:cs="Times New Roman"/>
                <w:b w:val="0"/>
                <w:bCs w:val="0"/>
                <w:color w:val="auto"/>
                <w:kern w:val="0"/>
                <w:sz w:val="24"/>
                <w:szCs w:val="24"/>
                <w:lang w:val="en-US" w:eastAsia="zh-CN"/>
              </w:rPr>
              <w:t xml:space="preserve"> 与《山东省涉挥发性有机物企业分行业治理指导意见》符合性分析</w:t>
            </w:r>
          </w:p>
          <w:tbl>
            <w:tblPr>
              <w:tblStyle w:val="25"/>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28"/>
              <w:gridCol w:w="2527"/>
              <w:gridCol w:w="845"/>
            </w:tblGrid>
            <w:tr w14:paraId="6B550D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28" w:type="dxa"/>
                  <w:tcBorders>
                    <w:tl2br w:val="nil"/>
                    <w:tr2bl w:val="nil"/>
                  </w:tcBorders>
                  <w:noWrap w:val="0"/>
                  <w:vAlign w:val="center"/>
                </w:tcPr>
                <w:p w14:paraId="5F3CFBD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kern w:val="2"/>
                      <w:sz w:val="21"/>
                      <w:szCs w:val="21"/>
                      <w:lang w:val="en-US" w:eastAsia="zh-CN" w:bidi="ar-SA"/>
                    </w:rPr>
                  </w:pPr>
                  <w:r>
                    <w:rPr>
                      <w:rFonts w:hint="eastAsia" w:ascii="Times New Roman" w:hAnsi="Times New Roman" w:cs="Times New Roman"/>
                      <w:b/>
                      <w:bCs/>
                      <w:color w:val="auto"/>
                      <w:spacing w:val="0"/>
                      <w:kern w:val="2"/>
                      <w:sz w:val="21"/>
                      <w:szCs w:val="21"/>
                      <w:lang w:val="en-US" w:eastAsia="zh-CN" w:bidi="ar-SA"/>
                    </w:rPr>
                    <w:t>文件要求</w:t>
                  </w:r>
                </w:p>
              </w:tc>
              <w:tc>
                <w:tcPr>
                  <w:tcW w:w="2527" w:type="dxa"/>
                  <w:tcBorders>
                    <w:tl2br w:val="nil"/>
                    <w:tr2bl w:val="nil"/>
                  </w:tcBorders>
                  <w:noWrap w:val="0"/>
                  <w:vAlign w:val="center"/>
                </w:tcPr>
                <w:p w14:paraId="4DB3668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kern w:val="2"/>
                      <w:sz w:val="21"/>
                      <w:szCs w:val="21"/>
                      <w:lang w:val="en-US" w:eastAsia="zh-CN" w:bidi="ar-SA"/>
                    </w:rPr>
                  </w:pPr>
                  <w:r>
                    <w:rPr>
                      <w:rFonts w:hint="default" w:ascii="Times New Roman" w:hAnsi="Times New Roman" w:eastAsia="宋体" w:cs="Times New Roman"/>
                      <w:b/>
                      <w:bCs/>
                      <w:color w:val="auto"/>
                      <w:spacing w:val="0"/>
                      <w:kern w:val="2"/>
                      <w:sz w:val="21"/>
                      <w:szCs w:val="21"/>
                      <w:lang w:val="en-US" w:eastAsia="en-US" w:bidi="ar-SA"/>
                    </w:rPr>
                    <w:t>本项目情况</w:t>
                  </w:r>
                </w:p>
              </w:tc>
              <w:tc>
                <w:tcPr>
                  <w:tcW w:w="845" w:type="dxa"/>
                  <w:tcBorders>
                    <w:tl2br w:val="nil"/>
                    <w:tr2bl w:val="nil"/>
                  </w:tcBorders>
                  <w:noWrap w:val="0"/>
                  <w:vAlign w:val="center"/>
                </w:tcPr>
                <w:p w14:paraId="39A024E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kern w:val="2"/>
                      <w:sz w:val="21"/>
                      <w:szCs w:val="21"/>
                      <w:lang w:val="en-US" w:eastAsia="zh-CN" w:bidi="ar-SA"/>
                    </w:rPr>
                  </w:pPr>
                  <w:r>
                    <w:rPr>
                      <w:rFonts w:hint="default" w:ascii="Times New Roman" w:hAnsi="Times New Roman" w:eastAsia="宋体" w:cs="Times New Roman"/>
                      <w:b/>
                      <w:bCs/>
                      <w:color w:val="auto"/>
                      <w:spacing w:val="0"/>
                      <w:kern w:val="2"/>
                      <w:sz w:val="21"/>
                      <w:szCs w:val="21"/>
                      <w:lang w:val="en-US" w:eastAsia="en-US" w:bidi="ar-SA"/>
                    </w:rPr>
                    <w:t>符合性</w:t>
                  </w:r>
                </w:p>
              </w:tc>
            </w:tr>
            <w:tr w14:paraId="1F74BF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28" w:type="dxa"/>
                  <w:tcBorders>
                    <w:tl2br w:val="nil"/>
                    <w:tr2bl w:val="nil"/>
                  </w:tcBorders>
                  <w:noWrap w:val="0"/>
                  <w:vAlign w:val="center"/>
                </w:tcPr>
                <w:p w14:paraId="423A735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一）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p>
              </w:tc>
              <w:tc>
                <w:tcPr>
                  <w:tcW w:w="2527" w:type="dxa"/>
                  <w:tcBorders>
                    <w:tl2br w:val="nil"/>
                    <w:tr2bl w:val="nil"/>
                  </w:tcBorders>
                  <w:noWrap w:val="0"/>
                  <w:vAlign w:val="center"/>
                </w:tcPr>
                <w:p w14:paraId="0B18CB9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项目不涉及</w:t>
                  </w:r>
                  <w:r>
                    <w:rPr>
                      <w:rFonts w:hint="default" w:ascii="Times New Roman" w:hAnsi="Times New Roman" w:eastAsia="宋体" w:cs="Times New Roman"/>
                      <w:color w:val="auto"/>
                      <w:spacing w:val="0"/>
                      <w:kern w:val="2"/>
                      <w:sz w:val="21"/>
                      <w:szCs w:val="21"/>
                      <w:lang w:val="en-US" w:eastAsia="zh-CN" w:bidi="ar-SA"/>
                    </w:rPr>
                    <w:t>溶剂型涂料、油墨、胶粘剂、清洗剂</w:t>
                  </w:r>
                  <w:r>
                    <w:rPr>
                      <w:rFonts w:hint="eastAsia" w:ascii="Times New Roman" w:hAnsi="Times New Roman" w:cs="Times New Roman"/>
                      <w:color w:val="auto"/>
                      <w:spacing w:val="0"/>
                      <w:kern w:val="2"/>
                      <w:sz w:val="21"/>
                      <w:szCs w:val="21"/>
                      <w:lang w:val="en-US" w:eastAsia="zh-CN" w:bidi="ar-SA"/>
                    </w:rPr>
                    <w:t>等使用</w:t>
                  </w:r>
                  <w:r>
                    <w:rPr>
                      <w:rFonts w:hint="eastAsia" w:cs="Times New Roman"/>
                      <w:color w:val="auto"/>
                      <w:spacing w:val="0"/>
                      <w:kern w:val="2"/>
                      <w:sz w:val="21"/>
                      <w:szCs w:val="21"/>
                      <w:lang w:val="en-US" w:eastAsia="zh-CN" w:bidi="ar-SA"/>
                    </w:rPr>
                    <w:t>。</w:t>
                  </w:r>
                </w:p>
              </w:tc>
              <w:tc>
                <w:tcPr>
                  <w:tcW w:w="845" w:type="dxa"/>
                  <w:tcBorders>
                    <w:tl2br w:val="nil"/>
                    <w:tr2bl w:val="nil"/>
                  </w:tcBorders>
                  <w:noWrap w:val="0"/>
                  <w:vAlign w:val="center"/>
                </w:tcPr>
                <w:p w14:paraId="50AC835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符合</w:t>
                  </w:r>
                </w:p>
              </w:tc>
            </w:tr>
            <w:tr w14:paraId="13ACC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28" w:type="dxa"/>
                  <w:tcBorders>
                    <w:tl2br w:val="nil"/>
                    <w:tr2bl w:val="nil"/>
                  </w:tcBorders>
                  <w:noWrap w:val="0"/>
                  <w:vAlign w:val="center"/>
                </w:tcPr>
                <w:p w14:paraId="541B601B">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二）加强过程控制。1.加强无组织排放控制。重点对含VOCs物料（包括含VOCs原辅材料、含VOCs产品、含VOCs废料以及有机聚合物材料等）储存、转移和输送、设备与管线组件泄漏、敞开液面逸散、工艺过程等五类排放源实施管控，通过采取设备与场所密闭、工艺改进、废气有效收集等措施，削减VOCs无组织排放。2.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收集运输、储存和处理过程，应加盖密闭。含VOCs物料生产和使用过程，应采取有效收集措施或在密闭空间中操作。3.推进使用先进生产工艺。通过采用全密闭、连续化、自动化等生产技术，以及高效工艺与设备等，减少工艺过程无组织排放。挥发性有机液体装载优先采用底部装载方式。4.遵循“应收尽收、分质收集”的原则，科学设计废气收集系统，将无组织排放转变为有组织排放进行控制。采用全密闭措施的，除行业有特殊要求外，应保持微负压状态，并根据相关规范合理设置配风量。采用局部集气罩的，距集气罩开口面最远处的VOCs无组织排放位置，控制风速应不低于0.3米/秒，有行业要求的按照相关规定执行；集气罩的设计、安装应符合《机械安全局部排气通风系统安全要求》(GB/T35077)，通风管路设计应符合《通风管道技术规程》(JGJ/T141)等相关规范要求，VOCs废气管路不得与其他废气管路合并。5.推进建设适宜高效的治污设施。企业新建治污设施或对现有治污设施实施改造，应依据排放废气的浓度、组分风量，温度、湿度、压力，以及生产工况等，合理选择治理技术。鼓励企业采用多种技术的组合工艺，提高VOCs治理效率。6.治污设施的设计与安装应充分考虑安全性、经济性及适用性。具有黏连性、积聚自燃性、高沸点、与碳发生化学反应的有机废气，不宜采用活性炭吸附、光催化氧化、低温等离子等治污设施。含有酸性物质的有机废气，应充分考虑对治污设施的腐蚀等影响因素。含有颗粒物的废气，为保障VOCs治污设施运行的稳定性，宜进行预处理降低颗粒物浓度。含卤素的有机废气，在使用直接燃烧、蓄热式燃烧等处理工艺时，宜采用急冷等方式减少二噁英的产生。使用臭氧发生器等基于臭氧发生原理的治污设施，应采取有效措施降低臭氧逸散对周边环境的影响。采用吸附处理工艺的，应满足《吸附法工业有机废气治理工程技术规范》(HJ2026)要求。采用催化燃烧工艺的，应满足《催化燃烧法工业有机废气治理工程技术规范》(HJ2027)要求。采用蓄热燃烧等工艺的，应按相关技术规范要求设计。</w:t>
                  </w:r>
                </w:p>
              </w:tc>
              <w:tc>
                <w:tcPr>
                  <w:tcW w:w="2527" w:type="dxa"/>
                  <w:tcBorders>
                    <w:tl2br w:val="nil"/>
                    <w:tr2bl w:val="nil"/>
                  </w:tcBorders>
                  <w:noWrap w:val="0"/>
                  <w:vAlign w:val="center"/>
                </w:tcPr>
                <w:p w14:paraId="6BE3315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陶瓷喷墨墨水生产过程中蒸发产生的VOCs，经集气罩收集后，经二级活性炭（TA005）处理后经过15m高排气筒（DA005）</w:t>
                  </w:r>
                  <w:r>
                    <w:rPr>
                      <w:rFonts w:hint="eastAsia" w:cs="Times New Roman"/>
                      <w:bCs/>
                      <w:color w:val="auto"/>
                      <w:sz w:val="21"/>
                      <w:szCs w:val="21"/>
                      <w:highlight w:val="none"/>
                      <w:vertAlign w:val="baseline"/>
                      <w:lang w:val="en-US" w:eastAsia="zh-CN"/>
                    </w:rPr>
                    <w:t>达标排放</w:t>
                  </w:r>
                  <w:r>
                    <w:rPr>
                      <w:rFonts w:hint="default" w:ascii="Times New Roman" w:hAnsi="Times New Roman" w:cs="Times New Roman"/>
                      <w:bCs/>
                      <w:color w:val="auto"/>
                      <w:sz w:val="21"/>
                      <w:szCs w:val="21"/>
                      <w:highlight w:val="none"/>
                      <w:vertAlign w:val="baseline"/>
                      <w:lang w:val="en-US" w:eastAsia="zh-CN"/>
                    </w:rPr>
                    <w:t>。</w:t>
                  </w:r>
                </w:p>
              </w:tc>
              <w:tc>
                <w:tcPr>
                  <w:tcW w:w="845" w:type="dxa"/>
                  <w:tcBorders>
                    <w:tl2br w:val="nil"/>
                    <w:tr2bl w:val="nil"/>
                  </w:tcBorders>
                  <w:noWrap w:val="0"/>
                  <w:vAlign w:val="center"/>
                </w:tcPr>
                <w:p w14:paraId="04B2E41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符合</w:t>
                  </w:r>
                </w:p>
              </w:tc>
            </w:tr>
            <w:tr w14:paraId="3D30F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28" w:type="dxa"/>
                  <w:tcBorders>
                    <w:tl2br w:val="nil"/>
                    <w:tr2bl w:val="nil"/>
                  </w:tcBorders>
                  <w:noWrap w:val="0"/>
                  <w:vAlign w:val="center"/>
                </w:tcPr>
                <w:p w14:paraId="52F81D9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color w:val="auto"/>
                      <w:spacing w:val="0"/>
                      <w:kern w:val="2"/>
                      <w:sz w:val="21"/>
                      <w:szCs w:val="21"/>
                      <w:lang w:val="en-US" w:eastAsia="zh-CN" w:bidi="ar-SA"/>
                    </w:rPr>
                    <w:t>（三）加强末端管控。实行重点排放源排放浓度与去除效率双重控制。车间或生产设施收集排放的废气，VOCs初始排放速率大于等于3千克/小时、重点区域大于等于2千克/小时的，应加大控制力度，除确保排放浓度稳定达标外，还应实行去除效率控制，VOCs去除率应不低于80%。有行业排放标准的按其相关规定执行</w:t>
                  </w:r>
                </w:p>
              </w:tc>
              <w:tc>
                <w:tcPr>
                  <w:tcW w:w="2527" w:type="dxa"/>
                  <w:tcBorders>
                    <w:tl2br w:val="nil"/>
                    <w:tr2bl w:val="nil"/>
                  </w:tcBorders>
                  <w:noWrap w:val="0"/>
                  <w:vAlign w:val="center"/>
                </w:tcPr>
                <w:p w14:paraId="5A9EDF8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position w:val="0"/>
                      <w:sz w:val="21"/>
                      <w:szCs w:val="21"/>
                      <w:lang w:val="en-US" w:eastAsia="zh-CN"/>
                    </w:rPr>
                    <w:t>本项目VOCs去除率不低于80%。</w:t>
                  </w:r>
                </w:p>
              </w:tc>
              <w:tc>
                <w:tcPr>
                  <w:tcW w:w="845" w:type="dxa"/>
                  <w:tcBorders>
                    <w:tl2br w:val="nil"/>
                    <w:tr2bl w:val="nil"/>
                  </w:tcBorders>
                  <w:noWrap w:val="0"/>
                  <w:vAlign w:val="center"/>
                </w:tcPr>
                <w:p w14:paraId="7DB1E4F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符合</w:t>
                  </w:r>
                </w:p>
              </w:tc>
            </w:tr>
          </w:tbl>
          <w:p w14:paraId="43D4F988">
            <w:pPr>
              <w:keepNext w:val="0"/>
              <w:keepLines w:val="0"/>
              <w:pageBreakBefore w:val="0"/>
              <w:widowControl w:val="0"/>
              <w:shd w:val="clear"/>
              <w:kinsoku/>
              <w:wordWrap/>
              <w:overflowPunct/>
              <w:topLinePunct w:val="0"/>
              <w:autoSpaceDE w:val="0"/>
              <w:autoSpaceDN w:val="0"/>
              <w:bidi w:val="0"/>
              <w:adjustRightInd w:val="0"/>
              <w:snapToGrid w:val="0"/>
              <w:spacing w:line="480" w:lineRule="exact"/>
              <w:ind w:firstLine="482" w:firstLineChars="200"/>
              <w:textAlignment w:val="auto"/>
              <w:rPr>
                <w:rFonts w:hint="eastAsia" w:ascii="Times New Roman" w:hAnsi="Times New Roman" w:eastAsia="宋体" w:cs="Times New Roman"/>
                <w:b/>
                <w:bCs/>
                <w:color w:val="auto"/>
                <w:kern w:val="0"/>
                <w:sz w:val="24"/>
                <w:szCs w:val="24"/>
                <w:highlight w:val="none"/>
                <w:lang w:val="en-US" w:eastAsia="zh-CN"/>
              </w:rPr>
            </w:pPr>
            <w:r>
              <w:rPr>
                <w:rFonts w:hint="eastAsia" w:ascii="Times New Roman" w:hAnsi="Times New Roman" w:eastAsia="宋体" w:cs="Times New Roman"/>
                <w:b/>
                <w:bCs/>
                <w:color w:val="auto"/>
                <w:kern w:val="0"/>
                <w:sz w:val="24"/>
                <w:szCs w:val="24"/>
                <w:highlight w:val="none"/>
                <w:lang w:val="en-US" w:eastAsia="zh-CN"/>
              </w:rPr>
              <w:t>21.与《山东省化工行业投资管理规定》（鲁工信发[2022]5号）符合性分析</w:t>
            </w:r>
          </w:p>
          <w:p w14:paraId="53F8F1AC">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0" w:firstLineChars="0"/>
              <w:jc w:val="center"/>
              <w:textAlignment w:val="auto"/>
              <w:rPr>
                <w:rFonts w:hint="eastAsia"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eastAsia="黑体" w:cs="Times New Roman"/>
                <w:b w:val="0"/>
                <w:bCs w:val="0"/>
                <w:color w:val="auto"/>
                <w:kern w:val="0"/>
                <w:sz w:val="24"/>
                <w:szCs w:val="24"/>
                <w:lang w:val="en-US" w:eastAsia="zh-CN"/>
              </w:rPr>
              <w:t>20</w:t>
            </w:r>
            <w:r>
              <w:rPr>
                <w:rFonts w:hint="eastAsia" w:ascii="Times New Roman" w:hAnsi="Times New Roman" w:eastAsia="黑体" w:cs="Times New Roman"/>
                <w:b w:val="0"/>
                <w:bCs w:val="0"/>
                <w:color w:val="auto"/>
                <w:kern w:val="0"/>
                <w:sz w:val="24"/>
                <w:szCs w:val="24"/>
                <w:lang w:val="en-US" w:eastAsia="zh-CN"/>
              </w:rPr>
              <w:t xml:space="preserve"> 与《山东省化工行业投资管理规定》符合性分析</w:t>
            </w:r>
          </w:p>
          <w:tbl>
            <w:tblPr>
              <w:tblStyle w:val="25"/>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28"/>
              <w:gridCol w:w="2527"/>
              <w:gridCol w:w="845"/>
            </w:tblGrid>
            <w:tr w14:paraId="7CE75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28" w:type="dxa"/>
                  <w:tcBorders>
                    <w:tl2br w:val="nil"/>
                    <w:tr2bl w:val="nil"/>
                  </w:tcBorders>
                  <w:noWrap w:val="0"/>
                  <w:vAlign w:val="center"/>
                </w:tcPr>
                <w:p w14:paraId="2E1D502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kern w:val="2"/>
                      <w:sz w:val="21"/>
                      <w:szCs w:val="21"/>
                      <w:lang w:val="en-US" w:eastAsia="zh-CN" w:bidi="ar-SA"/>
                    </w:rPr>
                  </w:pPr>
                  <w:r>
                    <w:rPr>
                      <w:rFonts w:hint="eastAsia" w:ascii="Times New Roman" w:hAnsi="Times New Roman" w:cs="Times New Roman"/>
                      <w:b/>
                      <w:bCs/>
                      <w:color w:val="auto"/>
                      <w:spacing w:val="0"/>
                      <w:kern w:val="2"/>
                      <w:sz w:val="21"/>
                      <w:szCs w:val="21"/>
                      <w:lang w:val="en-US" w:eastAsia="zh-CN" w:bidi="ar-SA"/>
                    </w:rPr>
                    <w:t>文件要求</w:t>
                  </w:r>
                </w:p>
              </w:tc>
              <w:tc>
                <w:tcPr>
                  <w:tcW w:w="2527" w:type="dxa"/>
                  <w:tcBorders>
                    <w:tl2br w:val="nil"/>
                    <w:tr2bl w:val="nil"/>
                  </w:tcBorders>
                  <w:noWrap w:val="0"/>
                  <w:vAlign w:val="center"/>
                </w:tcPr>
                <w:p w14:paraId="1274EFF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kern w:val="2"/>
                      <w:sz w:val="21"/>
                      <w:szCs w:val="21"/>
                      <w:lang w:val="en-US" w:eastAsia="zh-CN" w:bidi="ar-SA"/>
                    </w:rPr>
                  </w:pPr>
                  <w:r>
                    <w:rPr>
                      <w:rFonts w:hint="default" w:ascii="Times New Roman" w:hAnsi="Times New Roman" w:eastAsia="宋体" w:cs="Times New Roman"/>
                      <w:b/>
                      <w:bCs/>
                      <w:color w:val="auto"/>
                      <w:spacing w:val="0"/>
                      <w:kern w:val="2"/>
                      <w:sz w:val="21"/>
                      <w:szCs w:val="21"/>
                      <w:lang w:val="en-US" w:eastAsia="en-US" w:bidi="ar-SA"/>
                    </w:rPr>
                    <w:t>本项目情况</w:t>
                  </w:r>
                </w:p>
              </w:tc>
              <w:tc>
                <w:tcPr>
                  <w:tcW w:w="845" w:type="dxa"/>
                  <w:tcBorders>
                    <w:tl2br w:val="nil"/>
                    <w:tr2bl w:val="nil"/>
                  </w:tcBorders>
                  <w:noWrap w:val="0"/>
                  <w:vAlign w:val="center"/>
                </w:tcPr>
                <w:p w14:paraId="51DD937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kern w:val="2"/>
                      <w:sz w:val="21"/>
                      <w:szCs w:val="21"/>
                      <w:lang w:val="en-US" w:eastAsia="zh-CN" w:bidi="ar-SA"/>
                    </w:rPr>
                  </w:pPr>
                  <w:r>
                    <w:rPr>
                      <w:rFonts w:hint="default" w:ascii="Times New Roman" w:hAnsi="Times New Roman" w:eastAsia="宋体" w:cs="Times New Roman"/>
                      <w:b/>
                      <w:bCs/>
                      <w:color w:val="auto"/>
                      <w:spacing w:val="0"/>
                      <w:kern w:val="2"/>
                      <w:sz w:val="21"/>
                      <w:szCs w:val="21"/>
                      <w:lang w:val="en-US" w:eastAsia="en-US" w:bidi="ar-SA"/>
                    </w:rPr>
                    <w:t>符合性</w:t>
                  </w:r>
                </w:p>
              </w:tc>
            </w:tr>
            <w:tr w14:paraId="5FE3DA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28" w:type="dxa"/>
                  <w:tcBorders>
                    <w:tl2br w:val="nil"/>
                    <w:tr2bl w:val="nil"/>
                  </w:tcBorders>
                  <w:noWrap w:val="0"/>
                  <w:vAlign w:val="center"/>
                </w:tcPr>
                <w:p w14:paraId="487F645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kern w:val="2"/>
                      <w:sz w:val="21"/>
                      <w:szCs w:val="21"/>
                      <w:lang w:val="en-US" w:eastAsia="zh-CN" w:bidi="ar-SA"/>
                    </w:rPr>
                    <w:t>第十二条符合下列情形之一的化工项目，除国家另有规定的外，可以在省政府认定的化工园区、专业化工园区和重点监控点外实施，且不受投资额限制。</w:t>
                  </w:r>
                </w:p>
                <w:p w14:paraId="0DDC83D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kern w:val="2"/>
                      <w:sz w:val="21"/>
                      <w:szCs w:val="21"/>
                      <w:lang w:val="en-US" w:eastAsia="zh-CN" w:bidi="ar-SA"/>
                    </w:rPr>
                    <w:t>(一) 2625 有机肥料及微生物肥料制造、2682化妆品制造、2683口腔清洁用品制造、291橡胶制品业项目。</w:t>
                  </w:r>
                </w:p>
                <w:p w14:paraId="651DD4F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kern w:val="2"/>
                      <w:sz w:val="21"/>
                      <w:szCs w:val="21"/>
                      <w:lang w:val="en-US" w:eastAsia="zh-CN" w:bidi="ar-SA"/>
                    </w:rPr>
                    <w:t>(二)列入《建设项目环境影响评价分类管理名录》的环评类别为报告表、登记表的非危险化学品项目。</w:t>
                  </w:r>
                </w:p>
                <w:p w14:paraId="6F1AB83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kern w:val="2"/>
                      <w:sz w:val="21"/>
                      <w:szCs w:val="21"/>
                      <w:lang w:val="en-US" w:eastAsia="zh-CN" w:bidi="ar-SA"/>
                    </w:rPr>
                    <w:t>(三)海水或卤水提取溴素、二氧化碳收集、新建大型冶金项目配套焦化和制酸、可再生能源发电制氢、为非化工项目配套的空分以及依托钢铁企业副产煤气就地实施钢化联产项目。</w:t>
                  </w:r>
                </w:p>
              </w:tc>
              <w:tc>
                <w:tcPr>
                  <w:tcW w:w="2527" w:type="dxa"/>
                  <w:tcBorders>
                    <w:tl2br w:val="nil"/>
                    <w:tr2bl w:val="nil"/>
                  </w:tcBorders>
                  <w:noWrap w:val="0"/>
                  <w:vAlign w:val="center"/>
                </w:tcPr>
                <w:p w14:paraId="6690545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本项目属于C2642油墨及类似产品制造行业，符合（二）列入《建设项目环境影响评价分类管理名录》的环评类别为报告表、登记表的非危险化学品项目，</w:t>
                  </w:r>
                  <w:r>
                    <w:rPr>
                      <w:rFonts w:hint="eastAsia" w:ascii="Times New Roman" w:hAnsi="Times New Roman" w:eastAsia="宋体" w:cs="Times New Roman"/>
                      <w:color w:val="auto"/>
                      <w:spacing w:val="0"/>
                      <w:kern w:val="2"/>
                      <w:sz w:val="21"/>
                      <w:szCs w:val="21"/>
                      <w:lang w:val="en-US" w:eastAsia="zh-CN" w:bidi="ar-SA"/>
                    </w:rPr>
                    <w:t>可以在省政府认定的化工园区、专业化工园区和重点监控点外实施，且不受投资额限制。</w:t>
                  </w:r>
                </w:p>
              </w:tc>
              <w:tc>
                <w:tcPr>
                  <w:tcW w:w="845" w:type="dxa"/>
                  <w:tcBorders>
                    <w:tl2br w:val="nil"/>
                    <w:tr2bl w:val="nil"/>
                  </w:tcBorders>
                  <w:noWrap w:val="0"/>
                  <w:vAlign w:val="center"/>
                </w:tcPr>
                <w:p w14:paraId="60BF009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符合</w:t>
                  </w:r>
                </w:p>
              </w:tc>
            </w:tr>
          </w:tbl>
          <w:p w14:paraId="43F8AF47">
            <w:pPr>
              <w:pStyle w:val="30"/>
              <w:rPr>
                <w:rFonts w:hint="default" w:ascii="Times New Roman" w:hAnsi="Times New Roman" w:cs="Times New Roman"/>
                <w:color w:val="auto"/>
                <w:highlight w:val="none"/>
                <w:lang w:val="en-US" w:eastAsia="zh-CN"/>
              </w:rPr>
            </w:pPr>
          </w:p>
          <w:p w14:paraId="7441357C">
            <w:pPr>
              <w:pStyle w:val="30"/>
              <w:rPr>
                <w:rFonts w:hint="default" w:ascii="Times New Roman" w:hAnsi="Times New Roman" w:cs="Times New Roman"/>
                <w:color w:val="auto"/>
                <w:highlight w:val="none"/>
                <w:lang w:val="en-US" w:eastAsia="zh-CN"/>
              </w:rPr>
            </w:pPr>
          </w:p>
        </w:tc>
      </w:tr>
    </w:tbl>
    <w:p w14:paraId="0A6EEDFB">
      <w:pPr>
        <w:shd w:val="clear"/>
        <w:spacing w:line="360" w:lineRule="auto"/>
        <w:outlineLvl w:val="0"/>
        <w:rPr>
          <w:rFonts w:hint="default" w:ascii="Times New Roman" w:hAnsi="Times New Roman" w:eastAsia="黑体" w:cs="Times New Roman"/>
          <w:color w:val="auto"/>
          <w:sz w:val="30"/>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114667FE">
      <w:pPr>
        <w:pStyle w:val="21"/>
        <w:shd w:val="clear"/>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二、建设项目工程分析</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8091"/>
      </w:tblGrid>
      <w:tr w14:paraId="2AC7CA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1" w:hRule="atLeast"/>
          <w:jc w:val="center"/>
        </w:trPr>
        <w:tc>
          <w:tcPr>
            <w:tcW w:w="823" w:type="dxa"/>
            <w:noWrap w:val="0"/>
            <w:vAlign w:val="center"/>
          </w:tcPr>
          <w:p w14:paraId="06772B3F">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建设内容</w:t>
            </w:r>
          </w:p>
        </w:tc>
        <w:tc>
          <w:tcPr>
            <w:tcW w:w="8091" w:type="dxa"/>
            <w:noWrap w:val="0"/>
            <w:vAlign w:val="top"/>
          </w:tcPr>
          <w:p w14:paraId="6B0AD42A">
            <w:pPr>
              <w:keepNext w:val="0"/>
              <w:keepLines w:val="0"/>
              <w:pageBreakBefore w:val="0"/>
              <w:widowControl w:val="0"/>
              <w:shd w:val="clear"/>
              <w:kinsoku/>
              <w:wordWrap/>
              <w:overflowPunct/>
              <w:topLinePunct w:val="0"/>
              <w:autoSpaceDE/>
              <w:autoSpaceDN/>
              <w:bidi w:val="0"/>
              <w:adjustRightInd w:val="0"/>
              <w:snapToGrid w:val="0"/>
              <w:spacing w:line="480" w:lineRule="exact"/>
              <w:ind w:firstLine="482" w:firstLineChars="200"/>
              <w:jc w:val="left"/>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1.建设项目基本情况</w:t>
            </w:r>
          </w:p>
          <w:p w14:paraId="406BAE3E">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淄博锦明陶瓷材料有限公司成立于2011年，位于山东省淄博市淄川区将军路街道办事处河洼村，主要经营范围为陶瓷材料、耐火材料、建筑材料、化工产品（不含危险和易制毒化学品)、钢材、五金交电、卫生洁具销售；陶瓷颜料、铝铁红生产，销售；货物进出口。</w:t>
            </w:r>
          </w:p>
          <w:p w14:paraId="3D528F26">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淄博锦明陶瓷材料有限公司现有“年产500吨铝铁红项目”，于2014年3月建成投产，产能为年产500吨铝铁红。随着市场的发展，为满足市场对产品质量和产品类型不断提高的要求，公司拟投资</w:t>
            </w:r>
            <w:r>
              <w:rPr>
                <w:rFonts w:hint="eastAsia" w:cs="Times New Roman"/>
                <w:bCs/>
                <w:color w:val="auto"/>
                <w:sz w:val="24"/>
                <w:szCs w:val="24"/>
                <w:highlight w:val="none"/>
                <w:lang w:val="en-US" w:eastAsia="zh-CN"/>
              </w:rPr>
              <w:t>4200</w:t>
            </w:r>
            <w:r>
              <w:rPr>
                <w:rFonts w:hint="default" w:ascii="Times New Roman" w:hAnsi="Times New Roman" w:cs="Times New Roman"/>
                <w:bCs/>
                <w:color w:val="auto"/>
                <w:sz w:val="24"/>
                <w:szCs w:val="24"/>
                <w:highlight w:val="none"/>
                <w:lang w:val="en-US" w:eastAsia="zh-CN"/>
              </w:rPr>
              <w:t>万元建设“年产500吨铝铁红技改项目”，在“年产500吨铝铁红项目”基础上进行技术改造，对现有产品方案进行调整。本次技改项目在“年产500吨铝铁红项目”原有工艺基础上新增混料、研磨工序，对铝铁红产品进行深度加工，深度加工后铝铁红产品产能降至420t/a，其中120t铝铁红用于生产陶瓷喷墨墨水。技改项目建成后，全厂产能为铝铁红300t/a，陶瓷喷墨墨水200t/a，产能保持不变。技改项目建设依托厂区原有闲置车间。</w:t>
            </w:r>
          </w:p>
          <w:p w14:paraId="417147E9">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项目名称：淄博锦明陶瓷材料有限公司年产500吨铝铁红技改项目</w:t>
            </w:r>
          </w:p>
          <w:p w14:paraId="57B33DBC">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项目代码：2307-370302-89-02-804329</w:t>
            </w:r>
          </w:p>
          <w:p w14:paraId="22AF1177">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建设单位：淄博锦明陶瓷材料有限公司</w:t>
            </w:r>
          </w:p>
          <w:p w14:paraId="28679DDA">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项目性质：技术改造</w:t>
            </w:r>
          </w:p>
          <w:p w14:paraId="04B0382C">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行业类别：C2642油墨及类似产品制造行业</w:t>
            </w:r>
          </w:p>
          <w:p w14:paraId="0C4F4AD8">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建设地点：淄博市淄川区西外环路将军路街道办事处河洼工业园北首（锦明陶瓷现有厂区内）。</w:t>
            </w:r>
          </w:p>
          <w:p w14:paraId="32630C1F">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占地面积：</w:t>
            </w:r>
            <w:r>
              <w:rPr>
                <w:rFonts w:hint="eastAsia" w:cs="Times New Roman"/>
                <w:bCs/>
                <w:color w:val="auto"/>
                <w:sz w:val="24"/>
                <w:szCs w:val="24"/>
                <w:highlight w:val="none"/>
                <w:lang w:val="en-US" w:eastAsia="zh-CN"/>
              </w:rPr>
              <w:t>7877</w:t>
            </w:r>
            <w:r>
              <w:rPr>
                <w:rFonts w:hint="default" w:ascii="Times New Roman" w:hAnsi="Times New Roman" w:cs="Times New Roman"/>
                <w:bCs/>
                <w:color w:val="auto"/>
                <w:sz w:val="24"/>
                <w:szCs w:val="24"/>
                <w:highlight w:val="none"/>
                <w:lang w:val="en-US" w:eastAsia="zh-CN"/>
              </w:rPr>
              <w:t>m</w:t>
            </w:r>
            <w:r>
              <w:rPr>
                <w:rFonts w:hint="default" w:ascii="Times New Roman" w:hAnsi="Times New Roman" w:cs="Times New Roman"/>
                <w:bCs/>
                <w:color w:val="auto"/>
                <w:sz w:val="24"/>
                <w:szCs w:val="24"/>
                <w:highlight w:val="none"/>
                <w:vertAlign w:val="superscript"/>
                <w:lang w:val="en-US" w:eastAsia="zh-CN"/>
              </w:rPr>
              <w:t>2</w:t>
            </w:r>
          </w:p>
          <w:p w14:paraId="38174444">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投资总额：</w:t>
            </w:r>
            <w:r>
              <w:rPr>
                <w:rFonts w:hint="eastAsia" w:cs="Times New Roman"/>
                <w:bCs/>
                <w:color w:val="auto"/>
                <w:sz w:val="24"/>
                <w:szCs w:val="24"/>
                <w:highlight w:val="none"/>
                <w:lang w:val="en-US" w:eastAsia="zh-CN"/>
              </w:rPr>
              <w:t>4200</w:t>
            </w:r>
            <w:r>
              <w:rPr>
                <w:rFonts w:hint="default" w:ascii="Times New Roman" w:hAnsi="Times New Roman" w:cs="Times New Roman"/>
                <w:bCs/>
                <w:color w:val="auto"/>
                <w:sz w:val="24"/>
                <w:szCs w:val="24"/>
                <w:highlight w:val="none"/>
                <w:lang w:val="en-US" w:eastAsia="zh-CN"/>
              </w:rPr>
              <w:t>.00万元</w:t>
            </w:r>
          </w:p>
          <w:p w14:paraId="479E5347">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生产规模：铝铁红300t/a，陶瓷喷墨墨水200t/a</w:t>
            </w:r>
          </w:p>
          <w:p w14:paraId="1B6C4E49">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建设内容：项目在原有厂区内，利用现有厂房，购置气流磨、混料机、砂磨机等40台套国内生产设备及配套公用设施。项目完成后，原产能保持不变，实现年生产300吨铝铁红及年产200吨陶瓷喷墨墨水。</w:t>
            </w:r>
          </w:p>
          <w:p w14:paraId="42FF02F1">
            <w:pPr>
              <w:keepNext w:val="0"/>
              <w:keepLines w:val="0"/>
              <w:pageBreakBefore w:val="0"/>
              <w:widowControl w:val="0"/>
              <w:shd w:val="clear"/>
              <w:kinsoku/>
              <w:wordWrap/>
              <w:overflowPunct/>
              <w:topLinePunct w:val="0"/>
              <w:autoSpaceDE/>
              <w:autoSpaceDN/>
              <w:bidi w:val="0"/>
              <w:adjustRightInd w:val="0"/>
              <w:snapToGrid w:val="0"/>
              <w:spacing w:line="480" w:lineRule="exact"/>
              <w:ind w:firstLine="482" w:firstLineChars="200"/>
              <w:jc w:val="left"/>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2.项目组成</w:t>
            </w:r>
          </w:p>
          <w:p w14:paraId="036F87E7">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本项目组成见下表：</w:t>
            </w:r>
          </w:p>
          <w:p w14:paraId="55E8D226">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表2-1 建设内容一览表</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281"/>
              <w:gridCol w:w="3956"/>
              <w:gridCol w:w="1503"/>
            </w:tblGrid>
            <w:tr w14:paraId="782835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tcBorders>
                    <w:tl2br w:val="nil"/>
                    <w:tr2bl w:val="nil"/>
                  </w:tcBorders>
                  <w:noWrap w:val="0"/>
                  <w:vAlign w:val="center"/>
                </w:tcPr>
                <w:p w14:paraId="7C30374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工程组成</w:t>
                  </w:r>
                </w:p>
              </w:tc>
              <w:tc>
                <w:tcPr>
                  <w:tcW w:w="1294" w:type="dxa"/>
                  <w:tcBorders>
                    <w:tl2br w:val="nil"/>
                    <w:tr2bl w:val="nil"/>
                  </w:tcBorders>
                  <w:noWrap w:val="0"/>
                  <w:vAlign w:val="center"/>
                </w:tcPr>
                <w:p w14:paraId="791E667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工程名称</w:t>
                  </w:r>
                </w:p>
              </w:tc>
              <w:tc>
                <w:tcPr>
                  <w:tcW w:w="3996" w:type="dxa"/>
                  <w:tcBorders>
                    <w:tl2br w:val="nil"/>
                    <w:tr2bl w:val="nil"/>
                  </w:tcBorders>
                  <w:noWrap w:val="0"/>
                  <w:vAlign w:val="center"/>
                </w:tcPr>
                <w:p w14:paraId="24CE5B8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工程内容</w:t>
                  </w:r>
                </w:p>
              </w:tc>
              <w:tc>
                <w:tcPr>
                  <w:tcW w:w="1509" w:type="dxa"/>
                  <w:tcBorders>
                    <w:tl2br w:val="nil"/>
                    <w:tr2bl w:val="nil"/>
                  </w:tcBorders>
                  <w:noWrap w:val="0"/>
                  <w:vAlign w:val="center"/>
                </w:tcPr>
                <w:p w14:paraId="6CA39D9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备注</w:t>
                  </w:r>
                </w:p>
              </w:tc>
            </w:tr>
            <w:tr w14:paraId="1AC6CF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146" w:type="dxa"/>
                  <w:vMerge w:val="restart"/>
                  <w:tcBorders>
                    <w:tl2br w:val="nil"/>
                    <w:tr2bl w:val="nil"/>
                  </w:tcBorders>
                  <w:noWrap w:val="0"/>
                  <w:vAlign w:val="center"/>
                </w:tcPr>
                <w:p w14:paraId="6A5D9CA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主体工程</w:t>
                  </w:r>
                </w:p>
              </w:tc>
              <w:tc>
                <w:tcPr>
                  <w:tcW w:w="1294" w:type="dxa"/>
                  <w:tcBorders>
                    <w:tl2br w:val="nil"/>
                    <w:tr2bl w:val="nil"/>
                  </w:tcBorders>
                  <w:noWrap w:val="0"/>
                  <w:vAlign w:val="center"/>
                </w:tcPr>
                <w:p w14:paraId="0D66C34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1号车间</w:t>
                  </w:r>
                </w:p>
              </w:tc>
              <w:tc>
                <w:tcPr>
                  <w:tcW w:w="3996" w:type="dxa"/>
                  <w:tcBorders>
                    <w:tl2br w:val="nil"/>
                    <w:tr2bl w:val="nil"/>
                  </w:tcBorders>
                  <w:noWrap w:val="0"/>
                  <w:vAlign w:val="center"/>
                </w:tcPr>
                <w:p w14:paraId="1A6FD4D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1座，1层，总占地面积1050m</w:t>
                  </w:r>
                  <w:r>
                    <w:rPr>
                      <w:rFonts w:hint="default" w:ascii="Times New Roman" w:hAnsi="Times New Roman" w:cs="Times New Roman"/>
                      <w:b/>
                      <w:bCs w:val="0"/>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vertAlign w:val="baseline"/>
                      <w:lang w:val="en-US" w:eastAsia="zh-CN"/>
                    </w:rPr>
                    <w:t>，主要布置搅拌机、砂磨机、蒸发器、储罐等设备。</w:t>
                  </w:r>
                </w:p>
              </w:tc>
              <w:tc>
                <w:tcPr>
                  <w:tcW w:w="1509" w:type="dxa"/>
                  <w:tcBorders>
                    <w:tl2br w:val="nil"/>
                    <w:tr2bl w:val="nil"/>
                  </w:tcBorders>
                  <w:noWrap w:val="0"/>
                  <w:vAlign w:val="center"/>
                </w:tcPr>
                <w:p w14:paraId="44619C6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依托现有厂房，购置新设备</w:t>
                  </w:r>
                </w:p>
              </w:tc>
            </w:tr>
            <w:tr w14:paraId="75B8A9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1146" w:type="dxa"/>
                  <w:vMerge w:val="continue"/>
                  <w:tcBorders>
                    <w:tl2br w:val="nil"/>
                    <w:tr2bl w:val="nil"/>
                  </w:tcBorders>
                  <w:noWrap w:val="0"/>
                  <w:vAlign w:val="center"/>
                </w:tcPr>
                <w:p w14:paraId="681B01B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294" w:type="dxa"/>
                  <w:tcBorders>
                    <w:tl2br w:val="nil"/>
                    <w:tr2bl w:val="nil"/>
                  </w:tcBorders>
                  <w:noWrap w:val="0"/>
                  <w:vAlign w:val="center"/>
                </w:tcPr>
                <w:p w14:paraId="1C1D0A8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2号车间</w:t>
                  </w:r>
                </w:p>
              </w:tc>
              <w:tc>
                <w:tcPr>
                  <w:tcW w:w="3996" w:type="dxa"/>
                  <w:tcBorders>
                    <w:tl2br w:val="nil"/>
                    <w:tr2bl w:val="nil"/>
                  </w:tcBorders>
                  <w:noWrap w:val="0"/>
                  <w:vAlign w:val="center"/>
                </w:tcPr>
                <w:p w14:paraId="1C12DCF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1座，1层，总占地面积410m</w:t>
                  </w:r>
                  <w:r>
                    <w:rPr>
                      <w:rFonts w:hint="default" w:ascii="Times New Roman" w:hAnsi="Times New Roman" w:cs="Times New Roman"/>
                      <w:b/>
                      <w:bCs w:val="0"/>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vertAlign w:val="baseline"/>
                      <w:lang w:val="en-US" w:eastAsia="zh-CN"/>
                    </w:rPr>
                    <w:t>，主要布置混料机、气流磨等设备。</w:t>
                  </w:r>
                </w:p>
              </w:tc>
              <w:tc>
                <w:tcPr>
                  <w:tcW w:w="1509" w:type="dxa"/>
                  <w:tcBorders>
                    <w:tl2br w:val="nil"/>
                    <w:tr2bl w:val="nil"/>
                  </w:tcBorders>
                  <w:noWrap w:val="0"/>
                  <w:vAlign w:val="center"/>
                </w:tcPr>
                <w:p w14:paraId="7968E37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依托现有厂房，购置新设备</w:t>
                  </w:r>
                </w:p>
              </w:tc>
            </w:tr>
            <w:tr w14:paraId="04872B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restart"/>
                  <w:tcBorders>
                    <w:tl2br w:val="nil"/>
                    <w:tr2bl w:val="nil"/>
                  </w:tcBorders>
                  <w:noWrap w:val="0"/>
                  <w:vAlign w:val="center"/>
                </w:tcPr>
                <w:p w14:paraId="3A8E98D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公用工程</w:t>
                  </w:r>
                </w:p>
              </w:tc>
              <w:tc>
                <w:tcPr>
                  <w:tcW w:w="1294" w:type="dxa"/>
                  <w:tcBorders>
                    <w:tl2br w:val="nil"/>
                    <w:tr2bl w:val="nil"/>
                  </w:tcBorders>
                  <w:noWrap w:val="0"/>
                  <w:vAlign w:val="center"/>
                </w:tcPr>
                <w:p w14:paraId="4FADD23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给水系统</w:t>
                  </w:r>
                </w:p>
              </w:tc>
              <w:tc>
                <w:tcPr>
                  <w:tcW w:w="3996" w:type="dxa"/>
                  <w:tcBorders>
                    <w:tl2br w:val="nil"/>
                    <w:tr2bl w:val="nil"/>
                  </w:tcBorders>
                  <w:noWrap w:val="0"/>
                  <w:vAlign w:val="center"/>
                </w:tcPr>
                <w:p w14:paraId="02E681B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项目新鲜水用量202.6m</w:t>
                  </w:r>
                  <w:r>
                    <w:rPr>
                      <w:rFonts w:hint="default" w:ascii="Times New Roman" w:hAnsi="Times New Roman" w:cs="Times New Roman"/>
                      <w:b/>
                      <w:bCs w:val="0"/>
                      <w:color w:val="auto"/>
                      <w:sz w:val="21"/>
                      <w:szCs w:val="21"/>
                      <w:highlight w:val="none"/>
                      <w:vertAlign w:val="superscript"/>
                      <w:lang w:val="en-US" w:eastAsia="zh-CN"/>
                    </w:rPr>
                    <w:t>3</w:t>
                  </w:r>
                  <w:r>
                    <w:rPr>
                      <w:rFonts w:hint="default" w:ascii="Times New Roman" w:hAnsi="Times New Roman" w:cs="Times New Roman"/>
                      <w:bCs/>
                      <w:color w:val="auto"/>
                      <w:sz w:val="21"/>
                      <w:szCs w:val="21"/>
                      <w:highlight w:val="none"/>
                      <w:vertAlign w:val="baseline"/>
                      <w:lang w:val="en-US" w:eastAsia="zh-CN"/>
                    </w:rPr>
                    <w:t>/a，由市政管网提供。</w:t>
                  </w:r>
                </w:p>
              </w:tc>
              <w:tc>
                <w:tcPr>
                  <w:tcW w:w="1509" w:type="dxa"/>
                  <w:tcBorders>
                    <w:tl2br w:val="nil"/>
                    <w:tr2bl w:val="nil"/>
                  </w:tcBorders>
                  <w:noWrap w:val="0"/>
                  <w:vAlign w:val="center"/>
                </w:tcPr>
                <w:p w14:paraId="34B28F5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yellow"/>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依托现有</w:t>
                  </w:r>
                </w:p>
              </w:tc>
            </w:tr>
            <w:tr w14:paraId="3970CA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146" w:type="dxa"/>
                  <w:vMerge w:val="continue"/>
                  <w:tcBorders>
                    <w:tl2br w:val="nil"/>
                    <w:tr2bl w:val="nil"/>
                  </w:tcBorders>
                  <w:noWrap w:val="0"/>
                  <w:vAlign w:val="center"/>
                </w:tcPr>
                <w:p w14:paraId="577FD10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294" w:type="dxa"/>
                  <w:tcBorders>
                    <w:tl2br w:val="nil"/>
                    <w:tr2bl w:val="nil"/>
                  </w:tcBorders>
                  <w:noWrap w:val="0"/>
                  <w:vAlign w:val="center"/>
                </w:tcPr>
                <w:p w14:paraId="328EC59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通风系统</w:t>
                  </w:r>
                </w:p>
              </w:tc>
              <w:tc>
                <w:tcPr>
                  <w:tcW w:w="3996" w:type="dxa"/>
                  <w:tcBorders>
                    <w:tl2br w:val="nil"/>
                    <w:tr2bl w:val="nil"/>
                  </w:tcBorders>
                  <w:noWrap w:val="0"/>
                  <w:vAlign w:val="center"/>
                </w:tcPr>
                <w:p w14:paraId="445ABCD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车间通风以自然风为主，结合机械通风。</w:t>
                  </w:r>
                </w:p>
              </w:tc>
              <w:tc>
                <w:tcPr>
                  <w:tcW w:w="1509" w:type="dxa"/>
                  <w:tcBorders>
                    <w:tl2br w:val="nil"/>
                    <w:tr2bl w:val="nil"/>
                  </w:tcBorders>
                  <w:noWrap w:val="0"/>
                  <w:vAlign w:val="center"/>
                </w:tcPr>
                <w:p w14:paraId="6963EF6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依托现有</w:t>
                  </w:r>
                </w:p>
              </w:tc>
            </w:tr>
            <w:tr w14:paraId="59EA1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1146" w:type="dxa"/>
                  <w:vMerge w:val="continue"/>
                  <w:tcBorders>
                    <w:tl2br w:val="nil"/>
                    <w:tr2bl w:val="nil"/>
                  </w:tcBorders>
                  <w:noWrap w:val="0"/>
                  <w:vAlign w:val="center"/>
                </w:tcPr>
                <w:p w14:paraId="5C395CE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294" w:type="dxa"/>
                  <w:tcBorders>
                    <w:tl2br w:val="nil"/>
                    <w:tr2bl w:val="nil"/>
                  </w:tcBorders>
                  <w:noWrap w:val="0"/>
                  <w:vAlign w:val="center"/>
                </w:tcPr>
                <w:p w14:paraId="0F85F8C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供气系统</w:t>
                  </w:r>
                </w:p>
              </w:tc>
              <w:tc>
                <w:tcPr>
                  <w:tcW w:w="3996" w:type="dxa"/>
                  <w:tcBorders>
                    <w:tl2br w:val="nil"/>
                    <w:tr2bl w:val="nil"/>
                  </w:tcBorders>
                  <w:noWrap w:val="0"/>
                  <w:vAlign w:val="center"/>
                </w:tcPr>
                <w:p w14:paraId="40F5238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color w:val="auto"/>
                      <w:szCs w:val="21"/>
                    </w:rPr>
                    <w:t>天然气由</w:t>
                  </w:r>
                  <w:r>
                    <w:rPr>
                      <w:rFonts w:hint="default" w:ascii="Times New Roman" w:hAnsi="Times New Roman" w:cs="Times New Roman"/>
                      <w:color w:val="auto"/>
                      <w:szCs w:val="21"/>
                      <w:lang w:val="en-US" w:eastAsia="zh-CN"/>
                    </w:rPr>
                    <w:t>市政</w:t>
                  </w:r>
                  <w:r>
                    <w:rPr>
                      <w:rFonts w:hint="default" w:ascii="Times New Roman" w:hAnsi="Times New Roman" w:cs="Times New Roman"/>
                      <w:color w:val="auto"/>
                      <w:szCs w:val="21"/>
                    </w:rPr>
                    <w:t>供气管网提供。</w:t>
                  </w:r>
                </w:p>
              </w:tc>
              <w:tc>
                <w:tcPr>
                  <w:tcW w:w="1509" w:type="dxa"/>
                  <w:tcBorders>
                    <w:tl2br w:val="nil"/>
                    <w:tr2bl w:val="nil"/>
                  </w:tcBorders>
                  <w:noWrap w:val="0"/>
                  <w:vAlign w:val="center"/>
                </w:tcPr>
                <w:p w14:paraId="785C9EA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r>
            <w:tr w14:paraId="4F5FC6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tcBorders>
                    <w:tl2br w:val="nil"/>
                    <w:tr2bl w:val="nil"/>
                  </w:tcBorders>
                  <w:noWrap w:val="0"/>
                  <w:vAlign w:val="center"/>
                </w:tcPr>
                <w:p w14:paraId="1338398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294" w:type="dxa"/>
                  <w:tcBorders>
                    <w:tl2br w:val="nil"/>
                    <w:tr2bl w:val="nil"/>
                  </w:tcBorders>
                  <w:noWrap w:val="0"/>
                  <w:vAlign w:val="center"/>
                </w:tcPr>
                <w:p w14:paraId="4CAABB7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供电系统</w:t>
                  </w:r>
                </w:p>
              </w:tc>
              <w:tc>
                <w:tcPr>
                  <w:tcW w:w="3996" w:type="dxa"/>
                  <w:tcBorders>
                    <w:tl2br w:val="nil"/>
                    <w:tr2bl w:val="nil"/>
                  </w:tcBorders>
                  <w:noWrap w:val="0"/>
                  <w:vAlign w:val="center"/>
                </w:tcPr>
                <w:p w14:paraId="612CA09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本项目用电量约为80万kWh/a，由当地供电所提供。</w:t>
                  </w:r>
                </w:p>
              </w:tc>
              <w:tc>
                <w:tcPr>
                  <w:tcW w:w="1509" w:type="dxa"/>
                  <w:tcBorders>
                    <w:tl2br w:val="nil"/>
                    <w:tr2bl w:val="nil"/>
                  </w:tcBorders>
                  <w:noWrap w:val="0"/>
                  <w:vAlign w:val="center"/>
                </w:tcPr>
                <w:p w14:paraId="3FBFAD6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依托现有</w:t>
                  </w:r>
                </w:p>
              </w:tc>
            </w:tr>
            <w:tr w14:paraId="6D65D1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restart"/>
                  <w:tcBorders>
                    <w:tl2br w:val="nil"/>
                    <w:tr2bl w:val="nil"/>
                  </w:tcBorders>
                  <w:noWrap w:val="0"/>
                  <w:vAlign w:val="center"/>
                </w:tcPr>
                <w:p w14:paraId="0747D33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储运工程</w:t>
                  </w:r>
                </w:p>
              </w:tc>
              <w:tc>
                <w:tcPr>
                  <w:tcW w:w="1294" w:type="dxa"/>
                  <w:tcBorders>
                    <w:tl2br w:val="nil"/>
                    <w:tr2bl w:val="nil"/>
                  </w:tcBorders>
                  <w:noWrap w:val="0"/>
                  <w:vAlign w:val="center"/>
                </w:tcPr>
                <w:p w14:paraId="4E7EA09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仓库</w:t>
                  </w:r>
                </w:p>
              </w:tc>
              <w:tc>
                <w:tcPr>
                  <w:tcW w:w="3996" w:type="dxa"/>
                  <w:tcBorders>
                    <w:tl2br w:val="nil"/>
                    <w:tr2bl w:val="nil"/>
                  </w:tcBorders>
                  <w:noWrap w:val="0"/>
                  <w:vAlign w:val="center"/>
                </w:tcPr>
                <w:p w14:paraId="43C1FCB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1座，1层，总占地面积700m</w:t>
                  </w:r>
                  <w:r>
                    <w:rPr>
                      <w:rFonts w:hint="default" w:ascii="Times New Roman" w:hAnsi="Times New Roman" w:cs="Times New Roman"/>
                      <w:b/>
                      <w:bCs w:val="0"/>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vertAlign w:val="baseline"/>
                      <w:lang w:val="en-US" w:eastAsia="zh-CN"/>
                    </w:rPr>
                    <w:t>，主要用于存储陶瓷喷墨墨水原料及产品。</w:t>
                  </w:r>
                </w:p>
              </w:tc>
              <w:tc>
                <w:tcPr>
                  <w:tcW w:w="1509" w:type="dxa"/>
                  <w:tcBorders>
                    <w:tl2br w:val="nil"/>
                    <w:tr2bl w:val="nil"/>
                  </w:tcBorders>
                  <w:noWrap w:val="0"/>
                  <w:vAlign w:val="center"/>
                </w:tcPr>
                <w:p w14:paraId="6AC26FB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依托现有厂房</w:t>
                  </w:r>
                </w:p>
              </w:tc>
            </w:tr>
            <w:tr w14:paraId="62318D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tcBorders>
                    <w:tl2br w:val="nil"/>
                    <w:tr2bl w:val="nil"/>
                  </w:tcBorders>
                  <w:noWrap w:val="0"/>
                  <w:vAlign w:val="center"/>
                </w:tcPr>
                <w:p w14:paraId="227894E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294" w:type="dxa"/>
                  <w:tcBorders>
                    <w:tl2br w:val="nil"/>
                    <w:tr2bl w:val="nil"/>
                  </w:tcBorders>
                  <w:noWrap w:val="0"/>
                  <w:vAlign w:val="center"/>
                </w:tcPr>
                <w:p w14:paraId="3D99F35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运输工程</w:t>
                  </w:r>
                </w:p>
              </w:tc>
              <w:tc>
                <w:tcPr>
                  <w:tcW w:w="3996" w:type="dxa"/>
                  <w:tcBorders>
                    <w:tl2br w:val="nil"/>
                    <w:tr2bl w:val="nil"/>
                  </w:tcBorders>
                  <w:noWrap w:val="0"/>
                  <w:vAlign w:val="center"/>
                </w:tcPr>
                <w:p w14:paraId="02E88CE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本项目原料及成品运输采用公路运输，厂内有叉车搬运物料。</w:t>
                  </w:r>
                </w:p>
              </w:tc>
              <w:tc>
                <w:tcPr>
                  <w:tcW w:w="1509" w:type="dxa"/>
                  <w:tcBorders>
                    <w:tl2br w:val="nil"/>
                    <w:tr2bl w:val="nil"/>
                  </w:tcBorders>
                  <w:noWrap w:val="0"/>
                  <w:vAlign w:val="center"/>
                </w:tcPr>
                <w:p w14:paraId="20E795E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依托现有</w:t>
                  </w:r>
                </w:p>
              </w:tc>
            </w:tr>
            <w:tr w14:paraId="6CDF8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restart"/>
                  <w:tcBorders>
                    <w:tl2br w:val="nil"/>
                    <w:tr2bl w:val="nil"/>
                  </w:tcBorders>
                  <w:noWrap w:val="0"/>
                  <w:vAlign w:val="center"/>
                </w:tcPr>
                <w:p w14:paraId="55C40D9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环保工程</w:t>
                  </w:r>
                </w:p>
              </w:tc>
              <w:tc>
                <w:tcPr>
                  <w:tcW w:w="1294" w:type="dxa"/>
                  <w:tcBorders>
                    <w:tl2br w:val="nil"/>
                    <w:tr2bl w:val="nil"/>
                  </w:tcBorders>
                  <w:noWrap w:val="0"/>
                  <w:vAlign w:val="center"/>
                </w:tcPr>
                <w:p w14:paraId="6855651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废气处理</w:t>
                  </w:r>
                </w:p>
              </w:tc>
              <w:tc>
                <w:tcPr>
                  <w:tcW w:w="3996" w:type="dxa"/>
                  <w:tcBorders>
                    <w:tl2br w:val="nil"/>
                    <w:tr2bl w:val="nil"/>
                  </w:tcBorders>
                  <w:noWrap w:val="0"/>
                  <w:vAlign w:val="center"/>
                </w:tcPr>
                <w:p w14:paraId="40E348D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本</w:t>
                  </w:r>
                  <w:r>
                    <w:rPr>
                      <w:rFonts w:hint="default" w:ascii="Times New Roman" w:hAnsi="Times New Roman" w:eastAsia="宋体" w:cs="Times New Roman"/>
                      <w:bCs/>
                      <w:color w:val="auto"/>
                      <w:sz w:val="21"/>
                      <w:szCs w:val="21"/>
                      <w:highlight w:val="none"/>
                      <w:vertAlign w:val="baseline"/>
                      <w:lang w:val="en-US" w:eastAsia="zh-CN"/>
                    </w:rPr>
                    <w:t>项目废气主要为铝铁红生产过程中</w:t>
                  </w:r>
                </w:p>
                <w:p w14:paraId="52FBD92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配料、球磨、微粉过筛产生的颗粒物，经集气罩收集后，经布袋除尘器（TA001）处理后经过15m高排气筒（DA001）有组织排放；烘干工序天然气燃烧产生颗粒物、二氧化硫、氮氧化物，采用</w:t>
                  </w:r>
                  <w:r>
                    <w:rPr>
                      <w:rFonts w:hint="eastAsia" w:cs="Times New Roman"/>
                      <w:bCs/>
                      <w:color w:val="auto"/>
                      <w:sz w:val="21"/>
                      <w:szCs w:val="21"/>
                      <w:highlight w:val="none"/>
                      <w:vertAlign w:val="baseline"/>
                      <w:lang w:val="en-US" w:eastAsia="zh-CN"/>
                    </w:rPr>
                    <w:t>SNCR脱硝装置（TA004）处理后</w:t>
                  </w:r>
                  <w:r>
                    <w:rPr>
                      <w:rFonts w:hint="default" w:ascii="Times New Roman" w:hAnsi="Times New Roman" w:eastAsia="宋体" w:cs="Times New Roman"/>
                      <w:bCs/>
                      <w:color w:val="auto"/>
                      <w:sz w:val="21"/>
                      <w:szCs w:val="21"/>
                      <w:highlight w:val="none"/>
                      <w:vertAlign w:val="baseline"/>
                      <w:lang w:val="en-US" w:eastAsia="zh-CN"/>
                    </w:rPr>
                    <w:t>，经15m高排气筒（DA002）有组织排放；混料机、气流磨产生的颗粒物，经集气罩收集后，经布袋除尘器（TA003）处理后经过15m高排气筒（DA003）有组织排放；</w:t>
                  </w:r>
                  <w:r>
                    <w:rPr>
                      <w:rFonts w:hint="default" w:ascii="Times New Roman" w:hAnsi="Times New Roman" w:cs="Times New Roman"/>
                      <w:bCs/>
                      <w:color w:val="auto"/>
                      <w:sz w:val="21"/>
                      <w:szCs w:val="21"/>
                      <w:highlight w:val="none"/>
                      <w:vertAlign w:val="baseline"/>
                      <w:lang w:val="en-US" w:eastAsia="zh-CN"/>
                    </w:rPr>
                    <w:t>陶瓷喷墨墨水生产过程中配料、搅拌产生的颗粒物，经集气罩收集后，经布袋除尘器（</w:t>
                  </w:r>
                  <w:r>
                    <w:rPr>
                      <w:rFonts w:hint="eastAsia" w:cs="Times New Roman"/>
                      <w:bCs/>
                      <w:color w:val="auto"/>
                      <w:sz w:val="21"/>
                      <w:szCs w:val="21"/>
                      <w:highlight w:val="none"/>
                      <w:vertAlign w:val="baseline"/>
                      <w:lang w:val="en-US" w:eastAsia="zh-CN"/>
                    </w:rPr>
                    <w:t>TA005</w:t>
                  </w:r>
                  <w:r>
                    <w:rPr>
                      <w:rFonts w:hint="default" w:ascii="Times New Roman" w:hAnsi="Times New Roman" w:cs="Times New Roman"/>
                      <w:bCs/>
                      <w:color w:val="auto"/>
                      <w:sz w:val="21"/>
                      <w:szCs w:val="21"/>
                      <w:highlight w:val="none"/>
                      <w:vertAlign w:val="baseline"/>
                      <w:lang w:val="en-US" w:eastAsia="zh-CN"/>
                    </w:rPr>
                    <w:t>）处理后经过15m高排气筒（DA004）有组织排放；陶瓷喷墨墨水生产过程中蒸发产生的VOCs，经集气罩收集后，经二级活性炭（TA005）处理后经过15m高排气筒（DA005）有组织排放。</w:t>
                  </w:r>
                </w:p>
              </w:tc>
              <w:tc>
                <w:tcPr>
                  <w:tcW w:w="1509" w:type="dxa"/>
                  <w:tcBorders>
                    <w:tl2br w:val="nil"/>
                    <w:tr2bl w:val="nil"/>
                  </w:tcBorders>
                  <w:noWrap w:val="0"/>
                  <w:vAlign w:val="center"/>
                </w:tcPr>
                <w:p w14:paraId="1140A76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cs="Times New Roman"/>
                      <w:bCs/>
                      <w:color w:val="auto"/>
                      <w:sz w:val="21"/>
                      <w:szCs w:val="21"/>
                      <w:highlight w:val="none"/>
                      <w:vertAlign w:val="baseline"/>
                      <w:lang w:val="en-US" w:eastAsia="zh-CN"/>
                    </w:rPr>
                    <w:t>TA001、TA004、DA001、DA002依托现有，其他均</w:t>
                  </w:r>
                  <w:r>
                    <w:rPr>
                      <w:rFonts w:hint="default" w:ascii="Times New Roman" w:hAnsi="Times New Roman" w:cs="Times New Roman"/>
                      <w:bCs/>
                      <w:color w:val="auto"/>
                      <w:sz w:val="21"/>
                      <w:szCs w:val="21"/>
                      <w:highlight w:val="none"/>
                      <w:vertAlign w:val="baseline"/>
                      <w:lang w:val="en-US" w:eastAsia="zh-CN"/>
                    </w:rPr>
                    <w:t>新建</w:t>
                  </w:r>
                </w:p>
              </w:tc>
            </w:tr>
            <w:tr w14:paraId="1C213F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tcBorders>
                    <w:tl2br w:val="nil"/>
                    <w:tr2bl w:val="nil"/>
                  </w:tcBorders>
                  <w:noWrap w:val="0"/>
                  <w:vAlign w:val="center"/>
                </w:tcPr>
                <w:p w14:paraId="7884886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294" w:type="dxa"/>
                  <w:tcBorders>
                    <w:tl2br w:val="nil"/>
                    <w:tr2bl w:val="nil"/>
                  </w:tcBorders>
                  <w:noWrap w:val="0"/>
                  <w:vAlign w:val="center"/>
                </w:tcPr>
                <w:p w14:paraId="44D9D91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废水处理</w:t>
                  </w:r>
                </w:p>
              </w:tc>
              <w:tc>
                <w:tcPr>
                  <w:tcW w:w="3996" w:type="dxa"/>
                  <w:tcBorders>
                    <w:tl2br w:val="nil"/>
                    <w:tr2bl w:val="nil"/>
                  </w:tcBorders>
                  <w:noWrap w:val="0"/>
                  <w:vAlign w:val="center"/>
                </w:tcPr>
                <w:p w14:paraId="60D8D51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本项目无废水产生，原有项目生活污水经化粪池收集后，定期清挖堆肥。</w:t>
                  </w:r>
                </w:p>
              </w:tc>
              <w:tc>
                <w:tcPr>
                  <w:tcW w:w="1509" w:type="dxa"/>
                  <w:tcBorders>
                    <w:tl2br w:val="nil"/>
                    <w:tr2bl w:val="nil"/>
                  </w:tcBorders>
                  <w:noWrap w:val="0"/>
                  <w:vAlign w:val="center"/>
                </w:tcPr>
                <w:p w14:paraId="5F068F7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r>
            <w:tr w14:paraId="268EA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tcBorders>
                    <w:tl2br w:val="nil"/>
                    <w:tr2bl w:val="nil"/>
                  </w:tcBorders>
                  <w:noWrap w:val="0"/>
                  <w:vAlign w:val="center"/>
                </w:tcPr>
                <w:p w14:paraId="06183CD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294" w:type="dxa"/>
                  <w:tcBorders>
                    <w:tl2br w:val="nil"/>
                    <w:tr2bl w:val="nil"/>
                  </w:tcBorders>
                  <w:noWrap w:val="0"/>
                  <w:vAlign w:val="center"/>
                </w:tcPr>
                <w:p w14:paraId="0BAF9D4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噪声治理</w:t>
                  </w:r>
                </w:p>
              </w:tc>
              <w:tc>
                <w:tcPr>
                  <w:tcW w:w="3996" w:type="dxa"/>
                  <w:tcBorders>
                    <w:tl2br w:val="nil"/>
                    <w:tr2bl w:val="nil"/>
                  </w:tcBorders>
                  <w:noWrap w:val="0"/>
                  <w:vAlign w:val="center"/>
                </w:tcPr>
                <w:p w14:paraId="5EFA05F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对设备进行合理布局，安装减震、设置隔振基础，采用吸声、隔声和降噪等措施。</w:t>
                  </w:r>
                </w:p>
              </w:tc>
              <w:tc>
                <w:tcPr>
                  <w:tcW w:w="1509" w:type="dxa"/>
                  <w:tcBorders>
                    <w:tl2br w:val="nil"/>
                    <w:tr2bl w:val="nil"/>
                  </w:tcBorders>
                  <w:noWrap w:val="0"/>
                  <w:vAlign w:val="center"/>
                </w:tcPr>
                <w:p w14:paraId="0CD0260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新建</w:t>
                  </w:r>
                </w:p>
              </w:tc>
            </w:tr>
            <w:tr w14:paraId="20089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6" w:type="dxa"/>
                  <w:vMerge w:val="continue"/>
                  <w:tcBorders>
                    <w:tl2br w:val="nil"/>
                    <w:tr2bl w:val="nil"/>
                  </w:tcBorders>
                  <w:noWrap w:val="0"/>
                  <w:vAlign w:val="center"/>
                </w:tcPr>
                <w:p w14:paraId="65CEBBB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294" w:type="dxa"/>
                  <w:tcBorders>
                    <w:tl2br w:val="nil"/>
                    <w:tr2bl w:val="nil"/>
                  </w:tcBorders>
                  <w:noWrap w:val="0"/>
                  <w:vAlign w:val="center"/>
                </w:tcPr>
                <w:p w14:paraId="4726E8D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固废治理</w:t>
                  </w:r>
                </w:p>
              </w:tc>
              <w:tc>
                <w:tcPr>
                  <w:tcW w:w="3996" w:type="dxa"/>
                  <w:tcBorders>
                    <w:tl2br w:val="nil"/>
                    <w:tr2bl w:val="nil"/>
                  </w:tcBorders>
                  <w:noWrap w:val="0"/>
                  <w:vAlign w:val="center"/>
                </w:tcPr>
                <w:p w14:paraId="282BDA4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厂区现有一般固废暂存间1座，占地面积10m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vertAlign w:val="baseline"/>
                      <w:lang w:val="en-US" w:eastAsia="zh-CN"/>
                    </w:rPr>
                    <w:t>，危废暂存间1座，占地面积10m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vertAlign w:val="baseline"/>
                      <w:lang w:val="en-US" w:eastAsia="zh-CN"/>
                    </w:rPr>
                    <w:t>。</w:t>
                  </w:r>
                </w:p>
              </w:tc>
              <w:tc>
                <w:tcPr>
                  <w:tcW w:w="1509" w:type="dxa"/>
                  <w:tcBorders>
                    <w:tl2br w:val="nil"/>
                    <w:tr2bl w:val="nil"/>
                  </w:tcBorders>
                  <w:noWrap w:val="0"/>
                  <w:vAlign w:val="center"/>
                </w:tcPr>
                <w:p w14:paraId="592DCA8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依托现有</w:t>
                  </w:r>
                </w:p>
              </w:tc>
            </w:tr>
          </w:tbl>
          <w:p w14:paraId="60A68F9E">
            <w:pPr>
              <w:keepNext w:val="0"/>
              <w:keepLines w:val="0"/>
              <w:pageBreakBefore w:val="0"/>
              <w:widowControl w:val="0"/>
              <w:shd w:val="clear"/>
              <w:kinsoku/>
              <w:wordWrap/>
              <w:overflowPunct/>
              <w:topLinePunct w:val="0"/>
              <w:autoSpaceDE/>
              <w:autoSpaceDN/>
              <w:bidi w:val="0"/>
              <w:adjustRightInd w:val="0"/>
              <w:snapToGrid w:val="0"/>
              <w:spacing w:line="480" w:lineRule="exact"/>
              <w:ind w:firstLine="482" w:firstLineChars="200"/>
              <w:jc w:val="left"/>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3.主要产品及产能</w:t>
            </w:r>
          </w:p>
          <w:p w14:paraId="1BC7880D">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本次技改项目在“年产500吨铝铁红项目”原有工序基础上新增混料、研磨工序；并对其中200吨铝铁红产品进行深度加工，生产陶瓷喷墨墨水。技改项目建成后，全厂产能为铝铁红300t/a，陶瓷喷墨墨水200t/a。</w:t>
            </w:r>
          </w:p>
          <w:p w14:paraId="44425909">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表2-2 产品方案及生产规模</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26"/>
              <w:gridCol w:w="1926"/>
              <w:gridCol w:w="1926"/>
              <w:gridCol w:w="2094"/>
            </w:tblGrid>
            <w:tr w14:paraId="535DBE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1223" w:type="pct"/>
                  <w:vMerge w:val="restart"/>
                  <w:tcBorders>
                    <w:tl2br w:val="nil"/>
                    <w:tr2bl w:val="nil"/>
                  </w:tcBorders>
                  <w:noWrap w:val="0"/>
                  <w:vAlign w:val="top"/>
                </w:tcPr>
                <w:p w14:paraId="4C38080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序号</w:t>
                  </w:r>
                </w:p>
              </w:tc>
              <w:tc>
                <w:tcPr>
                  <w:tcW w:w="1223" w:type="pct"/>
                  <w:vMerge w:val="restart"/>
                  <w:tcBorders>
                    <w:tl2br w:val="nil"/>
                    <w:tr2bl w:val="nil"/>
                  </w:tcBorders>
                  <w:noWrap w:val="0"/>
                  <w:vAlign w:val="top"/>
                </w:tcPr>
                <w:p w14:paraId="0521779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产品名称</w:t>
                  </w:r>
                </w:p>
              </w:tc>
              <w:tc>
                <w:tcPr>
                  <w:tcW w:w="2552" w:type="pct"/>
                  <w:gridSpan w:val="2"/>
                  <w:tcBorders>
                    <w:tl2br w:val="nil"/>
                    <w:tr2bl w:val="nil"/>
                  </w:tcBorders>
                  <w:noWrap w:val="0"/>
                  <w:vAlign w:val="top"/>
                </w:tcPr>
                <w:p w14:paraId="4EA4964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产能</w:t>
                  </w:r>
                </w:p>
              </w:tc>
            </w:tr>
            <w:tr w14:paraId="55C09A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trPr>
              <w:tc>
                <w:tcPr>
                  <w:tcW w:w="1223" w:type="pct"/>
                  <w:vMerge w:val="continue"/>
                  <w:tcBorders>
                    <w:tl2br w:val="nil"/>
                    <w:tr2bl w:val="nil"/>
                  </w:tcBorders>
                  <w:noWrap w:val="0"/>
                  <w:vAlign w:val="top"/>
                </w:tcPr>
                <w:p w14:paraId="1F146F8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1223" w:type="pct"/>
                  <w:vMerge w:val="continue"/>
                  <w:tcBorders>
                    <w:tl2br w:val="nil"/>
                    <w:tr2bl w:val="nil"/>
                  </w:tcBorders>
                  <w:noWrap w:val="0"/>
                  <w:vAlign w:val="top"/>
                </w:tcPr>
                <w:p w14:paraId="3CA6EDE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1223" w:type="pct"/>
                  <w:tcBorders>
                    <w:tl2br w:val="nil"/>
                    <w:tr2bl w:val="nil"/>
                  </w:tcBorders>
                  <w:noWrap w:val="0"/>
                  <w:vAlign w:val="top"/>
                </w:tcPr>
                <w:p w14:paraId="513722B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技改前</w:t>
                  </w:r>
                </w:p>
              </w:tc>
              <w:tc>
                <w:tcPr>
                  <w:tcW w:w="1329" w:type="pct"/>
                  <w:tcBorders>
                    <w:tl2br w:val="nil"/>
                    <w:tr2bl w:val="nil"/>
                  </w:tcBorders>
                  <w:noWrap w:val="0"/>
                  <w:vAlign w:val="top"/>
                </w:tcPr>
                <w:p w14:paraId="472B30D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技改后</w:t>
                  </w:r>
                </w:p>
              </w:tc>
            </w:tr>
            <w:tr w14:paraId="6B9BFF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3" w:type="pct"/>
                  <w:tcBorders>
                    <w:tl2br w:val="nil"/>
                    <w:tr2bl w:val="nil"/>
                  </w:tcBorders>
                  <w:noWrap w:val="0"/>
                  <w:vAlign w:val="top"/>
                </w:tcPr>
                <w:p w14:paraId="79A0865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1</w:t>
                  </w:r>
                </w:p>
              </w:tc>
              <w:tc>
                <w:tcPr>
                  <w:tcW w:w="1223" w:type="pct"/>
                  <w:tcBorders>
                    <w:tl2br w:val="nil"/>
                    <w:tr2bl w:val="nil"/>
                  </w:tcBorders>
                  <w:noWrap w:val="0"/>
                  <w:vAlign w:val="top"/>
                </w:tcPr>
                <w:p w14:paraId="0B42698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铝铁红</w:t>
                  </w:r>
                </w:p>
              </w:tc>
              <w:tc>
                <w:tcPr>
                  <w:tcW w:w="1223" w:type="pct"/>
                  <w:tcBorders>
                    <w:tl2br w:val="nil"/>
                    <w:tr2bl w:val="nil"/>
                  </w:tcBorders>
                  <w:noWrap w:val="0"/>
                  <w:vAlign w:val="top"/>
                </w:tcPr>
                <w:p w14:paraId="6EF952B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5</w:t>
                  </w:r>
                  <w:r>
                    <w:rPr>
                      <w:rFonts w:hint="default" w:ascii="Times New Roman" w:hAnsi="Times New Roman" w:eastAsia="宋体" w:cs="Times New Roman"/>
                      <w:bCs/>
                      <w:color w:val="auto"/>
                      <w:sz w:val="21"/>
                      <w:szCs w:val="21"/>
                      <w:highlight w:val="none"/>
                      <w:vertAlign w:val="baseline"/>
                      <w:lang w:val="en-US" w:eastAsia="zh-CN"/>
                    </w:rPr>
                    <w:t>00</w:t>
                  </w:r>
                  <w:r>
                    <w:rPr>
                      <w:rFonts w:hint="default" w:ascii="Times New Roman" w:hAnsi="Times New Roman" w:cs="Times New Roman"/>
                      <w:bCs/>
                      <w:color w:val="auto"/>
                      <w:sz w:val="21"/>
                      <w:szCs w:val="21"/>
                      <w:highlight w:val="none"/>
                      <w:vertAlign w:val="baseline"/>
                      <w:lang w:val="en-US" w:eastAsia="zh-CN"/>
                    </w:rPr>
                    <w:t>t/a</w:t>
                  </w:r>
                </w:p>
              </w:tc>
              <w:tc>
                <w:tcPr>
                  <w:tcW w:w="1329" w:type="pct"/>
                  <w:tcBorders>
                    <w:tl2br w:val="nil"/>
                    <w:tr2bl w:val="nil"/>
                  </w:tcBorders>
                  <w:noWrap w:val="0"/>
                  <w:vAlign w:val="top"/>
                </w:tcPr>
                <w:p w14:paraId="714856B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300t/a</w:t>
                  </w:r>
                </w:p>
              </w:tc>
            </w:tr>
            <w:tr w14:paraId="36DAB1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23" w:type="pct"/>
                  <w:tcBorders>
                    <w:tl2br w:val="nil"/>
                    <w:tr2bl w:val="nil"/>
                  </w:tcBorders>
                  <w:noWrap w:val="0"/>
                  <w:vAlign w:val="top"/>
                </w:tcPr>
                <w:p w14:paraId="32A286F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w:t>
                  </w:r>
                </w:p>
              </w:tc>
              <w:tc>
                <w:tcPr>
                  <w:tcW w:w="1223" w:type="pct"/>
                  <w:tcBorders>
                    <w:tl2br w:val="nil"/>
                    <w:tr2bl w:val="nil"/>
                  </w:tcBorders>
                  <w:noWrap w:val="0"/>
                  <w:vAlign w:val="top"/>
                </w:tcPr>
                <w:p w14:paraId="329C766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陶瓷喷墨墨水</w:t>
                  </w:r>
                </w:p>
              </w:tc>
              <w:tc>
                <w:tcPr>
                  <w:tcW w:w="1223" w:type="pct"/>
                  <w:tcBorders>
                    <w:tl2br w:val="nil"/>
                    <w:tr2bl w:val="nil"/>
                  </w:tcBorders>
                  <w:noWrap w:val="0"/>
                  <w:vAlign w:val="top"/>
                </w:tcPr>
                <w:p w14:paraId="31A9CFD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1329" w:type="pct"/>
                  <w:tcBorders>
                    <w:tl2br w:val="nil"/>
                    <w:tr2bl w:val="nil"/>
                  </w:tcBorders>
                  <w:noWrap w:val="0"/>
                  <w:vAlign w:val="top"/>
                </w:tcPr>
                <w:p w14:paraId="457A846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200t/a</w:t>
                  </w:r>
                </w:p>
              </w:tc>
            </w:tr>
          </w:tbl>
          <w:p w14:paraId="7C7FA7BB">
            <w:pPr>
              <w:keepNext w:val="0"/>
              <w:keepLines w:val="0"/>
              <w:pageBreakBefore w:val="0"/>
              <w:widowControl w:val="0"/>
              <w:shd w:val="clear"/>
              <w:kinsoku/>
              <w:wordWrap/>
              <w:overflowPunct/>
              <w:topLinePunct w:val="0"/>
              <w:autoSpaceDE/>
              <w:autoSpaceDN/>
              <w:bidi w:val="0"/>
              <w:adjustRightInd w:val="0"/>
              <w:snapToGrid w:val="0"/>
              <w:spacing w:line="480" w:lineRule="exact"/>
              <w:ind w:firstLine="482" w:firstLineChars="200"/>
              <w:jc w:val="left"/>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4.主要原辅材料及能源消耗</w:t>
            </w:r>
          </w:p>
          <w:p w14:paraId="5B3EC31D">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本项目主要原辅材料及能源消耗如下：</w:t>
            </w:r>
          </w:p>
          <w:p w14:paraId="4984101F">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表2-3 主要原辅材料一览表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107"/>
              <w:gridCol w:w="1437"/>
              <w:gridCol w:w="1452"/>
              <w:gridCol w:w="1371"/>
              <w:gridCol w:w="646"/>
              <w:gridCol w:w="1215"/>
            </w:tblGrid>
            <w:tr w14:paraId="675214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409" w:type="pct"/>
                  <w:vMerge w:val="restart"/>
                  <w:tcBorders>
                    <w:tl2br w:val="nil"/>
                    <w:tr2bl w:val="nil"/>
                  </w:tcBorders>
                  <w:noWrap w:val="0"/>
                  <w:vAlign w:val="center"/>
                </w:tcPr>
                <w:p w14:paraId="16BC234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序号</w:t>
                  </w:r>
                </w:p>
              </w:tc>
              <w:tc>
                <w:tcPr>
                  <w:tcW w:w="703" w:type="pct"/>
                  <w:vMerge w:val="restart"/>
                  <w:tcBorders>
                    <w:tl2br w:val="nil"/>
                    <w:tr2bl w:val="nil"/>
                  </w:tcBorders>
                  <w:noWrap w:val="0"/>
                  <w:vAlign w:val="center"/>
                </w:tcPr>
                <w:p w14:paraId="2599D40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产品类别</w:t>
                  </w:r>
                </w:p>
              </w:tc>
              <w:tc>
                <w:tcPr>
                  <w:tcW w:w="912" w:type="pct"/>
                  <w:vMerge w:val="restart"/>
                  <w:tcBorders>
                    <w:tl2br w:val="nil"/>
                    <w:tr2bl w:val="nil"/>
                  </w:tcBorders>
                  <w:noWrap w:val="0"/>
                  <w:vAlign w:val="center"/>
                </w:tcPr>
                <w:p w14:paraId="1091838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名称</w:t>
                  </w:r>
                </w:p>
              </w:tc>
              <w:tc>
                <w:tcPr>
                  <w:tcW w:w="1793" w:type="pct"/>
                  <w:gridSpan w:val="2"/>
                  <w:tcBorders>
                    <w:tl2br w:val="nil"/>
                    <w:tr2bl w:val="nil"/>
                  </w:tcBorders>
                  <w:noWrap w:val="0"/>
                  <w:vAlign w:val="center"/>
                </w:tcPr>
                <w:p w14:paraId="182284C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年消耗量（t/a）</w:t>
                  </w:r>
                </w:p>
              </w:tc>
              <w:tc>
                <w:tcPr>
                  <w:tcW w:w="410" w:type="pct"/>
                  <w:vMerge w:val="restart"/>
                  <w:tcBorders>
                    <w:tl2br w:val="nil"/>
                    <w:tr2bl w:val="nil"/>
                  </w:tcBorders>
                  <w:noWrap w:val="0"/>
                  <w:vAlign w:val="center"/>
                </w:tcPr>
                <w:p w14:paraId="56BEC2B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性状</w:t>
                  </w:r>
                </w:p>
              </w:tc>
              <w:tc>
                <w:tcPr>
                  <w:tcW w:w="770" w:type="pct"/>
                  <w:vMerge w:val="restart"/>
                  <w:tcBorders>
                    <w:tl2br w:val="nil"/>
                    <w:tr2bl w:val="nil"/>
                  </w:tcBorders>
                  <w:noWrap w:val="0"/>
                  <w:vAlign w:val="center"/>
                </w:tcPr>
                <w:p w14:paraId="516AE9C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备注</w:t>
                  </w:r>
                </w:p>
              </w:tc>
            </w:tr>
            <w:tr w14:paraId="50E83D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409" w:type="pct"/>
                  <w:vMerge w:val="continue"/>
                  <w:tcBorders>
                    <w:tl2br w:val="nil"/>
                    <w:tr2bl w:val="nil"/>
                  </w:tcBorders>
                  <w:noWrap w:val="0"/>
                  <w:vAlign w:val="center"/>
                </w:tcPr>
                <w:p w14:paraId="2A74365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703" w:type="pct"/>
                  <w:vMerge w:val="continue"/>
                  <w:tcBorders>
                    <w:tl2br w:val="nil"/>
                    <w:tr2bl w:val="nil"/>
                  </w:tcBorders>
                  <w:noWrap w:val="0"/>
                  <w:vAlign w:val="center"/>
                </w:tcPr>
                <w:p w14:paraId="7AAC93F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912" w:type="pct"/>
                  <w:vMerge w:val="continue"/>
                  <w:tcBorders>
                    <w:tl2br w:val="nil"/>
                    <w:tr2bl w:val="nil"/>
                  </w:tcBorders>
                  <w:noWrap w:val="0"/>
                  <w:vAlign w:val="center"/>
                </w:tcPr>
                <w:p w14:paraId="5D24B85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922" w:type="pct"/>
                  <w:tcBorders>
                    <w:tl2br w:val="nil"/>
                    <w:tr2bl w:val="nil"/>
                  </w:tcBorders>
                  <w:noWrap w:val="0"/>
                  <w:vAlign w:val="top"/>
                </w:tcPr>
                <w:p w14:paraId="7CAC542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cs="Times New Roman"/>
                      <w:b/>
                      <w:bCs w:val="0"/>
                      <w:color w:val="auto"/>
                      <w:sz w:val="21"/>
                      <w:szCs w:val="21"/>
                      <w:highlight w:val="none"/>
                      <w:vertAlign w:val="baseline"/>
                      <w:lang w:val="en-US" w:eastAsia="zh-CN"/>
                    </w:rPr>
                    <w:t>技改前</w:t>
                  </w:r>
                </w:p>
              </w:tc>
              <w:tc>
                <w:tcPr>
                  <w:tcW w:w="870" w:type="pct"/>
                  <w:tcBorders>
                    <w:tl2br w:val="nil"/>
                    <w:tr2bl w:val="nil"/>
                  </w:tcBorders>
                  <w:noWrap w:val="0"/>
                  <w:vAlign w:val="top"/>
                </w:tcPr>
                <w:p w14:paraId="1F7D20A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kern w:val="2"/>
                      <w:sz w:val="21"/>
                      <w:szCs w:val="21"/>
                      <w:highlight w:val="none"/>
                      <w:vertAlign w:val="baseline"/>
                      <w:lang w:val="en-US" w:eastAsia="zh-CN" w:bidi="ar-SA"/>
                    </w:rPr>
                  </w:pPr>
                  <w:r>
                    <w:rPr>
                      <w:rFonts w:hint="default" w:ascii="Times New Roman" w:hAnsi="Times New Roman" w:cs="Times New Roman"/>
                      <w:b/>
                      <w:bCs w:val="0"/>
                      <w:color w:val="auto"/>
                      <w:sz w:val="21"/>
                      <w:szCs w:val="21"/>
                      <w:highlight w:val="none"/>
                      <w:vertAlign w:val="baseline"/>
                      <w:lang w:val="en-US" w:eastAsia="zh-CN"/>
                    </w:rPr>
                    <w:t>技改后</w:t>
                  </w:r>
                </w:p>
              </w:tc>
              <w:tc>
                <w:tcPr>
                  <w:tcW w:w="410" w:type="pct"/>
                  <w:vMerge w:val="continue"/>
                  <w:tcBorders>
                    <w:tl2br w:val="nil"/>
                    <w:tr2bl w:val="nil"/>
                  </w:tcBorders>
                  <w:noWrap w:val="0"/>
                  <w:vAlign w:val="center"/>
                </w:tcPr>
                <w:p w14:paraId="4908E68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770" w:type="pct"/>
                  <w:vMerge w:val="continue"/>
                  <w:tcBorders>
                    <w:tl2br w:val="nil"/>
                    <w:tr2bl w:val="nil"/>
                  </w:tcBorders>
                  <w:noWrap w:val="0"/>
                  <w:vAlign w:val="center"/>
                </w:tcPr>
                <w:p w14:paraId="295B20F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r>
            <w:tr w14:paraId="5E6C9F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71F5902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1</w:t>
                  </w:r>
                </w:p>
              </w:tc>
              <w:tc>
                <w:tcPr>
                  <w:tcW w:w="703" w:type="pct"/>
                  <w:vMerge w:val="restart"/>
                  <w:tcBorders>
                    <w:tl2br w:val="nil"/>
                    <w:tr2bl w:val="nil"/>
                  </w:tcBorders>
                  <w:noWrap w:val="0"/>
                  <w:vAlign w:val="center"/>
                </w:tcPr>
                <w:p w14:paraId="7AD2EA1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铝铁红</w:t>
                  </w:r>
                </w:p>
              </w:tc>
              <w:tc>
                <w:tcPr>
                  <w:tcW w:w="912" w:type="pct"/>
                  <w:tcBorders>
                    <w:tl2br w:val="nil"/>
                    <w:tr2bl w:val="nil"/>
                  </w:tcBorders>
                  <w:noWrap w:val="0"/>
                  <w:vAlign w:val="center"/>
                </w:tcPr>
                <w:p w14:paraId="2CDADDC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石英粉</w:t>
                  </w:r>
                </w:p>
              </w:tc>
              <w:tc>
                <w:tcPr>
                  <w:tcW w:w="922" w:type="pct"/>
                  <w:tcBorders>
                    <w:tl2br w:val="nil"/>
                    <w:tr2bl w:val="nil"/>
                  </w:tcBorders>
                  <w:noWrap w:val="0"/>
                  <w:vAlign w:val="center"/>
                </w:tcPr>
                <w:p w14:paraId="50379CA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300</w:t>
                  </w:r>
                </w:p>
              </w:tc>
              <w:tc>
                <w:tcPr>
                  <w:tcW w:w="870" w:type="pct"/>
                  <w:tcBorders>
                    <w:tl2br w:val="nil"/>
                    <w:tr2bl w:val="nil"/>
                  </w:tcBorders>
                  <w:noWrap w:val="0"/>
                  <w:vAlign w:val="center"/>
                </w:tcPr>
                <w:p w14:paraId="7231C45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252</w:t>
                  </w:r>
                </w:p>
              </w:tc>
              <w:tc>
                <w:tcPr>
                  <w:tcW w:w="410" w:type="pct"/>
                  <w:tcBorders>
                    <w:tl2br w:val="nil"/>
                    <w:tr2bl w:val="nil"/>
                  </w:tcBorders>
                  <w:noWrap w:val="0"/>
                  <w:vAlign w:val="center"/>
                </w:tcPr>
                <w:p w14:paraId="182B2A4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固态</w:t>
                  </w:r>
                </w:p>
              </w:tc>
              <w:tc>
                <w:tcPr>
                  <w:tcW w:w="770" w:type="pct"/>
                  <w:tcBorders>
                    <w:tl2br w:val="nil"/>
                    <w:tr2bl w:val="nil"/>
                  </w:tcBorders>
                  <w:noWrap w:val="0"/>
                  <w:vAlign w:val="center"/>
                </w:tcPr>
                <w:p w14:paraId="5A47FD8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外购</w:t>
                  </w:r>
                </w:p>
              </w:tc>
            </w:tr>
            <w:tr w14:paraId="4D24DA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3B5AE7B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w:t>
                  </w:r>
                </w:p>
              </w:tc>
              <w:tc>
                <w:tcPr>
                  <w:tcW w:w="703" w:type="pct"/>
                  <w:vMerge w:val="continue"/>
                  <w:tcBorders>
                    <w:tl2br w:val="nil"/>
                    <w:tr2bl w:val="nil"/>
                  </w:tcBorders>
                  <w:noWrap w:val="0"/>
                  <w:vAlign w:val="center"/>
                </w:tcPr>
                <w:p w14:paraId="63112FA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912" w:type="pct"/>
                  <w:tcBorders>
                    <w:tl2br w:val="nil"/>
                    <w:tr2bl w:val="nil"/>
                  </w:tcBorders>
                  <w:noWrap w:val="0"/>
                  <w:vAlign w:val="center"/>
                </w:tcPr>
                <w:p w14:paraId="4DF68B1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氧化铝粉</w:t>
                  </w:r>
                </w:p>
              </w:tc>
              <w:tc>
                <w:tcPr>
                  <w:tcW w:w="922" w:type="pct"/>
                  <w:tcBorders>
                    <w:tl2br w:val="nil"/>
                    <w:tr2bl w:val="nil"/>
                  </w:tcBorders>
                  <w:noWrap w:val="0"/>
                  <w:vAlign w:val="center"/>
                </w:tcPr>
                <w:p w14:paraId="525654C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100</w:t>
                  </w:r>
                </w:p>
              </w:tc>
              <w:tc>
                <w:tcPr>
                  <w:tcW w:w="870" w:type="pct"/>
                  <w:tcBorders>
                    <w:tl2br w:val="nil"/>
                    <w:tr2bl w:val="nil"/>
                  </w:tcBorders>
                  <w:noWrap w:val="0"/>
                  <w:vAlign w:val="center"/>
                </w:tcPr>
                <w:p w14:paraId="75D2EC7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84</w:t>
                  </w:r>
                </w:p>
              </w:tc>
              <w:tc>
                <w:tcPr>
                  <w:tcW w:w="410" w:type="pct"/>
                  <w:tcBorders>
                    <w:tl2br w:val="nil"/>
                    <w:tr2bl w:val="nil"/>
                  </w:tcBorders>
                  <w:noWrap w:val="0"/>
                  <w:vAlign w:val="center"/>
                </w:tcPr>
                <w:p w14:paraId="6F2D385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固态</w:t>
                  </w:r>
                </w:p>
              </w:tc>
              <w:tc>
                <w:tcPr>
                  <w:tcW w:w="770" w:type="pct"/>
                  <w:tcBorders>
                    <w:tl2br w:val="nil"/>
                    <w:tr2bl w:val="nil"/>
                  </w:tcBorders>
                  <w:noWrap w:val="0"/>
                  <w:vAlign w:val="center"/>
                </w:tcPr>
                <w:p w14:paraId="6D25ABF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外购</w:t>
                  </w:r>
                </w:p>
              </w:tc>
            </w:tr>
            <w:tr w14:paraId="4E836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313902B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w:t>
                  </w:r>
                </w:p>
              </w:tc>
              <w:tc>
                <w:tcPr>
                  <w:tcW w:w="703" w:type="pct"/>
                  <w:vMerge w:val="continue"/>
                  <w:tcBorders>
                    <w:tl2br w:val="nil"/>
                    <w:tr2bl w:val="nil"/>
                  </w:tcBorders>
                  <w:noWrap w:val="0"/>
                  <w:vAlign w:val="center"/>
                </w:tcPr>
                <w:p w14:paraId="62EE0A6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912" w:type="pct"/>
                  <w:tcBorders>
                    <w:tl2br w:val="nil"/>
                    <w:tr2bl w:val="nil"/>
                  </w:tcBorders>
                  <w:noWrap w:val="0"/>
                  <w:vAlign w:val="center"/>
                </w:tcPr>
                <w:p w14:paraId="577FE95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氧化锌粉</w:t>
                  </w:r>
                </w:p>
              </w:tc>
              <w:tc>
                <w:tcPr>
                  <w:tcW w:w="922" w:type="pct"/>
                  <w:tcBorders>
                    <w:tl2br w:val="nil"/>
                    <w:tr2bl w:val="nil"/>
                  </w:tcBorders>
                  <w:noWrap w:val="0"/>
                  <w:vAlign w:val="center"/>
                </w:tcPr>
                <w:p w14:paraId="798D285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50</w:t>
                  </w:r>
                </w:p>
              </w:tc>
              <w:tc>
                <w:tcPr>
                  <w:tcW w:w="870" w:type="pct"/>
                  <w:tcBorders>
                    <w:tl2br w:val="nil"/>
                    <w:tr2bl w:val="nil"/>
                  </w:tcBorders>
                  <w:noWrap w:val="0"/>
                  <w:vAlign w:val="center"/>
                </w:tcPr>
                <w:p w14:paraId="136202E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42</w:t>
                  </w:r>
                </w:p>
              </w:tc>
              <w:tc>
                <w:tcPr>
                  <w:tcW w:w="410" w:type="pct"/>
                  <w:tcBorders>
                    <w:tl2br w:val="nil"/>
                    <w:tr2bl w:val="nil"/>
                  </w:tcBorders>
                  <w:noWrap w:val="0"/>
                  <w:vAlign w:val="center"/>
                </w:tcPr>
                <w:p w14:paraId="023FCCA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固态</w:t>
                  </w:r>
                </w:p>
              </w:tc>
              <w:tc>
                <w:tcPr>
                  <w:tcW w:w="770" w:type="pct"/>
                  <w:tcBorders>
                    <w:tl2br w:val="nil"/>
                    <w:tr2bl w:val="nil"/>
                  </w:tcBorders>
                  <w:noWrap w:val="0"/>
                  <w:vAlign w:val="center"/>
                </w:tcPr>
                <w:p w14:paraId="51073F3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外购</w:t>
                  </w:r>
                </w:p>
              </w:tc>
            </w:tr>
            <w:tr w14:paraId="60A2F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5BEBCFD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4</w:t>
                  </w:r>
                </w:p>
              </w:tc>
              <w:tc>
                <w:tcPr>
                  <w:tcW w:w="703" w:type="pct"/>
                  <w:vMerge w:val="continue"/>
                  <w:tcBorders>
                    <w:tl2br w:val="nil"/>
                    <w:tr2bl w:val="nil"/>
                  </w:tcBorders>
                  <w:noWrap w:val="0"/>
                  <w:vAlign w:val="center"/>
                </w:tcPr>
                <w:p w14:paraId="1B97436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912" w:type="pct"/>
                  <w:tcBorders>
                    <w:tl2br w:val="nil"/>
                    <w:tr2bl w:val="nil"/>
                  </w:tcBorders>
                  <w:noWrap w:val="0"/>
                  <w:vAlign w:val="center"/>
                </w:tcPr>
                <w:p w14:paraId="4BF39F6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氧化铁粉</w:t>
                  </w:r>
                </w:p>
              </w:tc>
              <w:tc>
                <w:tcPr>
                  <w:tcW w:w="922" w:type="pct"/>
                  <w:tcBorders>
                    <w:tl2br w:val="nil"/>
                    <w:tr2bl w:val="nil"/>
                  </w:tcBorders>
                  <w:noWrap w:val="0"/>
                  <w:vAlign w:val="center"/>
                </w:tcPr>
                <w:p w14:paraId="435A853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50</w:t>
                  </w:r>
                </w:p>
              </w:tc>
              <w:tc>
                <w:tcPr>
                  <w:tcW w:w="870" w:type="pct"/>
                  <w:tcBorders>
                    <w:tl2br w:val="nil"/>
                    <w:tr2bl w:val="nil"/>
                  </w:tcBorders>
                  <w:noWrap w:val="0"/>
                  <w:vAlign w:val="center"/>
                </w:tcPr>
                <w:p w14:paraId="021867D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42</w:t>
                  </w:r>
                </w:p>
              </w:tc>
              <w:tc>
                <w:tcPr>
                  <w:tcW w:w="410" w:type="pct"/>
                  <w:tcBorders>
                    <w:tl2br w:val="nil"/>
                    <w:tr2bl w:val="nil"/>
                  </w:tcBorders>
                  <w:noWrap w:val="0"/>
                  <w:vAlign w:val="center"/>
                </w:tcPr>
                <w:p w14:paraId="33360F8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固态</w:t>
                  </w:r>
                </w:p>
              </w:tc>
              <w:tc>
                <w:tcPr>
                  <w:tcW w:w="770" w:type="pct"/>
                  <w:tcBorders>
                    <w:tl2br w:val="nil"/>
                    <w:tr2bl w:val="nil"/>
                  </w:tcBorders>
                  <w:noWrap w:val="0"/>
                  <w:vAlign w:val="center"/>
                </w:tcPr>
                <w:p w14:paraId="65A8B0F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外购</w:t>
                  </w:r>
                </w:p>
              </w:tc>
            </w:tr>
            <w:tr w14:paraId="0D2358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5FDC0AC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5</w:t>
                  </w:r>
                </w:p>
              </w:tc>
              <w:tc>
                <w:tcPr>
                  <w:tcW w:w="703" w:type="pct"/>
                  <w:vMerge w:val="restart"/>
                  <w:tcBorders>
                    <w:tl2br w:val="nil"/>
                    <w:tr2bl w:val="nil"/>
                  </w:tcBorders>
                  <w:noWrap w:val="0"/>
                  <w:vAlign w:val="center"/>
                </w:tcPr>
                <w:p w14:paraId="42B95F7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陶瓷喷墨墨水</w:t>
                  </w:r>
                </w:p>
              </w:tc>
              <w:tc>
                <w:tcPr>
                  <w:tcW w:w="912" w:type="pct"/>
                  <w:tcBorders>
                    <w:tl2br w:val="nil"/>
                    <w:tr2bl w:val="nil"/>
                  </w:tcBorders>
                  <w:noWrap w:val="0"/>
                  <w:vAlign w:val="center"/>
                </w:tcPr>
                <w:p w14:paraId="5D5DFC5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铝铁红</w:t>
                  </w:r>
                </w:p>
              </w:tc>
              <w:tc>
                <w:tcPr>
                  <w:tcW w:w="922" w:type="pct"/>
                  <w:tcBorders>
                    <w:tl2br w:val="nil"/>
                    <w:tr2bl w:val="nil"/>
                  </w:tcBorders>
                  <w:noWrap w:val="0"/>
                  <w:vAlign w:val="center"/>
                </w:tcPr>
                <w:p w14:paraId="1823FEA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870" w:type="pct"/>
                  <w:tcBorders>
                    <w:tl2br w:val="nil"/>
                    <w:tr2bl w:val="nil"/>
                  </w:tcBorders>
                  <w:noWrap w:val="0"/>
                  <w:vAlign w:val="center"/>
                </w:tcPr>
                <w:p w14:paraId="0E448C0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120</w:t>
                  </w:r>
                </w:p>
              </w:tc>
              <w:tc>
                <w:tcPr>
                  <w:tcW w:w="410" w:type="pct"/>
                  <w:tcBorders>
                    <w:tl2br w:val="nil"/>
                    <w:tr2bl w:val="nil"/>
                  </w:tcBorders>
                  <w:noWrap w:val="0"/>
                  <w:vAlign w:val="center"/>
                </w:tcPr>
                <w:p w14:paraId="41EAEE0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固态</w:t>
                  </w:r>
                </w:p>
              </w:tc>
              <w:tc>
                <w:tcPr>
                  <w:tcW w:w="770" w:type="pct"/>
                  <w:tcBorders>
                    <w:tl2br w:val="nil"/>
                    <w:tr2bl w:val="nil"/>
                  </w:tcBorders>
                  <w:noWrap w:val="0"/>
                  <w:vAlign w:val="center"/>
                </w:tcPr>
                <w:p w14:paraId="1328DDF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自产</w:t>
                  </w:r>
                </w:p>
              </w:tc>
            </w:tr>
            <w:tr w14:paraId="4CEB5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648B3D3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7</w:t>
                  </w:r>
                </w:p>
              </w:tc>
              <w:tc>
                <w:tcPr>
                  <w:tcW w:w="703" w:type="pct"/>
                  <w:vMerge w:val="continue"/>
                  <w:tcBorders>
                    <w:tl2br w:val="nil"/>
                    <w:tr2bl w:val="nil"/>
                  </w:tcBorders>
                  <w:noWrap w:val="0"/>
                  <w:vAlign w:val="center"/>
                </w:tcPr>
                <w:p w14:paraId="7590881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912" w:type="pct"/>
                  <w:tcBorders>
                    <w:tl2br w:val="nil"/>
                    <w:tr2bl w:val="nil"/>
                  </w:tcBorders>
                  <w:noWrap w:val="0"/>
                  <w:vAlign w:val="center"/>
                </w:tcPr>
                <w:p w14:paraId="334CD85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三甘油酯</w:t>
                  </w:r>
                </w:p>
              </w:tc>
              <w:tc>
                <w:tcPr>
                  <w:tcW w:w="922" w:type="pct"/>
                  <w:tcBorders>
                    <w:tl2br w:val="nil"/>
                    <w:tr2bl w:val="nil"/>
                  </w:tcBorders>
                  <w:noWrap w:val="0"/>
                  <w:vAlign w:val="center"/>
                </w:tcPr>
                <w:p w14:paraId="0170C28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870" w:type="pct"/>
                  <w:tcBorders>
                    <w:tl2br w:val="nil"/>
                    <w:tr2bl w:val="nil"/>
                  </w:tcBorders>
                  <w:noWrap w:val="0"/>
                  <w:vAlign w:val="center"/>
                </w:tcPr>
                <w:p w14:paraId="71E8573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20</w:t>
                  </w:r>
                </w:p>
              </w:tc>
              <w:tc>
                <w:tcPr>
                  <w:tcW w:w="410" w:type="pct"/>
                  <w:tcBorders>
                    <w:tl2br w:val="nil"/>
                    <w:tr2bl w:val="nil"/>
                  </w:tcBorders>
                  <w:noWrap w:val="0"/>
                  <w:vAlign w:val="center"/>
                </w:tcPr>
                <w:p w14:paraId="7E319E6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液态</w:t>
                  </w:r>
                </w:p>
              </w:tc>
              <w:tc>
                <w:tcPr>
                  <w:tcW w:w="770" w:type="pct"/>
                  <w:tcBorders>
                    <w:tl2br w:val="nil"/>
                    <w:tr2bl w:val="nil"/>
                  </w:tcBorders>
                  <w:noWrap w:val="0"/>
                  <w:vAlign w:val="center"/>
                </w:tcPr>
                <w:p w14:paraId="018C82E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外购</w:t>
                  </w:r>
                </w:p>
              </w:tc>
            </w:tr>
            <w:tr w14:paraId="006599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3F91658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8</w:t>
                  </w:r>
                </w:p>
              </w:tc>
              <w:tc>
                <w:tcPr>
                  <w:tcW w:w="703" w:type="pct"/>
                  <w:vMerge w:val="continue"/>
                  <w:tcBorders>
                    <w:tl2br w:val="nil"/>
                    <w:tr2bl w:val="nil"/>
                  </w:tcBorders>
                  <w:noWrap w:val="0"/>
                  <w:vAlign w:val="center"/>
                </w:tcPr>
                <w:p w14:paraId="131BBD1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912" w:type="pct"/>
                  <w:tcBorders>
                    <w:tl2br w:val="nil"/>
                    <w:tr2bl w:val="nil"/>
                  </w:tcBorders>
                  <w:noWrap w:val="0"/>
                  <w:vAlign w:val="center"/>
                </w:tcPr>
                <w:p w14:paraId="145E167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椰油酸酯</w:t>
                  </w:r>
                </w:p>
              </w:tc>
              <w:tc>
                <w:tcPr>
                  <w:tcW w:w="922" w:type="pct"/>
                  <w:tcBorders>
                    <w:tl2br w:val="nil"/>
                    <w:tr2bl w:val="nil"/>
                  </w:tcBorders>
                  <w:noWrap w:val="0"/>
                  <w:vAlign w:val="center"/>
                </w:tcPr>
                <w:p w14:paraId="7AC776A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870" w:type="pct"/>
                  <w:tcBorders>
                    <w:tl2br w:val="nil"/>
                    <w:tr2bl w:val="nil"/>
                  </w:tcBorders>
                  <w:noWrap w:val="0"/>
                  <w:vAlign w:val="center"/>
                </w:tcPr>
                <w:p w14:paraId="36CE0AF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30</w:t>
                  </w:r>
                </w:p>
              </w:tc>
              <w:tc>
                <w:tcPr>
                  <w:tcW w:w="410" w:type="pct"/>
                  <w:tcBorders>
                    <w:tl2br w:val="nil"/>
                    <w:tr2bl w:val="nil"/>
                  </w:tcBorders>
                  <w:noWrap w:val="0"/>
                  <w:vAlign w:val="center"/>
                </w:tcPr>
                <w:p w14:paraId="29FE397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液态</w:t>
                  </w:r>
                </w:p>
              </w:tc>
              <w:tc>
                <w:tcPr>
                  <w:tcW w:w="770" w:type="pct"/>
                  <w:tcBorders>
                    <w:tl2br w:val="nil"/>
                    <w:tr2bl w:val="nil"/>
                  </w:tcBorders>
                  <w:noWrap w:val="0"/>
                  <w:vAlign w:val="center"/>
                </w:tcPr>
                <w:p w14:paraId="08AADA6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外购</w:t>
                  </w:r>
                </w:p>
              </w:tc>
            </w:tr>
            <w:tr w14:paraId="5DB9B7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297E362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9</w:t>
                  </w:r>
                </w:p>
              </w:tc>
              <w:tc>
                <w:tcPr>
                  <w:tcW w:w="703" w:type="pct"/>
                  <w:vMerge w:val="continue"/>
                  <w:tcBorders>
                    <w:tl2br w:val="nil"/>
                    <w:tr2bl w:val="nil"/>
                  </w:tcBorders>
                  <w:noWrap w:val="0"/>
                  <w:vAlign w:val="center"/>
                </w:tcPr>
                <w:p w14:paraId="76A1AC6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912" w:type="pct"/>
                  <w:tcBorders>
                    <w:tl2br w:val="nil"/>
                    <w:tr2bl w:val="nil"/>
                  </w:tcBorders>
                  <w:noWrap w:val="0"/>
                  <w:vAlign w:val="center"/>
                </w:tcPr>
                <w:p w14:paraId="6960BB2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丙二醇辛酯</w:t>
                  </w:r>
                </w:p>
              </w:tc>
              <w:tc>
                <w:tcPr>
                  <w:tcW w:w="922" w:type="pct"/>
                  <w:tcBorders>
                    <w:tl2br w:val="nil"/>
                    <w:tr2bl w:val="nil"/>
                  </w:tcBorders>
                  <w:noWrap w:val="0"/>
                  <w:vAlign w:val="center"/>
                </w:tcPr>
                <w:p w14:paraId="47D4224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870" w:type="pct"/>
                  <w:tcBorders>
                    <w:tl2br w:val="nil"/>
                    <w:tr2bl w:val="nil"/>
                  </w:tcBorders>
                  <w:noWrap w:val="0"/>
                  <w:vAlign w:val="center"/>
                </w:tcPr>
                <w:p w14:paraId="29E5EF7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8</w:t>
                  </w:r>
                </w:p>
              </w:tc>
              <w:tc>
                <w:tcPr>
                  <w:tcW w:w="410" w:type="pct"/>
                  <w:tcBorders>
                    <w:tl2br w:val="nil"/>
                    <w:tr2bl w:val="nil"/>
                  </w:tcBorders>
                  <w:noWrap w:val="0"/>
                  <w:vAlign w:val="center"/>
                </w:tcPr>
                <w:p w14:paraId="5215C3D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液态</w:t>
                  </w:r>
                </w:p>
              </w:tc>
              <w:tc>
                <w:tcPr>
                  <w:tcW w:w="770" w:type="pct"/>
                  <w:tcBorders>
                    <w:tl2br w:val="nil"/>
                    <w:tr2bl w:val="nil"/>
                  </w:tcBorders>
                  <w:noWrap w:val="0"/>
                  <w:vAlign w:val="center"/>
                </w:tcPr>
                <w:p w14:paraId="527E06E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外购</w:t>
                  </w:r>
                </w:p>
              </w:tc>
            </w:tr>
            <w:tr w14:paraId="773B7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52220B5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10</w:t>
                  </w:r>
                </w:p>
              </w:tc>
              <w:tc>
                <w:tcPr>
                  <w:tcW w:w="703" w:type="pct"/>
                  <w:vMerge w:val="continue"/>
                  <w:tcBorders>
                    <w:tl2br w:val="nil"/>
                    <w:tr2bl w:val="nil"/>
                  </w:tcBorders>
                  <w:noWrap w:val="0"/>
                  <w:vAlign w:val="center"/>
                </w:tcPr>
                <w:p w14:paraId="2D49B35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912" w:type="pct"/>
                  <w:tcBorders>
                    <w:tl2br w:val="nil"/>
                    <w:tr2bl w:val="nil"/>
                  </w:tcBorders>
                  <w:noWrap w:val="0"/>
                  <w:vAlign w:val="center"/>
                </w:tcPr>
                <w:p w14:paraId="580BC03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棕榈油酸酯</w:t>
                  </w:r>
                </w:p>
              </w:tc>
              <w:tc>
                <w:tcPr>
                  <w:tcW w:w="922" w:type="pct"/>
                  <w:tcBorders>
                    <w:tl2br w:val="nil"/>
                    <w:tr2bl w:val="nil"/>
                  </w:tcBorders>
                  <w:noWrap w:val="0"/>
                  <w:vAlign w:val="center"/>
                </w:tcPr>
                <w:p w14:paraId="4FA6E68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w:t>
                  </w:r>
                </w:p>
              </w:tc>
              <w:tc>
                <w:tcPr>
                  <w:tcW w:w="870" w:type="pct"/>
                  <w:tcBorders>
                    <w:tl2br w:val="nil"/>
                    <w:tr2bl w:val="nil"/>
                  </w:tcBorders>
                  <w:noWrap w:val="0"/>
                  <w:vAlign w:val="center"/>
                </w:tcPr>
                <w:p w14:paraId="36936D4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20</w:t>
                  </w:r>
                </w:p>
              </w:tc>
              <w:tc>
                <w:tcPr>
                  <w:tcW w:w="410" w:type="pct"/>
                  <w:tcBorders>
                    <w:tl2br w:val="nil"/>
                    <w:tr2bl w:val="nil"/>
                  </w:tcBorders>
                  <w:noWrap w:val="0"/>
                  <w:vAlign w:val="center"/>
                </w:tcPr>
                <w:p w14:paraId="0188364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液态</w:t>
                  </w:r>
                </w:p>
              </w:tc>
              <w:tc>
                <w:tcPr>
                  <w:tcW w:w="770" w:type="pct"/>
                  <w:tcBorders>
                    <w:tl2br w:val="nil"/>
                    <w:tr2bl w:val="nil"/>
                  </w:tcBorders>
                  <w:noWrap w:val="0"/>
                  <w:vAlign w:val="center"/>
                </w:tcPr>
                <w:p w14:paraId="146348A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外购</w:t>
                  </w:r>
                </w:p>
              </w:tc>
            </w:tr>
            <w:tr w14:paraId="79FBE0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09" w:type="pct"/>
                  <w:vMerge w:val="restart"/>
                  <w:tcBorders>
                    <w:tl2br w:val="nil"/>
                    <w:tr2bl w:val="nil"/>
                  </w:tcBorders>
                  <w:noWrap w:val="0"/>
                  <w:vAlign w:val="center"/>
                </w:tcPr>
                <w:p w14:paraId="454FE9C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11</w:t>
                  </w:r>
                </w:p>
              </w:tc>
              <w:tc>
                <w:tcPr>
                  <w:tcW w:w="703" w:type="pct"/>
                  <w:vMerge w:val="continue"/>
                  <w:tcBorders>
                    <w:tl2br w:val="nil"/>
                    <w:tr2bl w:val="nil"/>
                  </w:tcBorders>
                  <w:noWrap w:val="0"/>
                  <w:vAlign w:val="center"/>
                </w:tcPr>
                <w:p w14:paraId="06BB75D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912" w:type="pct"/>
                  <w:tcBorders>
                    <w:tl2br w:val="nil"/>
                    <w:tr2bl w:val="nil"/>
                  </w:tcBorders>
                  <w:noWrap w:val="0"/>
                  <w:vAlign w:val="center"/>
                </w:tcPr>
                <w:p w14:paraId="6FA7E0C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分散剂</w:t>
                  </w:r>
                </w:p>
              </w:tc>
              <w:tc>
                <w:tcPr>
                  <w:tcW w:w="922" w:type="pct"/>
                  <w:tcBorders>
                    <w:tl2br w:val="nil"/>
                    <w:tr2bl w:val="nil"/>
                  </w:tcBorders>
                  <w:noWrap w:val="0"/>
                  <w:vAlign w:val="center"/>
                </w:tcPr>
                <w:p w14:paraId="4C2ED14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w:t>
                  </w:r>
                </w:p>
              </w:tc>
              <w:tc>
                <w:tcPr>
                  <w:tcW w:w="870" w:type="pct"/>
                  <w:tcBorders>
                    <w:tl2br w:val="nil"/>
                    <w:tr2bl w:val="nil"/>
                  </w:tcBorders>
                  <w:noWrap w:val="0"/>
                  <w:vAlign w:val="center"/>
                </w:tcPr>
                <w:p w14:paraId="0475034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2</w:t>
                  </w:r>
                </w:p>
              </w:tc>
              <w:tc>
                <w:tcPr>
                  <w:tcW w:w="410" w:type="pct"/>
                  <w:tcBorders>
                    <w:tl2br w:val="nil"/>
                    <w:tr2bl w:val="nil"/>
                  </w:tcBorders>
                  <w:noWrap w:val="0"/>
                  <w:vAlign w:val="center"/>
                </w:tcPr>
                <w:p w14:paraId="6DD8AD5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液态</w:t>
                  </w:r>
                </w:p>
              </w:tc>
              <w:tc>
                <w:tcPr>
                  <w:tcW w:w="770" w:type="pct"/>
                  <w:tcBorders>
                    <w:tl2br w:val="nil"/>
                    <w:tr2bl w:val="nil"/>
                  </w:tcBorders>
                  <w:noWrap w:val="0"/>
                  <w:vAlign w:val="center"/>
                </w:tcPr>
                <w:p w14:paraId="007EE1F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外购</w:t>
                  </w:r>
                </w:p>
              </w:tc>
            </w:tr>
            <w:tr w14:paraId="42075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409" w:type="pct"/>
                  <w:vMerge w:val="continue"/>
                  <w:tcBorders>
                    <w:bottom w:val="single" w:color="000000" w:sz="4" w:space="0"/>
                    <w:tl2br w:val="nil"/>
                    <w:tr2bl w:val="nil"/>
                  </w:tcBorders>
                  <w:noWrap w:val="0"/>
                  <w:vAlign w:val="center"/>
                </w:tcPr>
                <w:p w14:paraId="5554040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color w:val="auto"/>
                    </w:rPr>
                  </w:pPr>
                </w:p>
              </w:tc>
              <w:tc>
                <w:tcPr>
                  <w:tcW w:w="703" w:type="pct"/>
                  <w:vMerge w:val="continue"/>
                  <w:tcBorders>
                    <w:bottom w:val="single" w:color="000000" w:sz="4" w:space="0"/>
                    <w:tl2br w:val="nil"/>
                    <w:tr2bl w:val="nil"/>
                  </w:tcBorders>
                  <w:noWrap w:val="0"/>
                  <w:vAlign w:val="center"/>
                </w:tcPr>
                <w:p w14:paraId="403A84C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color w:val="auto"/>
                    </w:rPr>
                  </w:pPr>
                </w:p>
              </w:tc>
              <w:tc>
                <w:tcPr>
                  <w:tcW w:w="912" w:type="pct"/>
                  <w:tcBorders>
                    <w:bottom w:val="single" w:color="000000" w:sz="4" w:space="0"/>
                    <w:tl2br w:val="nil"/>
                    <w:tr2bl w:val="nil"/>
                  </w:tcBorders>
                  <w:noWrap w:val="0"/>
                  <w:vAlign w:val="center"/>
                </w:tcPr>
                <w:p w14:paraId="490E86C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水</w:t>
                  </w:r>
                </w:p>
              </w:tc>
              <w:tc>
                <w:tcPr>
                  <w:tcW w:w="922" w:type="pct"/>
                  <w:tcBorders>
                    <w:bottom w:val="single" w:color="000000" w:sz="4" w:space="0"/>
                    <w:tl2br w:val="nil"/>
                    <w:tr2bl w:val="nil"/>
                  </w:tcBorders>
                  <w:noWrap w:val="0"/>
                  <w:vAlign w:val="center"/>
                </w:tcPr>
                <w:p w14:paraId="4AF1BEE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870" w:type="pct"/>
                  <w:tcBorders>
                    <w:bottom w:val="single" w:color="000000" w:sz="4" w:space="0"/>
                    <w:tl2br w:val="nil"/>
                    <w:tr2bl w:val="nil"/>
                  </w:tcBorders>
                  <w:noWrap w:val="0"/>
                  <w:vAlign w:val="center"/>
                </w:tcPr>
                <w:p w14:paraId="13EDFB9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w:t>
                  </w:r>
                </w:p>
              </w:tc>
              <w:tc>
                <w:tcPr>
                  <w:tcW w:w="410" w:type="pct"/>
                  <w:tcBorders>
                    <w:bottom w:val="single" w:color="000000" w:sz="4" w:space="0"/>
                    <w:tl2br w:val="nil"/>
                    <w:tr2bl w:val="nil"/>
                  </w:tcBorders>
                  <w:noWrap w:val="0"/>
                  <w:vAlign w:val="center"/>
                </w:tcPr>
                <w:p w14:paraId="6F26C90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液态</w:t>
                  </w:r>
                </w:p>
              </w:tc>
              <w:tc>
                <w:tcPr>
                  <w:tcW w:w="770" w:type="pct"/>
                  <w:tcBorders>
                    <w:bottom w:val="single" w:color="000000" w:sz="4" w:space="0"/>
                    <w:tl2br w:val="nil"/>
                    <w:tr2bl w:val="nil"/>
                  </w:tcBorders>
                  <w:noWrap w:val="0"/>
                  <w:vAlign w:val="center"/>
                </w:tcPr>
                <w:p w14:paraId="7A06387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管网</w:t>
                  </w:r>
                </w:p>
              </w:tc>
            </w:tr>
            <w:tr w14:paraId="25AD4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top w:val="single" w:color="000000" w:sz="4" w:space="0"/>
                    <w:tl2br w:val="nil"/>
                    <w:tr2bl w:val="nil"/>
                  </w:tcBorders>
                  <w:noWrap w:val="0"/>
                  <w:vAlign w:val="center"/>
                </w:tcPr>
                <w:p w14:paraId="0DDC76A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12</w:t>
                  </w:r>
                </w:p>
              </w:tc>
              <w:tc>
                <w:tcPr>
                  <w:tcW w:w="703" w:type="pct"/>
                  <w:tcBorders>
                    <w:top w:val="single" w:color="000000" w:sz="4" w:space="0"/>
                    <w:tl2br w:val="nil"/>
                    <w:tr2bl w:val="nil"/>
                  </w:tcBorders>
                  <w:noWrap w:val="0"/>
                  <w:vAlign w:val="center"/>
                </w:tcPr>
                <w:p w14:paraId="5DB358D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eastAsia" w:ascii="Times New Roman" w:hAnsi="Times New Roman" w:eastAsia="宋体" w:cs="Times New Roman"/>
                      <w:color w:val="auto"/>
                      <w:lang w:val="en-US" w:eastAsia="zh-CN"/>
                    </w:rPr>
                  </w:pPr>
                  <w:r>
                    <w:rPr>
                      <w:rFonts w:hint="eastAsia" w:cs="Times New Roman"/>
                      <w:color w:val="auto"/>
                      <w:lang w:val="en-US" w:eastAsia="zh-CN"/>
                    </w:rPr>
                    <w:t>/</w:t>
                  </w:r>
                </w:p>
              </w:tc>
              <w:tc>
                <w:tcPr>
                  <w:tcW w:w="912" w:type="pct"/>
                  <w:tcBorders>
                    <w:top w:val="single" w:color="000000" w:sz="4" w:space="0"/>
                    <w:tl2br w:val="nil"/>
                    <w:tr2bl w:val="nil"/>
                  </w:tcBorders>
                  <w:noWrap w:val="0"/>
                  <w:vAlign w:val="center"/>
                </w:tcPr>
                <w:p w14:paraId="1E2DAC8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cs="Times New Roman"/>
                      <w:bCs/>
                      <w:color w:val="auto"/>
                      <w:sz w:val="21"/>
                      <w:szCs w:val="21"/>
                      <w:highlight w:val="none"/>
                      <w:vertAlign w:val="baseline"/>
                      <w:lang w:val="en-US" w:eastAsia="zh-CN"/>
                    </w:rPr>
                    <w:t>20%尿素</w:t>
                  </w:r>
                </w:p>
              </w:tc>
              <w:tc>
                <w:tcPr>
                  <w:tcW w:w="922" w:type="pct"/>
                  <w:tcBorders>
                    <w:top w:val="single" w:color="000000" w:sz="4" w:space="0"/>
                    <w:tl2br w:val="nil"/>
                    <w:tr2bl w:val="nil"/>
                  </w:tcBorders>
                  <w:noWrap w:val="0"/>
                  <w:vAlign w:val="center"/>
                </w:tcPr>
                <w:p w14:paraId="3CF8C43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cs="Times New Roman"/>
                      <w:bCs/>
                      <w:color w:val="auto"/>
                      <w:sz w:val="21"/>
                      <w:szCs w:val="21"/>
                      <w:highlight w:val="none"/>
                      <w:vertAlign w:val="baseline"/>
                      <w:lang w:val="en-US" w:eastAsia="zh-CN"/>
                    </w:rPr>
                    <w:t>1</w:t>
                  </w:r>
                </w:p>
              </w:tc>
              <w:tc>
                <w:tcPr>
                  <w:tcW w:w="870" w:type="pct"/>
                  <w:tcBorders>
                    <w:top w:val="single" w:color="000000" w:sz="4" w:space="0"/>
                    <w:tl2br w:val="nil"/>
                    <w:tr2bl w:val="nil"/>
                  </w:tcBorders>
                  <w:noWrap w:val="0"/>
                  <w:vAlign w:val="center"/>
                </w:tcPr>
                <w:p w14:paraId="0B9D729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cs="Times New Roman"/>
                      <w:bCs/>
                      <w:color w:val="auto"/>
                      <w:sz w:val="21"/>
                      <w:szCs w:val="21"/>
                      <w:highlight w:val="none"/>
                      <w:vertAlign w:val="baseline"/>
                      <w:lang w:val="en-US" w:eastAsia="zh-CN"/>
                    </w:rPr>
                    <w:t>0.84</w:t>
                  </w:r>
                </w:p>
              </w:tc>
              <w:tc>
                <w:tcPr>
                  <w:tcW w:w="410" w:type="pct"/>
                  <w:tcBorders>
                    <w:top w:val="single" w:color="000000" w:sz="4" w:space="0"/>
                    <w:tl2br w:val="nil"/>
                    <w:tr2bl w:val="nil"/>
                  </w:tcBorders>
                  <w:noWrap w:val="0"/>
                  <w:vAlign w:val="center"/>
                </w:tcPr>
                <w:p w14:paraId="25FFBB3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cs="Times New Roman"/>
                      <w:bCs/>
                      <w:color w:val="auto"/>
                      <w:sz w:val="21"/>
                      <w:szCs w:val="21"/>
                      <w:highlight w:val="none"/>
                      <w:vertAlign w:val="baseline"/>
                      <w:lang w:val="en-US" w:eastAsia="zh-CN"/>
                    </w:rPr>
                    <w:t>液态</w:t>
                  </w:r>
                </w:p>
              </w:tc>
              <w:tc>
                <w:tcPr>
                  <w:tcW w:w="770" w:type="pct"/>
                  <w:tcBorders>
                    <w:top w:val="single" w:color="000000" w:sz="4" w:space="0"/>
                    <w:tl2br w:val="nil"/>
                    <w:tr2bl w:val="nil"/>
                  </w:tcBorders>
                  <w:noWrap w:val="0"/>
                  <w:vAlign w:val="center"/>
                </w:tcPr>
                <w:p w14:paraId="705C8AF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cs="Times New Roman"/>
                      <w:bCs/>
                      <w:color w:val="auto"/>
                      <w:sz w:val="21"/>
                      <w:szCs w:val="21"/>
                      <w:highlight w:val="none"/>
                      <w:vertAlign w:val="baseline"/>
                      <w:lang w:val="en-US" w:eastAsia="zh-CN"/>
                    </w:rPr>
                    <w:t>吨桶</w:t>
                  </w:r>
                </w:p>
              </w:tc>
            </w:tr>
            <w:tr w14:paraId="1F4A36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tcBorders>
                    <w:tl2br w:val="nil"/>
                    <w:tr2bl w:val="nil"/>
                  </w:tcBorders>
                  <w:noWrap w:val="0"/>
                  <w:vAlign w:val="center"/>
                </w:tcPr>
                <w:p w14:paraId="3C54274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能源</w:t>
                  </w:r>
                </w:p>
              </w:tc>
            </w:tr>
            <w:tr w14:paraId="7440DC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5BE26D5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12</w:t>
                  </w:r>
                </w:p>
              </w:tc>
              <w:tc>
                <w:tcPr>
                  <w:tcW w:w="1616" w:type="pct"/>
                  <w:gridSpan w:val="2"/>
                  <w:tcBorders>
                    <w:tl2br w:val="nil"/>
                    <w:tr2bl w:val="nil"/>
                  </w:tcBorders>
                  <w:noWrap w:val="0"/>
                  <w:vAlign w:val="center"/>
                </w:tcPr>
                <w:p w14:paraId="73A3BC0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天然气</w:t>
                  </w:r>
                </w:p>
              </w:tc>
              <w:tc>
                <w:tcPr>
                  <w:tcW w:w="922" w:type="pct"/>
                  <w:tcBorders>
                    <w:tl2br w:val="nil"/>
                    <w:tr2bl w:val="nil"/>
                  </w:tcBorders>
                  <w:noWrap w:val="0"/>
                  <w:vAlign w:val="center"/>
                </w:tcPr>
                <w:p w14:paraId="44CC7B6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0.6万m</w:t>
                  </w:r>
                  <w:r>
                    <w:rPr>
                      <w:rFonts w:hint="default" w:ascii="Times New Roman" w:hAnsi="Times New Roman" w:cs="Times New Roman"/>
                      <w:bCs/>
                      <w:color w:val="auto"/>
                      <w:sz w:val="21"/>
                      <w:szCs w:val="21"/>
                      <w:highlight w:val="none"/>
                      <w:vertAlign w:val="superscript"/>
                      <w:lang w:val="en-US" w:eastAsia="zh-CN"/>
                    </w:rPr>
                    <w:t>3</w:t>
                  </w:r>
                  <w:r>
                    <w:rPr>
                      <w:rFonts w:hint="default" w:ascii="Times New Roman" w:hAnsi="Times New Roman" w:cs="Times New Roman"/>
                      <w:bCs/>
                      <w:color w:val="auto"/>
                      <w:sz w:val="21"/>
                      <w:szCs w:val="21"/>
                      <w:highlight w:val="none"/>
                      <w:vertAlign w:val="baseline"/>
                      <w:lang w:val="en-US" w:eastAsia="zh-CN"/>
                    </w:rPr>
                    <w:t>/a</w:t>
                  </w:r>
                </w:p>
              </w:tc>
              <w:tc>
                <w:tcPr>
                  <w:tcW w:w="870" w:type="pct"/>
                  <w:tcBorders>
                    <w:tl2br w:val="nil"/>
                    <w:tr2bl w:val="nil"/>
                  </w:tcBorders>
                  <w:noWrap w:val="0"/>
                  <w:vAlign w:val="center"/>
                </w:tcPr>
                <w:p w14:paraId="42E80B9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0.51万m</w:t>
                  </w:r>
                  <w:r>
                    <w:rPr>
                      <w:rFonts w:hint="default" w:ascii="Times New Roman" w:hAnsi="Times New Roman" w:cs="Times New Roman"/>
                      <w:bCs/>
                      <w:color w:val="auto"/>
                      <w:sz w:val="21"/>
                      <w:szCs w:val="21"/>
                      <w:highlight w:val="none"/>
                      <w:vertAlign w:val="superscript"/>
                      <w:lang w:val="en-US" w:eastAsia="zh-CN"/>
                    </w:rPr>
                    <w:t>3</w:t>
                  </w:r>
                  <w:r>
                    <w:rPr>
                      <w:rFonts w:hint="default" w:ascii="Times New Roman" w:hAnsi="Times New Roman" w:cs="Times New Roman"/>
                      <w:bCs/>
                      <w:color w:val="auto"/>
                      <w:sz w:val="21"/>
                      <w:szCs w:val="21"/>
                      <w:highlight w:val="none"/>
                      <w:vertAlign w:val="baseline"/>
                      <w:lang w:val="en-US" w:eastAsia="zh-CN"/>
                    </w:rPr>
                    <w:t>/a</w:t>
                  </w:r>
                </w:p>
              </w:tc>
              <w:tc>
                <w:tcPr>
                  <w:tcW w:w="1180" w:type="pct"/>
                  <w:gridSpan w:val="2"/>
                  <w:tcBorders>
                    <w:tl2br w:val="nil"/>
                    <w:tr2bl w:val="nil"/>
                  </w:tcBorders>
                  <w:noWrap w:val="0"/>
                  <w:vAlign w:val="center"/>
                </w:tcPr>
                <w:p w14:paraId="7DF22EB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市政供</w:t>
                  </w:r>
                  <w:r>
                    <w:rPr>
                      <w:rFonts w:hint="eastAsia" w:cs="Times New Roman"/>
                      <w:bCs/>
                      <w:color w:val="auto"/>
                      <w:sz w:val="21"/>
                      <w:szCs w:val="21"/>
                      <w:highlight w:val="none"/>
                      <w:vertAlign w:val="baseline"/>
                      <w:lang w:val="en-US" w:eastAsia="zh-CN"/>
                    </w:rPr>
                    <w:t>气</w:t>
                  </w:r>
                  <w:r>
                    <w:rPr>
                      <w:rFonts w:hint="default" w:ascii="Times New Roman" w:hAnsi="Times New Roman" w:cs="Times New Roman"/>
                      <w:bCs/>
                      <w:color w:val="auto"/>
                      <w:sz w:val="21"/>
                      <w:szCs w:val="21"/>
                      <w:highlight w:val="none"/>
                      <w:vertAlign w:val="baseline"/>
                      <w:lang w:val="en-US" w:eastAsia="zh-CN"/>
                    </w:rPr>
                    <w:t>管网</w:t>
                  </w:r>
                </w:p>
              </w:tc>
            </w:tr>
            <w:tr w14:paraId="68F7B4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3FB2326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13</w:t>
                  </w:r>
                </w:p>
              </w:tc>
              <w:tc>
                <w:tcPr>
                  <w:tcW w:w="1616" w:type="pct"/>
                  <w:gridSpan w:val="2"/>
                  <w:tcBorders>
                    <w:tl2br w:val="nil"/>
                    <w:tr2bl w:val="nil"/>
                  </w:tcBorders>
                  <w:noWrap w:val="0"/>
                  <w:vAlign w:val="center"/>
                </w:tcPr>
                <w:p w14:paraId="1B2EF05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水</w:t>
                  </w:r>
                </w:p>
              </w:tc>
              <w:tc>
                <w:tcPr>
                  <w:tcW w:w="922" w:type="pct"/>
                  <w:tcBorders>
                    <w:tl2br w:val="nil"/>
                    <w:tr2bl w:val="nil"/>
                  </w:tcBorders>
                  <w:noWrap w:val="0"/>
                  <w:vAlign w:val="center"/>
                </w:tcPr>
                <w:p w14:paraId="6CDCEAB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yellow"/>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395m</w:t>
                  </w:r>
                  <w:r>
                    <w:rPr>
                      <w:rFonts w:hint="default" w:ascii="Times New Roman" w:hAnsi="Times New Roman" w:cs="Times New Roman"/>
                      <w:bCs/>
                      <w:color w:val="auto"/>
                      <w:sz w:val="21"/>
                      <w:szCs w:val="21"/>
                      <w:highlight w:val="none"/>
                      <w:vertAlign w:val="superscript"/>
                      <w:lang w:val="en-US" w:eastAsia="zh-CN"/>
                    </w:rPr>
                    <w:t>3</w:t>
                  </w:r>
                  <w:r>
                    <w:rPr>
                      <w:rFonts w:hint="default" w:ascii="Times New Roman" w:hAnsi="Times New Roman" w:cs="Times New Roman"/>
                      <w:bCs/>
                      <w:color w:val="auto"/>
                      <w:sz w:val="21"/>
                      <w:szCs w:val="21"/>
                      <w:highlight w:val="none"/>
                      <w:vertAlign w:val="baseline"/>
                      <w:lang w:val="en-US" w:eastAsia="zh-CN"/>
                    </w:rPr>
                    <w:t>/a</w:t>
                  </w:r>
                </w:p>
              </w:tc>
              <w:tc>
                <w:tcPr>
                  <w:tcW w:w="870" w:type="pct"/>
                  <w:tcBorders>
                    <w:tl2br w:val="nil"/>
                    <w:tr2bl w:val="nil"/>
                  </w:tcBorders>
                  <w:noWrap w:val="0"/>
                  <w:vAlign w:val="center"/>
                </w:tcPr>
                <w:p w14:paraId="3D182F2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597.6m</w:t>
                  </w:r>
                  <w:r>
                    <w:rPr>
                      <w:rFonts w:hint="default" w:ascii="Times New Roman" w:hAnsi="Times New Roman" w:cs="Times New Roman"/>
                      <w:bCs/>
                      <w:color w:val="auto"/>
                      <w:sz w:val="21"/>
                      <w:szCs w:val="21"/>
                      <w:highlight w:val="none"/>
                      <w:vertAlign w:val="superscript"/>
                      <w:lang w:val="en-US" w:eastAsia="zh-CN"/>
                    </w:rPr>
                    <w:t>3</w:t>
                  </w:r>
                  <w:r>
                    <w:rPr>
                      <w:rFonts w:hint="default" w:ascii="Times New Roman" w:hAnsi="Times New Roman" w:cs="Times New Roman"/>
                      <w:bCs/>
                      <w:color w:val="auto"/>
                      <w:sz w:val="21"/>
                      <w:szCs w:val="21"/>
                      <w:highlight w:val="none"/>
                      <w:vertAlign w:val="baseline"/>
                      <w:lang w:val="en-US" w:eastAsia="zh-CN"/>
                    </w:rPr>
                    <w:t>/a</w:t>
                  </w:r>
                </w:p>
              </w:tc>
              <w:tc>
                <w:tcPr>
                  <w:tcW w:w="1180" w:type="pct"/>
                  <w:gridSpan w:val="2"/>
                  <w:tcBorders>
                    <w:tl2br w:val="nil"/>
                    <w:tr2bl w:val="nil"/>
                  </w:tcBorders>
                  <w:noWrap w:val="0"/>
                  <w:vAlign w:val="center"/>
                </w:tcPr>
                <w:p w14:paraId="5A6605A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市政供</w:t>
                  </w:r>
                  <w:r>
                    <w:rPr>
                      <w:rFonts w:hint="eastAsia" w:cs="Times New Roman"/>
                      <w:bCs/>
                      <w:color w:val="auto"/>
                      <w:sz w:val="21"/>
                      <w:szCs w:val="21"/>
                      <w:highlight w:val="none"/>
                      <w:vertAlign w:val="baseline"/>
                      <w:lang w:val="en-US" w:eastAsia="zh-CN"/>
                    </w:rPr>
                    <w:t>水</w:t>
                  </w:r>
                  <w:r>
                    <w:rPr>
                      <w:rFonts w:hint="default" w:ascii="Times New Roman" w:hAnsi="Times New Roman" w:cs="Times New Roman"/>
                      <w:bCs/>
                      <w:color w:val="auto"/>
                      <w:sz w:val="21"/>
                      <w:szCs w:val="21"/>
                      <w:highlight w:val="none"/>
                      <w:vertAlign w:val="baseline"/>
                      <w:lang w:val="en-US" w:eastAsia="zh-CN"/>
                    </w:rPr>
                    <w:t>管网</w:t>
                  </w:r>
                </w:p>
              </w:tc>
            </w:tr>
            <w:tr w14:paraId="71BE33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l2br w:val="nil"/>
                    <w:tr2bl w:val="nil"/>
                  </w:tcBorders>
                  <w:noWrap w:val="0"/>
                  <w:vAlign w:val="center"/>
                </w:tcPr>
                <w:p w14:paraId="0140A57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14</w:t>
                  </w:r>
                </w:p>
              </w:tc>
              <w:tc>
                <w:tcPr>
                  <w:tcW w:w="1616" w:type="pct"/>
                  <w:gridSpan w:val="2"/>
                  <w:tcBorders>
                    <w:tl2br w:val="nil"/>
                    <w:tr2bl w:val="nil"/>
                  </w:tcBorders>
                  <w:noWrap w:val="0"/>
                  <w:vAlign w:val="center"/>
                </w:tcPr>
                <w:p w14:paraId="1EC9710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电</w:t>
                  </w:r>
                </w:p>
              </w:tc>
              <w:tc>
                <w:tcPr>
                  <w:tcW w:w="922" w:type="pct"/>
                  <w:tcBorders>
                    <w:tl2br w:val="nil"/>
                    <w:tr2bl w:val="nil"/>
                  </w:tcBorders>
                  <w:noWrap w:val="0"/>
                  <w:vAlign w:val="center"/>
                </w:tcPr>
                <w:p w14:paraId="759C3BC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15万kWh/a</w:t>
                  </w:r>
                </w:p>
              </w:tc>
              <w:tc>
                <w:tcPr>
                  <w:tcW w:w="870" w:type="pct"/>
                  <w:tcBorders>
                    <w:tl2br w:val="nil"/>
                    <w:tr2bl w:val="nil"/>
                  </w:tcBorders>
                  <w:noWrap w:val="0"/>
                  <w:vAlign w:val="center"/>
                </w:tcPr>
                <w:p w14:paraId="2216C40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95万kWh/a</w:t>
                  </w:r>
                </w:p>
              </w:tc>
              <w:tc>
                <w:tcPr>
                  <w:tcW w:w="1180" w:type="pct"/>
                  <w:gridSpan w:val="2"/>
                  <w:tcBorders>
                    <w:tl2br w:val="nil"/>
                    <w:tr2bl w:val="nil"/>
                  </w:tcBorders>
                  <w:noWrap w:val="0"/>
                  <w:vAlign w:val="center"/>
                </w:tcPr>
                <w:p w14:paraId="5A22867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市政供电管网</w:t>
                  </w:r>
                </w:p>
              </w:tc>
            </w:tr>
            <w:tr w14:paraId="2FCAD7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tcBorders>
                    <w:tl2br w:val="nil"/>
                    <w:tr2bl w:val="nil"/>
                  </w:tcBorders>
                  <w:noWrap w:val="0"/>
                  <w:vAlign w:val="center"/>
                </w:tcPr>
                <w:p w14:paraId="7491533E">
                  <w:pPr>
                    <w:keepNext w:val="0"/>
                    <w:keepLines w:val="0"/>
                    <w:pageBreakBefore w:val="0"/>
                    <w:widowControl w:val="0"/>
                    <w:shd w:val="clear"/>
                    <w:kinsoku/>
                    <w:wordWrap/>
                    <w:overflowPunct/>
                    <w:topLinePunct w:val="0"/>
                    <w:autoSpaceDE/>
                    <w:autoSpaceDN/>
                    <w:bidi w:val="0"/>
                    <w:adjustRightInd w:val="0"/>
                    <w:snapToGrid w:val="0"/>
                    <w:spacing w:line="312" w:lineRule="exact"/>
                    <w:jc w:val="left"/>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注：技改后，铝铁红产能由500t/a降至420t/a，天然气用量减少。</w:t>
                  </w:r>
                </w:p>
              </w:tc>
            </w:tr>
          </w:tbl>
          <w:p w14:paraId="10B1A9FA">
            <w:pPr>
              <w:keepNext w:val="0"/>
              <w:keepLines w:val="0"/>
              <w:pageBreakBefore w:val="0"/>
              <w:widowControl w:val="0"/>
              <w:shd w:val="clear"/>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注：1、三甘油酯：</w:t>
            </w:r>
            <w:r>
              <w:rPr>
                <w:rFonts w:hint="default" w:ascii="Times New Roman" w:hAnsi="Times New Roman" w:cs="Times New Roman"/>
                <w:bCs/>
                <w:color w:val="auto"/>
                <w:sz w:val="21"/>
                <w:szCs w:val="21"/>
                <w:highlight w:val="none"/>
                <w:lang w:val="en-US" w:eastAsia="zh-CN"/>
              </w:rPr>
              <w:fldChar w:fldCharType="begin"/>
            </w:r>
            <w:r>
              <w:rPr>
                <w:rFonts w:hint="default" w:ascii="Times New Roman" w:hAnsi="Times New Roman" w:cs="Times New Roman"/>
                <w:bCs/>
                <w:color w:val="auto"/>
                <w:sz w:val="21"/>
                <w:szCs w:val="21"/>
                <w:highlight w:val="none"/>
                <w:lang w:val="en-US" w:eastAsia="zh-CN"/>
              </w:rPr>
              <w:instrText xml:space="preserve"> HYPERLINK "https://baike.baidu.com/item/%E4%B8%89%E9%85%B8%E7%94%98%E6%B2%B9%E9%85%AF/1886151?fromModule=lemma_inlink" \t "https://baike.baidu.com/item/%E4%B8%89%E9%85%B8%E7%94%98%E6%B2%B9%E8%84%82/_blank" </w:instrText>
            </w:r>
            <w:r>
              <w:rPr>
                <w:rFonts w:hint="default" w:ascii="Times New Roman" w:hAnsi="Times New Roman" w:cs="Times New Roman"/>
                <w:bCs/>
                <w:color w:val="auto"/>
                <w:sz w:val="21"/>
                <w:szCs w:val="21"/>
                <w:highlight w:val="none"/>
                <w:lang w:val="en-US" w:eastAsia="zh-CN"/>
              </w:rPr>
              <w:fldChar w:fldCharType="separate"/>
            </w:r>
            <w:r>
              <w:rPr>
                <w:rFonts w:hint="default" w:ascii="Times New Roman" w:hAnsi="Times New Roman" w:cs="Times New Roman"/>
                <w:bCs/>
                <w:color w:val="auto"/>
                <w:sz w:val="21"/>
                <w:szCs w:val="21"/>
                <w:highlight w:val="none"/>
                <w:lang w:val="en-US" w:eastAsia="zh-CN"/>
              </w:rPr>
              <w:t>三酸甘油酯</w:t>
            </w:r>
            <w:r>
              <w:rPr>
                <w:rFonts w:hint="default" w:ascii="Times New Roman" w:hAnsi="Times New Roman" w:cs="Times New Roman"/>
                <w:bCs/>
                <w:color w:val="auto"/>
                <w:sz w:val="21"/>
                <w:szCs w:val="21"/>
                <w:highlight w:val="none"/>
                <w:lang w:val="en-US" w:eastAsia="zh-CN"/>
              </w:rPr>
              <w:fldChar w:fldCharType="end"/>
            </w:r>
            <w:r>
              <w:rPr>
                <w:rFonts w:hint="default" w:ascii="Times New Roman" w:hAnsi="Times New Roman" w:cs="Times New Roman"/>
                <w:bCs/>
                <w:color w:val="auto"/>
                <w:sz w:val="21"/>
                <w:szCs w:val="21"/>
                <w:highlight w:val="none"/>
                <w:lang w:val="en-US" w:eastAsia="zh-CN"/>
              </w:rPr>
              <w:t>为动物性油脂与植物性油脂的主要成分，由1个甘油分子和3个</w:t>
            </w:r>
            <w:r>
              <w:rPr>
                <w:rFonts w:hint="default" w:ascii="Times New Roman" w:hAnsi="Times New Roman" w:cs="Times New Roman"/>
                <w:bCs/>
                <w:color w:val="auto"/>
                <w:sz w:val="21"/>
                <w:szCs w:val="21"/>
                <w:highlight w:val="none"/>
                <w:lang w:val="en-US" w:eastAsia="zh-CN"/>
              </w:rPr>
              <w:fldChar w:fldCharType="begin"/>
            </w:r>
            <w:r>
              <w:rPr>
                <w:rFonts w:hint="default" w:ascii="Times New Roman" w:hAnsi="Times New Roman" w:cs="Times New Roman"/>
                <w:bCs/>
                <w:color w:val="auto"/>
                <w:sz w:val="21"/>
                <w:szCs w:val="21"/>
                <w:highlight w:val="none"/>
                <w:lang w:val="en-US" w:eastAsia="zh-CN"/>
              </w:rPr>
              <w:instrText xml:space="preserve"> HYPERLINK "https://baike.baidu.com/item/%E8%84%82%E8%82%AA%E9%85%B8/478673?fromModule=lemma_inlink" \t "https://baike.baidu.com/item/%E4%B8%89%E9%85%B8%E7%94%98%E6%B2%B9%E8%84%82/_blank" </w:instrText>
            </w:r>
            <w:r>
              <w:rPr>
                <w:rFonts w:hint="default" w:ascii="Times New Roman" w:hAnsi="Times New Roman" w:cs="Times New Roman"/>
                <w:bCs/>
                <w:color w:val="auto"/>
                <w:sz w:val="21"/>
                <w:szCs w:val="21"/>
                <w:highlight w:val="none"/>
                <w:lang w:val="en-US" w:eastAsia="zh-CN"/>
              </w:rPr>
              <w:fldChar w:fldCharType="separate"/>
            </w:r>
            <w:r>
              <w:rPr>
                <w:rFonts w:hint="default" w:ascii="Times New Roman" w:hAnsi="Times New Roman" w:cs="Times New Roman"/>
                <w:bCs/>
                <w:color w:val="auto"/>
                <w:sz w:val="21"/>
                <w:szCs w:val="21"/>
                <w:highlight w:val="none"/>
                <w:lang w:val="en-US" w:eastAsia="zh-CN"/>
              </w:rPr>
              <w:t>脂肪酸</w:t>
            </w:r>
            <w:r>
              <w:rPr>
                <w:rFonts w:hint="default" w:ascii="Times New Roman" w:hAnsi="Times New Roman" w:cs="Times New Roman"/>
                <w:bCs/>
                <w:color w:val="auto"/>
                <w:sz w:val="21"/>
                <w:szCs w:val="21"/>
                <w:highlight w:val="none"/>
                <w:lang w:val="en-US" w:eastAsia="zh-CN"/>
              </w:rPr>
              <w:fldChar w:fldCharType="end"/>
            </w:r>
            <w:r>
              <w:rPr>
                <w:rFonts w:hint="default" w:ascii="Times New Roman" w:hAnsi="Times New Roman" w:cs="Times New Roman"/>
                <w:bCs/>
                <w:color w:val="auto"/>
                <w:sz w:val="21"/>
                <w:szCs w:val="21"/>
                <w:highlight w:val="none"/>
                <w:lang w:val="en-US" w:eastAsia="zh-CN"/>
              </w:rPr>
              <w:t>分子组成，透过饮食摄取。被广泛应用于食品业。透明油状液体。</w:t>
            </w:r>
          </w:p>
          <w:p w14:paraId="492B7BD1">
            <w:pPr>
              <w:keepNext w:val="0"/>
              <w:keepLines w:val="0"/>
              <w:pageBreakBefore w:val="0"/>
              <w:widowControl w:val="0"/>
              <w:shd w:val="clear"/>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2、椰油酸酯：椰油酸酯是一种常见的表面活性剂，被广泛应用于化妆品、个人护理产品和清洁剂等领域。透明油状液体。</w:t>
            </w:r>
          </w:p>
          <w:p w14:paraId="1CB0FAED">
            <w:pPr>
              <w:keepNext w:val="0"/>
              <w:keepLines w:val="0"/>
              <w:pageBreakBefore w:val="0"/>
              <w:widowControl w:val="0"/>
              <w:shd w:val="clear"/>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3、丙二醇辛酯：丙二醇辛酯是一种无色至淡黄色的液体，具有低挥发性和低毒性。它在水中不溶，但可与许多有机溶剂混溶。它具有良好的稳定性、耐热性和耐光性。</w:t>
            </w:r>
          </w:p>
          <w:p w14:paraId="71D6B322">
            <w:pPr>
              <w:keepNext w:val="0"/>
              <w:keepLines w:val="0"/>
              <w:pageBreakBefore w:val="0"/>
              <w:widowControl w:val="0"/>
              <w:shd w:val="clear"/>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4、棕榈油酸酯：棕榈油酸酯无色到浅黄色油状液体。- 熔点：约在30-40℃之间。- 密度：约为0.87 g/cm³。常被用作食品添加剂，可作为乳化剂、稳定剂和增稠剂使用。</w:t>
            </w:r>
          </w:p>
          <w:p w14:paraId="15495188">
            <w:pPr>
              <w:keepNext w:val="0"/>
              <w:keepLines w:val="0"/>
              <w:pageBreakBefore w:val="0"/>
              <w:widowControl w:val="0"/>
              <w:shd w:val="clear"/>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5、分散剂：有机高分子型超分散剂，含有亲无机材料、颜料等基团的高分子型嵌段共聚物，主要为聚酰胺类树脂，聚酰胺类树脂含量约为100%。</w:t>
            </w:r>
          </w:p>
          <w:p w14:paraId="5FCBB676">
            <w:pPr>
              <w:keepNext w:val="0"/>
              <w:keepLines w:val="0"/>
              <w:pageBreakBefore w:val="0"/>
              <w:widowControl w:val="0"/>
              <w:shd w:val="clear"/>
              <w:kinsoku/>
              <w:wordWrap/>
              <w:overflowPunct/>
              <w:topLinePunct w:val="0"/>
              <w:autoSpaceDE/>
              <w:autoSpaceDN/>
              <w:bidi w:val="0"/>
              <w:adjustRightInd w:val="0"/>
              <w:snapToGrid w:val="0"/>
              <w:spacing w:line="480" w:lineRule="exact"/>
              <w:ind w:firstLine="482" w:firstLineChars="200"/>
              <w:jc w:val="left"/>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5.生产设备</w:t>
            </w:r>
          </w:p>
          <w:p w14:paraId="3D389469">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本项目主要设备如下：</w:t>
            </w:r>
          </w:p>
          <w:p w14:paraId="7DC69EF2">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表2-4 主要设备一览表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1157"/>
              <w:gridCol w:w="1991"/>
              <w:gridCol w:w="1145"/>
              <w:gridCol w:w="976"/>
              <w:gridCol w:w="990"/>
              <w:gridCol w:w="919"/>
            </w:tblGrid>
            <w:tr w14:paraId="4EACF7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694" w:type="dxa"/>
                  <w:vMerge w:val="restart"/>
                  <w:tcBorders>
                    <w:tl2br w:val="nil"/>
                    <w:tr2bl w:val="nil"/>
                  </w:tcBorders>
                  <w:noWrap w:val="0"/>
                  <w:vAlign w:val="center"/>
                </w:tcPr>
                <w:p w14:paraId="2D787C3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序号</w:t>
                  </w:r>
                </w:p>
              </w:tc>
              <w:tc>
                <w:tcPr>
                  <w:tcW w:w="1157" w:type="dxa"/>
                  <w:vMerge w:val="restart"/>
                  <w:tcBorders>
                    <w:tl2br w:val="nil"/>
                    <w:tr2bl w:val="nil"/>
                  </w:tcBorders>
                  <w:noWrap w:val="0"/>
                  <w:vAlign w:val="center"/>
                </w:tcPr>
                <w:p w14:paraId="0777D5D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生产线</w:t>
                  </w:r>
                </w:p>
              </w:tc>
              <w:tc>
                <w:tcPr>
                  <w:tcW w:w="1991" w:type="dxa"/>
                  <w:vMerge w:val="restart"/>
                  <w:tcBorders>
                    <w:tl2br w:val="nil"/>
                    <w:tr2bl w:val="nil"/>
                  </w:tcBorders>
                  <w:noWrap w:val="0"/>
                  <w:vAlign w:val="center"/>
                </w:tcPr>
                <w:p w14:paraId="29F3522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设备名称</w:t>
                  </w:r>
                </w:p>
              </w:tc>
              <w:tc>
                <w:tcPr>
                  <w:tcW w:w="1145" w:type="dxa"/>
                  <w:vMerge w:val="restart"/>
                  <w:tcBorders>
                    <w:tl2br w:val="nil"/>
                    <w:tr2bl w:val="nil"/>
                  </w:tcBorders>
                  <w:noWrap w:val="0"/>
                  <w:vAlign w:val="center"/>
                </w:tcPr>
                <w:p w14:paraId="4673294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规格型号</w:t>
                  </w:r>
                </w:p>
              </w:tc>
              <w:tc>
                <w:tcPr>
                  <w:tcW w:w="976" w:type="dxa"/>
                  <w:vMerge w:val="restart"/>
                  <w:tcBorders>
                    <w:tl2br w:val="nil"/>
                    <w:tr2bl w:val="nil"/>
                  </w:tcBorders>
                  <w:noWrap w:val="0"/>
                  <w:vAlign w:val="center"/>
                </w:tcPr>
                <w:p w14:paraId="25D9CEE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单位</w:t>
                  </w:r>
                </w:p>
              </w:tc>
              <w:tc>
                <w:tcPr>
                  <w:tcW w:w="1909" w:type="dxa"/>
                  <w:gridSpan w:val="2"/>
                  <w:tcBorders>
                    <w:tl2br w:val="nil"/>
                    <w:tr2bl w:val="nil"/>
                  </w:tcBorders>
                  <w:noWrap w:val="0"/>
                  <w:vAlign w:val="center"/>
                </w:tcPr>
                <w:p w14:paraId="3BD9C2B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全厂</w:t>
                  </w:r>
                  <w:r>
                    <w:rPr>
                      <w:rFonts w:hint="default" w:ascii="Times New Roman" w:hAnsi="Times New Roman" w:eastAsia="宋体" w:cs="Times New Roman"/>
                      <w:b/>
                      <w:bCs w:val="0"/>
                      <w:color w:val="auto"/>
                      <w:sz w:val="21"/>
                      <w:szCs w:val="21"/>
                      <w:highlight w:val="none"/>
                      <w:vertAlign w:val="baseline"/>
                      <w:lang w:val="en-US" w:eastAsia="zh-CN"/>
                    </w:rPr>
                    <w:t>数量</w:t>
                  </w:r>
                </w:p>
              </w:tc>
            </w:tr>
            <w:tr w14:paraId="4CC875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694" w:type="dxa"/>
                  <w:vMerge w:val="continue"/>
                  <w:tcBorders>
                    <w:tl2br w:val="nil"/>
                    <w:tr2bl w:val="nil"/>
                  </w:tcBorders>
                  <w:noWrap w:val="0"/>
                  <w:vAlign w:val="center"/>
                </w:tcPr>
                <w:p w14:paraId="587E236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1157" w:type="dxa"/>
                  <w:vMerge w:val="continue"/>
                  <w:tcBorders>
                    <w:tl2br w:val="nil"/>
                    <w:tr2bl w:val="nil"/>
                  </w:tcBorders>
                  <w:noWrap w:val="0"/>
                  <w:vAlign w:val="center"/>
                </w:tcPr>
                <w:p w14:paraId="674E9C3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1991" w:type="dxa"/>
                  <w:vMerge w:val="continue"/>
                  <w:tcBorders>
                    <w:tl2br w:val="nil"/>
                    <w:tr2bl w:val="nil"/>
                  </w:tcBorders>
                  <w:noWrap w:val="0"/>
                  <w:vAlign w:val="center"/>
                </w:tcPr>
                <w:p w14:paraId="07599D4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1145" w:type="dxa"/>
                  <w:vMerge w:val="continue"/>
                  <w:tcBorders>
                    <w:tl2br w:val="nil"/>
                    <w:tr2bl w:val="nil"/>
                  </w:tcBorders>
                  <w:noWrap w:val="0"/>
                  <w:vAlign w:val="center"/>
                </w:tcPr>
                <w:p w14:paraId="6ACD02A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976" w:type="dxa"/>
                  <w:vMerge w:val="continue"/>
                  <w:tcBorders>
                    <w:tl2br w:val="nil"/>
                    <w:tr2bl w:val="nil"/>
                  </w:tcBorders>
                  <w:noWrap w:val="0"/>
                  <w:vAlign w:val="center"/>
                </w:tcPr>
                <w:p w14:paraId="058637C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990" w:type="dxa"/>
                  <w:tcBorders>
                    <w:tl2br w:val="nil"/>
                    <w:tr2bl w:val="nil"/>
                  </w:tcBorders>
                  <w:noWrap w:val="0"/>
                  <w:vAlign w:val="center"/>
                </w:tcPr>
                <w:p w14:paraId="7057149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技改前</w:t>
                  </w:r>
                </w:p>
              </w:tc>
              <w:tc>
                <w:tcPr>
                  <w:tcW w:w="919" w:type="dxa"/>
                  <w:tcBorders>
                    <w:tl2br w:val="nil"/>
                    <w:tr2bl w:val="nil"/>
                  </w:tcBorders>
                  <w:noWrap w:val="0"/>
                  <w:vAlign w:val="center"/>
                </w:tcPr>
                <w:p w14:paraId="50835D7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cs="Times New Roman"/>
                      <w:b/>
                      <w:bCs w:val="0"/>
                      <w:color w:val="auto"/>
                      <w:sz w:val="21"/>
                      <w:szCs w:val="21"/>
                      <w:highlight w:val="none"/>
                      <w:vertAlign w:val="baseline"/>
                      <w:lang w:val="en-US" w:eastAsia="zh-CN"/>
                    </w:rPr>
                    <w:t>技改后</w:t>
                  </w:r>
                </w:p>
              </w:tc>
            </w:tr>
            <w:tr w14:paraId="297B07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276F3BF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1</w:t>
                  </w:r>
                </w:p>
              </w:tc>
              <w:tc>
                <w:tcPr>
                  <w:tcW w:w="1157" w:type="dxa"/>
                  <w:vMerge w:val="restart"/>
                  <w:tcBorders>
                    <w:tl2br w:val="nil"/>
                    <w:tr2bl w:val="nil"/>
                  </w:tcBorders>
                  <w:noWrap w:val="0"/>
                  <w:vAlign w:val="center"/>
                </w:tcPr>
                <w:p w14:paraId="306DDFF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铝铁红</w:t>
                  </w:r>
                </w:p>
              </w:tc>
              <w:tc>
                <w:tcPr>
                  <w:tcW w:w="1991" w:type="dxa"/>
                  <w:tcBorders>
                    <w:tl2br w:val="nil"/>
                    <w:tr2bl w:val="nil"/>
                  </w:tcBorders>
                  <w:noWrap w:val="0"/>
                  <w:vAlign w:val="center"/>
                </w:tcPr>
                <w:p w14:paraId="523BFFD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球磨机</w:t>
                  </w:r>
                </w:p>
              </w:tc>
              <w:tc>
                <w:tcPr>
                  <w:tcW w:w="1145" w:type="dxa"/>
                  <w:tcBorders>
                    <w:tl2br w:val="nil"/>
                    <w:tr2bl w:val="nil"/>
                  </w:tcBorders>
                  <w:noWrap w:val="0"/>
                  <w:vAlign w:val="center"/>
                </w:tcPr>
                <w:p w14:paraId="6996A77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5F0D3AF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462D2F0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w:t>
                  </w:r>
                </w:p>
              </w:tc>
              <w:tc>
                <w:tcPr>
                  <w:tcW w:w="919" w:type="dxa"/>
                  <w:tcBorders>
                    <w:tl2br w:val="nil"/>
                    <w:tr2bl w:val="nil"/>
                  </w:tcBorders>
                  <w:noWrap w:val="0"/>
                  <w:vAlign w:val="center"/>
                </w:tcPr>
                <w:p w14:paraId="3506654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w:t>
                  </w:r>
                </w:p>
              </w:tc>
            </w:tr>
            <w:tr w14:paraId="2A4464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1A3D391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2</w:t>
                  </w:r>
                </w:p>
              </w:tc>
              <w:tc>
                <w:tcPr>
                  <w:tcW w:w="1157" w:type="dxa"/>
                  <w:vMerge w:val="continue"/>
                  <w:tcBorders>
                    <w:tl2br w:val="nil"/>
                    <w:tr2bl w:val="nil"/>
                  </w:tcBorders>
                  <w:noWrap w:val="0"/>
                  <w:vAlign w:val="center"/>
                </w:tcPr>
                <w:p w14:paraId="62232A5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35FE110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混合机</w:t>
                  </w:r>
                </w:p>
              </w:tc>
              <w:tc>
                <w:tcPr>
                  <w:tcW w:w="1145" w:type="dxa"/>
                  <w:tcBorders>
                    <w:tl2br w:val="nil"/>
                    <w:tr2bl w:val="nil"/>
                  </w:tcBorders>
                  <w:noWrap w:val="0"/>
                  <w:vAlign w:val="center"/>
                </w:tcPr>
                <w:p w14:paraId="5576230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41B0F99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7286602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w:t>
                  </w:r>
                </w:p>
              </w:tc>
              <w:tc>
                <w:tcPr>
                  <w:tcW w:w="919" w:type="dxa"/>
                  <w:tcBorders>
                    <w:tl2br w:val="nil"/>
                    <w:tr2bl w:val="nil"/>
                  </w:tcBorders>
                  <w:noWrap w:val="0"/>
                  <w:vAlign w:val="center"/>
                </w:tcPr>
                <w:p w14:paraId="403C63E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w:t>
                  </w:r>
                </w:p>
              </w:tc>
            </w:tr>
            <w:tr w14:paraId="37ED9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7C02160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3</w:t>
                  </w:r>
                </w:p>
              </w:tc>
              <w:tc>
                <w:tcPr>
                  <w:tcW w:w="1157" w:type="dxa"/>
                  <w:vMerge w:val="continue"/>
                  <w:tcBorders>
                    <w:tl2br w:val="nil"/>
                    <w:tr2bl w:val="nil"/>
                  </w:tcBorders>
                  <w:noWrap w:val="0"/>
                  <w:vAlign w:val="center"/>
                </w:tcPr>
                <w:p w14:paraId="239F70A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0C20882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搅拌机</w:t>
                  </w:r>
                </w:p>
              </w:tc>
              <w:tc>
                <w:tcPr>
                  <w:tcW w:w="1145" w:type="dxa"/>
                  <w:tcBorders>
                    <w:tl2br w:val="nil"/>
                    <w:tr2bl w:val="nil"/>
                  </w:tcBorders>
                  <w:noWrap w:val="0"/>
                  <w:vAlign w:val="center"/>
                </w:tcPr>
                <w:p w14:paraId="5C35EA3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VCG100</w:t>
                  </w:r>
                </w:p>
              </w:tc>
              <w:tc>
                <w:tcPr>
                  <w:tcW w:w="976" w:type="dxa"/>
                  <w:tcBorders>
                    <w:tl2br w:val="nil"/>
                    <w:tr2bl w:val="nil"/>
                  </w:tcBorders>
                  <w:noWrap w:val="0"/>
                  <w:vAlign w:val="center"/>
                </w:tcPr>
                <w:p w14:paraId="496E4D3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center"/>
                </w:tcPr>
                <w:p w14:paraId="246EE50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4</w:t>
                  </w:r>
                </w:p>
              </w:tc>
              <w:tc>
                <w:tcPr>
                  <w:tcW w:w="919" w:type="dxa"/>
                  <w:tcBorders>
                    <w:tl2br w:val="nil"/>
                    <w:tr2bl w:val="nil"/>
                  </w:tcBorders>
                  <w:noWrap w:val="0"/>
                  <w:vAlign w:val="center"/>
                </w:tcPr>
                <w:p w14:paraId="3C50DAB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4</w:t>
                  </w:r>
                </w:p>
              </w:tc>
            </w:tr>
            <w:tr w14:paraId="0DE5F2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7FE1DB9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cs="Times New Roman"/>
                      <w:bCs/>
                      <w:color w:val="auto"/>
                      <w:sz w:val="21"/>
                      <w:szCs w:val="21"/>
                      <w:highlight w:val="none"/>
                      <w:vertAlign w:val="baseline"/>
                      <w:lang w:val="en-US" w:eastAsia="zh-CN"/>
                    </w:rPr>
                    <w:t>4</w:t>
                  </w:r>
                </w:p>
              </w:tc>
              <w:tc>
                <w:tcPr>
                  <w:tcW w:w="1157" w:type="dxa"/>
                  <w:vMerge w:val="continue"/>
                  <w:tcBorders>
                    <w:tl2br w:val="nil"/>
                    <w:tr2bl w:val="nil"/>
                  </w:tcBorders>
                  <w:noWrap w:val="0"/>
                  <w:vAlign w:val="center"/>
                </w:tcPr>
                <w:p w14:paraId="0F43DAB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3B7B3B1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微粉机</w:t>
                  </w:r>
                </w:p>
              </w:tc>
              <w:tc>
                <w:tcPr>
                  <w:tcW w:w="1145" w:type="dxa"/>
                  <w:tcBorders>
                    <w:tl2br w:val="nil"/>
                    <w:tr2bl w:val="nil"/>
                  </w:tcBorders>
                  <w:noWrap w:val="0"/>
                  <w:vAlign w:val="center"/>
                </w:tcPr>
                <w:p w14:paraId="412DE2E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400目</w:t>
                  </w:r>
                </w:p>
              </w:tc>
              <w:tc>
                <w:tcPr>
                  <w:tcW w:w="976" w:type="dxa"/>
                  <w:tcBorders>
                    <w:tl2br w:val="nil"/>
                    <w:tr2bl w:val="nil"/>
                  </w:tcBorders>
                  <w:noWrap w:val="0"/>
                  <w:vAlign w:val="center"/>
                </w:tcPr>
                <w:p w14:paraId="79A1BA0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center"/>
                </w:tcPr>
                <w:p w14:paraId="031F071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5</w:t>
                  </w:r>
                </w:p>
              </w:tc>
              <w:tc>
                <w:tcPr>
                  <w:tcW w:w="919" w:type="dxa"/>
                  <w:tcBorders>
                    <w:tl2br w:val="nil"/>
                    <w:tr2bl w:val="nil"/>
                  </w:tcBorders>
                  <w:noWrap w:val="0"/>
                  <w:vAlign w:val="center"/>
                </w:tcPr>
                <w:p w14:paraId="241BCD7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5</w:t>
                  </w:r>
                </w:p>
              </w:tc>
            </w:tr>
            <w:tr w14:paraId="139D93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052025C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5</w:t>
                  </w:r>
                </w:p>
              </w:tc>
              <w:tc>
                <w:tcPr>
                  <w:tcW w:w="1157" w:type="dxa"/>
                  <w:vMerge w:val="continue"/>
                  <w:tcBorders>
                    <w:tl2br w:val="nil"/>
                    <w:tr2bl w:val="nil"/>
                  </w:tcBorders>
                  <w:noWrap w:val="0"/>
                  <w:vAlign w:val="center"/>
                </w:tcPr>
                <w:p w14:paraId="33FAA85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6BCDF40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梭式环保窑</w:t>
                  </w:r>
                </w:p>
              </w:tc>
              <w:tc>
                <w:tcPr>
                  <w:tcW w:w="1145" w:type="dxa"/>
                  <w:tcBorders>
                    <w:tl2br w:val="nil"/>
                    <w:tr2bl w:val="nil"/>
                  </w:tcBorders>
                  <w:noWrap w:val="0"/>
                  <w:vAlign w:val="center"/>
                </w:tcPr>
                <w:p w14:paraId="38D74EA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3m</w:t>
                  </w:r>
                  <w:r>
                    <w:rPr>
                      <w:rFonts w:hint="default" w:ascii="Times New Roman" w:hAnsi="Times New Roman" w:cs="Times New Roman"/>
                      <w:bCs/>
                      <w:color w:val="auto"/>
                      <w:sz w:val="21"/>
                      <w:szCs w:val="21"/>
                      <w:highlight w:val="none"/>
                      <w:vertAlign w:val="superscript"/>
                      <w:lang w:val="en-US" w:eastAsia="zh-CN"/>
                    </w:rPr>
                    <w:t>3</w:t>
                  </w:r>
                </w:p>
              </w:tc>
              <w:tc>
                <w:tcPr>
                  <w:tcW w:w="976" w:type="dxa"/>
                  <w:tcBorders>
                    <w:tl2br w:val="nil"/>
                    <w:tr2bl w:val="nil"/>
                  </w:tcBorders>
                  <w:noWrap w:val="0"/>
                  <w:vAlign w:val="center"/>
                </w:tcPr>
                <w:p w14:paraId="4A9B278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center"/>
                </w:tcPr>
                <w:p w14:paraId="2332D61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w:t>
                  </w:r>
                </w:p>
              </w:tc>
              <w:tc>
                <w:tcPr>
                  <w:tcW w:w="919" w:type="dxa"/>
                  <w:tcBorders>
                    <w:tl2br w:val="nil"/>
                    <w:tr2bl w:val="nil"/>
                  </w:tcBorders>
                  <w:noWrap w:val="0"/>
                  <w:vAlign w:val="center"/>
                </w:tcPr>
                <w:p w14:paraId="38492E1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w:t>
                  </w:r>
                </w:p>
              </w:tc>
            </w:tr>
            <w:tr w14:paraId="57CA8B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41D5326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6</w:t>
                  </w:r>
                </w:p>
              </w:tc>
              <w:tc>
                <w:tcPr>
                  <w:tcW w:w="1157" w:type="dxa"/>
                  <w:vMerge w:val="continue"/>
                  <w:tcBorders>
                    <w:tl2br w:val="nil"/>
                    <w:tr2bl w:val="nil"/>
                  </w:tcBorders>
                  <w:noWrap w:val="0"/>
                  <w:vAlign w:val="center"/>
                </w:tcPr>
                <w:p w14:paraId="2B55CA7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6B4148B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叉车</w:t>
                  </w:r>
                </w:p>
              </w:tc>
              <w:tc>
                <w:tcPr>
                  <w:tcW w:w="1145" w:type="dxa"/>
                  <w:tcBorders>
                    <w:tl2br w:val="nil"/>
                    <w:tr2bl w:val="nil"/>
                  </w:tcBorders>
                  <w:noWrap w:val="0"/>
                  <w:vAlign w:val="center"/>
                </w:tcPr>
                <w:p w14:paraId="39D2330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359458C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辆</w:t>
                  </w:r>
                </w:p>
              </w:tc>
              <w:tc>
                <w:tcPr>
                  <w:tcW w:w="990" w:type="dxa"/>
                  <w:tcBorders>
                    <w:tl2br w:val="nil"/>
                    <w:tr2bl w:val="nil"/>
                  </w:tcBorders>
                  <w:noWrap w:val="0"/>
                  <w:vAlign w:val="center"/>
                </w:tcPr>
                <w:p w14:paraId="21A1D4B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w:t>
                  </w:r>
                </w:p>
              </w:tc>
              <w:tc>
                <w:tcPr>
                  <w:tcW w:w="919" w:type="dxa"/>
                  <w:tcBorders>
                    <w:tl2br w:val="nil"/>
                    <w:tr2bl w:val="nil"/>
                  </w:tcBorders>
                  <w:noWrap w:val="0"/>
                  <w:vAlign w:val="center"/>
                </w:tcPr>
                <w:p w14:paraId="68BF42F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w:t>
                  </w:r>
                </w:p>
              </w:tc>
            </w:tr>
            <w:tr w14:paraId="13D1D9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4DDAB2F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7</w:t>
                  </w:r>
                </w:p>
              </w:tc>
              <w:tc>
                <w:tcPr>
                  <w:tcW w:w="1157" w:type="dxa"/>
                  <w:vMerge w:val="continue"/>
                  <w:tcBorders>
                    <w:tl2br w:val="nil"/>
                    <w:tr2bl w:val="nil"/>
                  </w:tcBorders>
                  <w:noWrap w:val="0"/>
                  <w:vAlign w:val="center"/>
                </w:tcPr>
                <w:p w14:paraId="6B3C35A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784C9CD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混料机</w:t>
                  </w:r>
                </w:p>
              </w:tc>
              <w:tc>
                <w:tcPr>
                  <w:tcW w:w="1145" w:type="dxa"/>
                  <w:tcBorders>
                    <w:tl2br w:val="nil"/>
                    <w:tr2bl w:val="nil"/>
                  </w:tcBorders>
                  <w:noWrap w:val="0"/>
                  <w:vAlign w:val="center"/>
                </w:tcPr>
                <w:p w14:paraId="206D3AF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7D8A3A6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center"/>
                </w:tcPr>
                <w:p w14:paraId="5F582F1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19" w:type="dxa"/>
                  <w:tcBorders>
                    <w:tl2br w:val="nil"/>
                    <w:tr2bl w:val="nil"/>
                  </w:tcBorders>
                  <w:noWrap w:val="0"/>
                  <w:vAlign w:val="center"/>
                </w:tcPr>
                <w:p w14:paraId="2ABDC63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6</w:t>
                  </w:r>
                </w:p>
              </w:tc>
            </w:tr>
            <w:tr w14:paraId="21967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1C9C134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8</w:t>
                  </w:r>
                </w:p>
              </w:tc>
              <w:tc>
                <w:tcPr>
                  <w:tcW w:w="1157" w:type="dxa"/>
                  <w:vMerge w:val="continue"/>
                  <w:tcBorders>
                    <w:tl2br w:val="nil"/>
                    <w:tr2bl w:val="nil"/>
                  </w:tcBorders>
                  <w:noWrap w:val="0"/>
                  <w:vAlign w:val="center"/>
                </w:tcPr>
                <w:p w14:paraId="5670781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7E44ABC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气流磨</w:t>
                  </w:r>
                </w:p>
              </w:tc>
              <w:tc>
                <w:tcPr>
                  <w:tcW w:w="1145" w:type="dxa"/>
                  <w:tcBorders>
                    <w:tl2br w:val="nil"/>
                    <w:tr2bl w:val="nil"/>
                  </w:tcBorders>
                  <w:noWrap w:val="0"/>
                  <w:vAlign w:val="center"/>
                </w:tcPr>
                <w:p w14:paraId="19E5C47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4A0423C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03C14C5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19" w:type="dxa"/>
                  <w:tcBorders>
                    <w:tl2br w:val="nil"/>
                    <w:tr2bl w:val="nil"/>
                  </w:tcBorders>
                  <w:noWrap w:val="0"/>
                  <w:vAlign w:val="center"/>
                </w:tcPr>
                <w:p w14:paraId="30F62F0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w:t>
                  </w:r>
                </w:p>
              </w:tc>
            </w:tr>
            <w:tr w14:paraId="4F1C2F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1006484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9</w:t>
                  </w:r>
                </w:p>
              </w:tc>
              <w:tc>
                <w:tcPr>
                  <w:tcW w:w="1157" w:type="dxa"/>
                  <w:vMerge w:val="restart"/>
                  <w:tcBorders>
                    <w:tl2br w:val="nil"/>
                    <w:tr2bl w:val="nil"/>
                  </w:tcBorders>
                  <w:noWrap w:val="0"/>
                  <w:vAlign w:val="center"/>
                </w:tcPr>
                <w:p w14:paraId="581B5F3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陶瓷喷墨墨水</w:t>
                  </w:r>
                </w:p>
              </w:tc>
              <w:tc>
                <w:tcPr>
                  <w:tcW w:w="1991" w:type="dxa"/>
                  <w:tcBorders>
                    <w:tl2br w:val="nil"/>
                    <w:tr2bl w:val="nil"/>
                  </w:tcBorders>
                  <w:noWrap w:val="0"/>
                  <w:vAlign w:val="center"/>
                </w:tcPr>
                <w:p w14:paraId="5CF3DA4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搅拌机</w:t>
                  </w:r>
                </w:p>
              </w:tc>
              <w:tc>
                <w:tcPr>
                  <w:tcW w:w="1145" w:type="dxa"/>
                  <w:tcBorders>
                    <w:tl2br w:val="nil"/>
                    <w:tr2bl w:val="nil"/>
                  </w:tcBorders>
                  <w:noWrap w:val="0"/>
                  <w:vAlign w:val="center"/>
                </w:tcPr>
                <w:p w14:paraId="5C0BB40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78D80DF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59B356C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19" w:type="dxa"/>
                  <w:tcBorders>
                    <w:tl2br w:val="nil"/>
                    <w:tr2bl w:val="nil"/>
                  </w:tcBorders>
                  <w:noWrap w:val="0"/>
                  <w:vAlign w:val="top"/>
                </w:tcPr>
                <w:p w14:paraId="3FAEF48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6</w:t>
                  </w:r>
                </w:p>
              </w:tc>
            </w:tr>
            <w:tr w14:paraId="1788F1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18A01F5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10</w:t>
                  </w:r>
                </w:p>
              </w:tc>
              <w:tc>
                <w:tcPr>
                  <w:tcW w:w="1157" w:type="dxa"/>
                  <w:vMerge w:val="continue"/>
                  <w:tcBorders>
                    <w:tl2br w:val="nil"/>
                    <w:tr2bl w:val="nil"/>
                  </w:tcBorders>
                  <w:noWrap w:val="0"/>
                  <w:vAlign w:val="center"/>
                </w:tcPr>
                <w:p w14:paraId="2623C7F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5BB74DB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砂磨机</w:t>
                  </w:r>
                </w:p>
              </w:tc>
              <w:tc>
                <w:tcPr>
                  <w:tcW w:w="1145" w:type="dxa"/>
                  <w:tcBorders>
                    <w:tl2br w:val="nil"/>
                    <w:tr2bl w:val="nil"/>
                  </w:tcBorders>
                  <w:noWrap w:val="0"/>
                  <w:vAlign w:val="center"/>
                </w:tcPr>
                <w:p w14:paraId="36A9B22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6D3CCCD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3278CFC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19" w:type="dxa"/>
                  <w:tcBorders>
                    <w:tl2br w:val="nil"/>
                    <w:tr2bl w:val="nil"/>
                  </w:tcBorders>
                  <w:noWrap w:val="0"/>
                  <w:vAlign w:val="top"/>
                </w:tcPr>
                <w:p w14:paraId="670024F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6</w:t>
                  </w:r>
                </w:p>
              </w:tc>
            </w:tr>
            <w:tr w14:paraId="387628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694" w:type="dxa"/>
                  <w:tcBorders>
                    <w:tl2br w:val="nil"/>
                    <w:tr2bl w:val="nil"/>
                  </w:tcBorders>
                  <w:noWrap w:val="0"/>
                  <w:vAlign w:val="center"/>
                </w:tcPr>
                <w:p w14:paraId="5FAD446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11</w:t>
                  </w:r>
                </w:p>
              </w:tc>
              <w:tc>
                <w:tcPr>
                  <w:tcW w:w="1157" w:type="dxa"/>
                  <w:vMerge w:val="continue"/>
                  <w:tcBorders>
                    <w:tl2br w:val="nil"/>
                    <w:tr2bl w:val="nil"/>
                  </w:tcBorders>
                  <w:noWrap w:val="0"/>
                  <w:vAlign w:val="center"/>
                </w:tcPr>
                <w:p w14:paraId="6326198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7BC568D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冷水机</w:t>
                  </w:r>
                </w:p>
              </w:tc>
              <w:tc>
                <w:tcPr>
                  <w:tcW w:w="1145" w:type="dxa"/>
                  <w:tcBorders>
                    <w:tl2br w:val="nil"/>
                    <w:tr2bl w:val="nil"/>
                  </w:tcBorders>
                  <w:noWrap w:val="0"/>
                  <w:vAlign w:val="center"/>
                </w:tcPr>
                <w:p w14:paraId="1D08A9C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1m</w:t>
                  </w:r>
                  <w:r>
                    <w:rPr>
                      <w:rFonts w:hint="default" w:ascii="Times New Roman" w:hAnsi="Times New Roman" w:cs="Times New Roman"/>
                      <w:bCs/>
                      <w:color w:val="auto"/>
                      <w:sz w:val="21"/>
                      <w:szCs w:val="21"/>
                      <w:highlight w:val="none"/>
                      <w:vertAlign w:val="superscript"/>
                      <w:lang w:val="en-US" w:eastAsia="zh-CN"/>
                    </w:rPr>
                    <w:t>3</w:t>
                  </w:r>
                  <w:r>
                    <w:rPr>
                      <w:rFonts w:hint="default" w:ascii="Times New Roman" w:hAnsi="Times New Roman" w:cs="Times New Roman"/>
                      <w:bCs/>
                      <w:color w:val="auto"/>
                      <w:sz w:val="21"/>
                      <w:szCs w:val="21"/>
                      <w:highlight w:val="none"/>
                      <w:vertAlign w:val="baseline"/>
                      <w:lang w:val="en-US" w:eastAsia="zh-CN"/>
                    </w:rPr>
                    <w:t>/h</w:t>
                  </w:r>
                </w:p>
              </w:tc>
              <w:tc>
                <w:tcPr>
                  <w:tcW w:w="976" w:type="dxa"/>
                  <w:tcBorders>
                    <w:tl2br w:val="nil"/>
                    <w:tr2bl w:val="nil"/>
                  </w:tcBorders>
                  <w:noWrap w:val="0"/>
                  <w:vAlign w:val="center"/>
                </w:tcPr>
                <w:p w14:paraId="5BDA0AD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4025CD1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19" w:type="dxa"/>
                  <w:tcBorders>
                    <w:tl2br w:val="nil"/>
                    <w:tr2bl w:val="nil"/>
                  </w:tcBorders>
                  <w:noWrap w:val="0"/>
                  <w:vAlign w:val="top"/>
                </w:tcPr>
                <w:p w14:paraId="500C963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6</w:t>
                  </w:r>
                </w:p>
              </w:tc>
            </w:tr>
            <w:tr w14:paraId="44FB8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694" w:type="dxa"/>
                  <w:tcBorders>
                    <w:tl2br w:val="nil"/>
                    <w:tr2bl w:val="nil"/>
                  </w:tcBorders>
                  <w:noWrap w:val="0"/>
                  <w:vAlign w:val="center"/>
                </w:tcPr>
                <w:p w14:paraId="43D7FD1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Cs/>
                      <w:color w:val="auto"/>
                      <w:sz w:val="21"/>
                      <w:szCs w:val="21"/>
                      <w:highlight w:val="none"/>
                      <w:vertAlign w:val="baseline"/>
                      <w:lang w:val="en-US" w:eastAsia="zh-CN"/>
                    </w:rPr>
                    <w:t>12</w:t>
                  </w:r>
                </w:p>
              </w:tc>
              <w:tc>
                <w:tcPr>
                  <w:tcW w:w="1157" w:type="dxa"/>
                  <w:vMerge w:val="continue"/>
                  <w:tcBorders>
                    <w:tl2br w:val="nil"/>
                    <w:tr2bl w:val="nil"/>
                  </w:tcBorders>
                  <w:noWrap w:val="0"/>
                  <w:vAlign w:val="center"/>
                </w:tcPr>
                <w:p w14:paraId="30ED9D4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color w:val="auto"/>
                    </w:rPr>
                  </w:pPr>
                </w:p>
              </w:tc>
              <w:tc>
                <w:tcPr>
                  <w:tcW w:w="1991" w:type="dxa"/>
                  <w:tcBorders>
                    <w:tl2br w:val="nil"/>
                    <w:tr2bl w:val="nil"/>
                  </w:tcBorders>
                  <w:noWrap w:val="0"/>
                  <w:vAlign w:val="center"/>
                </w:tcPr>
                <w:p w14:paraId="1D3D6C7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蒸发器</w:t>
                  </w:r>
                </w:p>
              </w:tc>
              <w:tc>
                <w:tcPr>
                  <w:tcW w:w="1145" w:type="dxa"/>
                  <w:tcBorders>
                    <w:tl2br w:val="nil"/>
                    <w:tr2bl w:val="nil"/>
                  </w:tcBorders>
                  <w:noWrap w:val="0"/>
                  <w:vAlign w:val="center"/>
                </w:tcPr>
                <w:p w14:paraId="424884A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76C3488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76C4844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19" w:type="dxa"/>
                  <w:tcBorders>
                    <w:tl2br w:val="nil"/>
                    <w:tr2bl w:val="nil"/>
                  </w:tcBorders>
                  <w:noWrap w:val="0"/>
                  <w:vAlign w:val="top"/>
                </w:tcPr>
                <w:p w14:paraId="5EF3EA4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w:t>
                  </w:r>
                </w:p>
              </w:tc>
            </w:tr>
            <w:tr w14:paraId="10B14C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682B674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Cs/>
                      <w:color w:val="auto"/>
                      <w:sz w:val="21"/>
                      <w:szCs w:val="21"/>
                      <w:highlight w:val="none"/>
                      <w:vertAlign w:val="baseline"/>
                      <w:lang w:val="en-US" w:eastAsia="zh-CN"/>
                    </w:rPr>
                    <w:t>13</w:t>
                  </w:r>
                </w:p>
              </w:tc>
              <w:tc>
                <w:tcPr>
                  <w:tcW w:w="1157" w:type="dxa"/>
                  <w:vMerge w:val="continue"/>
                  <w:tcBorders>
                    <w:tl2br w:val="nil"/>
                    <w:tr2bl w:val="nil"/>
                  </w:tcBorders>
                  <w:noWrap w:val="0"/>
                  <w:vAlign w:val="center"/>
                </w:tcPr>
                <w:p w14:paraId="0168FB4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5F65444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储罐</w:t>
                  </w:r>
                </w:p>
              </w:tc>
              <w:tc>
                <w:tcPr>
                  <w:tcW w:w="1145" w:type="dxa"/>
                  <w:tcBorders>
                    <w:tl2br w:val="nil"/>
                    <w:tr2bl w:val="nil"/>
                  </w:tcBorders>
                  <w:noWrap w:val="0"/>
                  <w:vAlign w:val="center"/>
                </w:tcPr>
                <w:p w14:paraId="3FC5719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cs="Times New Roman"/>
                      <w:bCs/>
                      <w:color w:val="auto"/>
                      <w:sz w:val="21"/>
                      <w:szCs w:val="21"/>
                      <w:highlight w:val="none"/>
                      <w:vertAlign w:val="baseline"/>
                      <w:lang w:val="en-US" w:eastAsia="zh-CN"/>
                    </w:rPr>
                    <w:t>4m</w:t>
                  </w:r>
                  <w:r>
                    <w:rPr>
                      <w:rFonts w:hint="eastAsia" w:cs="Times New Roman"/>
                      <w:bCs/>
                      <w:color w:val="auto"/>
                      <w:sz w:val="21"/>
                      <w:szCs w:val="21"/>
                      <w:highlight w:val="none"/>
                      <w:vertAlign w:val="superscript"/>
                      <w:lang w:val="en-US" w:eastAsia="zh-CN"/>
                    </w:rPr>
                    <w:t>3</w:t>
                  </w:r>
                </w:p>
              </w:tc>
              <w:tc>
                <w:tcPr>
                  <w:tcW w:w="976" w:type="dxa"/>
                  <w:tcBorders>
                    <w:tl2br w:val="nil"/>
                    <w:tr2bl w:val="nil"/>
                  </w:tcBorders>
                  <w:noWrap w:val="0"/>
                  <w:vAlign w:val="center"/>
                </w:tcPr>
                <w:p w14:paraId="2B68CA4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712EDE8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19" w:type="dxa"/>
                  <w:tcBorders>
                    <w:tl2br w:val="nil"/>
                    <w:tr2bl w:val="nil"/>
                  </w:tcBorders>
                  <w:noWrap w:val="0"/>
                  <w:vAlign w:val="top"/>
                </w:tcPr>
                <w:p w14:paraId="50C9AE4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6</w:t>
                  </w:r>
                </w:p>
              </w:tc>
            </w:tr>
            <w:tr w14:paraId="5688D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55F22A3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14</w:t>
                  </w:r>
                </w:p>
              </w:tc>
              <w:tc>
                <w:tcPr>
                  <w:tcW w:w="1157" w:type="dxa"/>
                  <w:vMerge w:val="continue"/>
                  <w:tcBorders>
                    <w:tl2br w:val="nil"/>
                    <w:tr2bl w:val="nil"/>
                  </w:tcBorders>
                  <w:noWrap w:val="0"/>
                  <w:vAlign w:val="center"/>
                </w:tcPr>
                <w:p w14:paraId="0B6A2F5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13CC48A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过滤器</w:t>
                  </w:r>
                </w:p>
              </w:tc>
              <w:tc>
                <w:tcPr>
                  <w:tcW w:w="1145" w:type="dxa"/>
                  <w:tcBorders>
                    <w:tl2br w:val="nil"/>
                    <w:tr2bl w:val="nil"/>
                  </w:tcBorders>
                  <w:noWrap w:val="0"/>
                  <w:vAlign w:val="center"/>
                </w:tcPr>
                <w:p w14:paraId="7683E3E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0C9E4B5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0B2E651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19" w:type="dxa"/>
                  <w:tcBorders>
                    <w:tl2br w:val="nil"/>
                    <w:tr2bl w:val="nil"/>
                  </w:tcBorders>
                  <w:noWrap w:val="0"/>
                  <w:vAlign w:val="top"/>
                </w:tcPr>
                <w:p w14:paraId="047E9E6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w:t>
                  </w:r>
                </w:p>
              </w:tc>
            </w:tr>
            <w:tr w14:paraId="66D493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tcBorders>
                    <w:tl2br w:val="nil"/>
                    <w:tr2bl w:val="nil"/>
                  </w:tcBorders>
                  <w:noWrap w:val="0"/>
                  <w:vAlign w:val="center"/>
                </w:tcPr>
                <w:p w14:paraId="39A7487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15</w:t>
                  </w:r>
                </w:p>
              </w:tc>
              <w:tc>
                <w:tcPr>
                  <w:tcW w:w="1157" w:type="dxa"/>
                  <w:tcBorders>
                    <w:tl2br w:val="nil"/>
                    <w:tr2bl w:val="nil"/>
                  </w:tcBorders>
                  <w:noWrap w:val="0"/>
                  <w:vAlign w:val="center"/>
                </w:tcPr>
                <w:p w14:paraId="1F03033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公用设备</w:t>
                  </w:r>
                </w:p>
              </w:tc>
              <w:tc>
                <w:tcPr>
                  <w:tcW w:w="1991" w:type="dxa"/>
                  <w:tcBorders>
                    <w:tl2br w:val="nil"/>
                    <w:tr2bl w:val="nil"/>
                  </w:tcBorders>
                  <w:noWrap w:val="0"/>
                  <w:vAlign w:val="center"/>
                </w:tcPr>
                <w:p w14:paraId="46DE333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空压机</w:t>
                  </w:r>
                </w:p>
              </w:tc>
              <w:tc>
                <w:tcPr>
                  <w:tcW w:w="1145" w:type="dxa"/>
                  <w:tcBorders>
                    <w:tl2br w:val="nil"/>
                    <w:tr2bl w:val="nil"/>
                  </w:tcBorders>
                  <w:noWrap w:val="0"/>
                  <w:vAlign w:val="center"/>
                </w:tcPr>
                <w:p w14:paraId="73AAFF4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46866A5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7A41FC86">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w:t>
                  </w:r>
                </w:p>
              </w:tc>
              <w:tc>
                <w:tcPr>
                  <w:tcW w:w="919" w:type="dxa"/>
                  <w:tcBorders>
                    <w:tl2br w:val="nil"/>
                    <w:tr2bl w:val="nil"/>
                  </w:tcBorders>
                  <w:noWrap w:val="0"/>
                  <w:vAlign w:val="top"/>
                </w:tcPr>
                <w:p w14:paraId="491E7E8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w:t>
                  </w:r>
                </w:p>
              </w:tc>
            </w:tr>
            <w:tr w14:paraId="78C7F1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vMerge w:val="restart"/>
                  <w:tcBorders>
                    <w:tl2br w:val="nil"/>
                    <w:tr2bl w:val="nil"/>
                  </w:tcBorders>
                  <w:noWrap w:val="0"/>
                  <w:vAlign w:val="center"/>
                </w:tcPr>
                <w:p w14:paraId="17F919A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cs="Times New Roman"/>
                      <w:bCs/>
                      <w:color w:val="auto"/>
                      <w:sz w:val="21"/>
                      <w:szCs w:val="21"/>
                      <w:highlight w:val="none"/>
                      <w:vertAlign w:val="baseline"/>
                      <w:lang w:val="en-US" w:eastAsia="zh-CN"/>
                    </w:rPr>
                    <w:t>16</w:t>
                  </w:r>
                </w:p>
              </w:tc>
              <w:tc>
                <w:tcPr>
                  <w:tcW w:w="1157" w:type="dxa"/>
                  <w:vMerge w:val="restart"/>
                  <w:tcBorders>
                    <w:tl2br w:val="nil"/>
                    <w:tr2bl w:val="nil"/>
                  </w:tcBorders>
                  <w:noWrap w:val="0"/>
                  <w:vAlign w:val="center"/>
                </w:tcPr>
                <w:p w14:paraId="3E61928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环保设备</w:t>
                  </w:r>
                </w:p>
              </w:tc>
              <w:tc>
                <w:tcPr>
                  <w:tcW w:w="1991" w:type="dxa"/>
                  <w:tcBorders>
                    <w:tl2br w:val="nil"/>
                    <w:tr2bl w:val="nil"/>
                  </w:tcBorders>
                  <w:noWrap w:val="0"/>
                  <w:vAlign w:val="center"/>
                </w:tcPr>
                <w:p w14:paraId="6F5B461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布袋除尘器</w:t>
                  </w:r>
                </w:p>
              </w:tc>
              <w:tc>
                <w:tcPr>
                  <w:tcW w:w="1145" w:type="dxa"/>
                  <w:tcBorders>
                    <w:tl2br w:val="nil"/>
                    <w:tr2bl w:val="nil"/>
                  </w:tcBorders>
                  <w:noWrap w:val="0"/>
                  <w:vAlign w:val="center"/>
                </w:tcPr>
                <w:p w14:paraId="17392DF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1DF7FE1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65BB1C3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19" w:type="dxa"/>
                  <w:tcBorders>
                    <w:tl2br w:val="nil"/>
                    <w:tr2bl w:val="nil"/>
                  </w:tcBorders>
                  <w:noWrap w:val="0"/>
                  <w:vAlign w:val="top"/>
                </w:tcPr>
                <w:p w14:paraId="2FCF995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w:t>
                  </w:r>
                </w:p>
              </w:tc>
            </w:tr>
            <w:tr w14:paraId="3D5949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94" w:type="dxa"/>
                  <w:vMerge w:val="continue"/>
                  <w:tcBorders>
                    <w:tl2br w:val="nil"/>
                    <w:tr2bl w:val="nil"/>
                  </w:tcBorders>
                  <w:noWrap w:val="0"/>
                  <w:vAlign w:val="center"/>
                </w:tcPr>
                <w:p w14:paraId="0C4610A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sz w:val="21"/>
                      <w:szCs w:val="21"/>
                      <w:highlight w:val="none"/>
                      <w:vertAlign w:val="baseline"/>
                      <w:lang w:val="en-US" w:eastAsia="zh-CN"/>
                    </w:rPr>
                  </w:pPr>
                </w:p>
              </w:tc>
              <w:tc>
                <w:tcPr>
                  <w:tcW w:w="1157" w:type="dxa"/>
                  <w:vMerge w:val="continue"/>
                  <w:tcBorders>
                    <w:tl2br w:val="nil"/>
                    <w:tr2bl w:val="nil"/>
                  </w:tcBorders>
                  <w:noWrap w:val="0"/>
                  <w:vAlign w:val="center"/>
                </w:tcPr>
                <w:p w14:paraId="08D7812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991" w:type="dxa"/>
                  <w:tcBorders>
                    <w:tl2br w:val="nil"/>
                    <w:tr2bl w:val="nil"/>
                  </w:tcBorders>
                  <w:noWrap w:val="0"/>
                  <w:vAlign w:val="center"/>
                </w:tcPr>
                <w:p w14:paraId="4F3ADFE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二级活性炭</w:t>
                  </w:r>
                </w:p>
              </w:tc>
              <w:tc>
                <w:tcPr>
                  <w:tcW w:w="1145" w:type="dxa"/>
                  <w:tcBorders>
                    <w:tl2br w:val="nil"/>
                    <w:tr2bl w:val="nil"/>
                  </w:tcBorders>
                  <w:noWrap w:val="0"/>
                  <w:vAlign w:val="center"/>
                </w:tcPr>
                <w:p w14:paraId="25A37A2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76" w:type="dxa"/>
                  <w:tcBorders>
                    <w:tl2br w:val="nil"/>
                    <w:tr2bl w:val="nil"/>
                  </w:tcBorders>
                  <w:noWrap w:val="0"/>
                  <w:vAlign w:val="center"/>
                </w:tcPr>
                <w:p w14:paraId="040C07C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台</w:t>
                  </w:r>
                </w:p>
              </w:tc>
              <w:tc>
                <w:tcPr>
                  <w:tcW w:w="990" w:type="dxa"/>
                  <w:tcBorders>
                    <w:tl2br w:val="nil"/>
                    <w:tr2bl w:val="nil"/>
                  </w:tcBorders>
                  <w:noWrap w:val="0"/>
                  <w:vAlign w:val="top"/>
                </w:tcPr>
                <w:p w14:paraId="5B1AC14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w:t>
                  </w:r>
                </w:p>
              </w:tc>
              <w:tc>
                <w:tcPr>
                  <w:tcW w:w="919" w:type="dxa"/>
                  <w:tcBorders>
                    <w:tl2br w:val="nil"/>
                    <w:tr2bl w:val="nil"/>
                  </w:tcBorders>
                  <w:noWrap w:val="0"/>
                  <w:vAlign w:val="top"/>
                </w:tcPr>
                <w:p w14:paraId="56B6055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w:t>
                  </w:r>
                </w:p>
              </w:tc>
            </w:tr>
          </w:tbl>
          <w:p w14:paraId="04726BCD">
            <w:pPr>
              <w:keepNext w:val="0"/>
              <w:keepLines w:val="0"/>
              <w:pageBreakBefore w:val="0"/>
              <w:widowControl w:val="0"/>
              <w:shd w:val="clear"/>
              <w:kinsoku/>
              <w:wordWrap/>
              <w:overflowPunct/>
              <w:topLinePunct w:val="0"/>
              <w:autoSpaceDE/>
              <w:autoSpaceDN/>
              <w:bidi w:val="0"/>
              <w:adjustRightInd w:val="0"/>
              <w:snapToGrid w:val="0"/>
              <w:spacing w:line="480" w:lineRule="exact"/>
              <w:ind w:firstLine="482" w:firstLineChars="200"/>
              <w:jc w:val="left"/>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6.公用工程</w:t>
            </w:r>
          </w:p>
          <w:p w14:paraId="788A3724">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（1）给水</w:t>
            </w:r>
          </w:p>
          <w:p w14:paraId="75E6BF0C">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项目给水来自市政管网，其水质、水量均满足项目生产、职工生活需求，本项目用水主要为冷水机用水。</w:t>
            </w:r>
          </w:p>
          <w:p w14:paraId="7DAD3303">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①生活用水：本项目不新增劳动定员，无生活用水新增；</w:t>
            </w:r>
          </w:p>
          <w:p w14:paraId="6C6803D9">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bCs/>
                <w:color w:val="auto"/>
                <w:sz w:val="24"/>
                <w:szCs w:val="24"/>
                <w:highlight w:val="none"/>
                <w:lang w:val="en-US" w:eastAsia="zh-CN"/>
              </w:rPr>
              <w:t>②冷水机用水：本项目设置冷水机6台，单台冷水机循环水量为1m</w:t>
            </w:r>
            <w:r>
              <w:rPr>
                <w:rFonts w:hint="default" w:ascii="Times New Roman" w:hAnsi="Times New Roman" w:cs="Times New Roman"/>
                <w:bCs/>
                <w:color w:val="auto"/>
                <w:sz w:val="24"/>
                <w:szCs w:val="24"/>
                <w:highlight w:val="none"/>
                <w:vertAlign w:val="superscript"/>
                <w:lang w:val="en-US" w:eastAsia="zh-CN"/>
              </w:rPr>
              <w:t>3</w:t>
            </w:r>
            <w:r>
              <w:rPr>
                <w:rFonts w:hint="default" w:ascii="Times New Roman" w:hAnsi="Times New Roman" w:cs="Times New Roman"/>
                <w:bCs/>
                <w:color w:val="auto"/>
                <w:sz w:val="24"/>
                <w:szCs w:val="24"/>
                <w:highlight w:val="none"/>
                <w:lang w:val="en-US" w:eastAsia="zh-CN"/>
              </w:rPr>
              <w:t>/h，</w:t>
            </w:r>
            <w:r>
              <w:rPr>
                <w:rFonts w:hint="default" w:ascii="Times New Roman" w:hAnsi="Times New Roman" w:cs="Times New Roman"/>
                <w:color w:val="auto"/>
                <w:sz w:val="24"/>
                <w:szCs w:val="24"/>
              </w:rPr>
              <w:t>根据《全国民用建筑工程设计技术措施》（2009版，给排水），循环水补水量取循环水量的1.4%，则循环水补水量为0.0</w:t>
            </w:r>
            <w:r>
              <w:rPr>
                <w:rFonts w:hint="default" w:ascii="Times New Roman" w:hAnsi="Times New Roman" w:cs="Times New Roman"/>
                <w:color w:val="auto"/>
                <w:sz w:val="24"/>
                <w:szCs w:val="24"/>
                <w:lang w:val="en-US" w:eastAsia="zh-CN"/>
              </w:rPr>
              <w:t>84</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/h，年工作时间</w:t>
            </w:r>
            <w:r>
              <w:rPr>
                <w:rFonts w:hint="default" w:ascii="Times New Roman" w:hAnsi="Times New Roman" w:cs="Times New Roman"/>
                <w:color w:val="auto"/>
                <w:sz w:val="24"/>
                <w:szCs w:val="24"/>
                <w:lang w:val="en-US" w:eastAsia="zh-CN"/>
              </w:rPr>
              <w:t>2400</w:t>
            </w:r>
            <w:r>
              <w:rPr>
                <w:rFonts w:hint="default" w:ascii="Times New Roman" w:hAnsi="Times New Roman" w:cs="Times New Roman"/>
                <w:color w:val="auto"/>
                <w:sz w:val="24"/>
                <w:szCs w:val="24"/>
              </w:rPr>
              <w:t>h，则循环水补水量为</w:t>
            </w:r>
            <w:r>
              <w:rPr>
                <w:rFonts w:hint="default" w:ascii="Times New Roman" w:hAnsi="Times New Roman" w:cs="Times New Roman"/>
                <w:color w:val="auto"/>
                <w:sz w:val="24"/>
                <w:szCs w:val="24"/>
                <w:lang w:val="en-US" w:eastAsia="zh-CN"/>
              </w:rPr>
              <w:t>201.6</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/a。</w:t>
            </w:r>
            <w:r>
              <w:rPr>
                <w:rFonts w:hint="default" w:ascii="Times New Roman" w:hAnsi="Times New Roman" w:cs="Times New Roman"/>
                <w:color w:val="auto"/>
                <w:sz w:val="24"/>
                <w:szCs w:val="24"/>
                <w:lang w:val="en-US" w:eastAsia="zh-CN"/>
              </w:rPr>
              <w:t>冷水机</w:t>
            </w:r>
            <w:r>
              <w:rPr>
                <w:rFonts w:hint="default" w:ascii="Times New Roman" w:hAnsi="Times New Roman" w:cs="Times New Roman"/>
                <w:color w:val="auto"/>
                <w:sz w:val="24"/>
                <w:szCs w:val="24"/>
              </w:rPr>
              <w:t>用水循环使用不外排。</w:t>
            </w:r>
          </w:p>
          <w:p w14:paraId="1A1A4EEF">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③陶瓷喷墨墨水原料用水</w:t>
            </w:r>
          </w:p>
          <w:p w14:paraId="00A91F7A">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本项目陶瓷喷墨墨水原料用水采用新鲜水，用水量为1m</w:t>
            </w:r>
            <w:r>
              <w:rPr>
                <w:rFonts w:hint="default" w:ascii="Times New Roman" w:hAnsi="Times New Roman" w:cs="Times New Roman"/>
                <w:bCs/>
                <w:color w:val="auto"/>
                <w:sz w:val="24"/>
                <w:szCs w:val="24"/>
                <w:highlight w:val="none"/>
                <w:vertAlign w:val="superscript"/>
                <w:lang w:val="en-US" w:eastAsia="zh-CN"/>
              </w:rPr>
              <w:t>3</w:t>
            </w:r>
            <w:r>
              <w:rPr>
                <w:rFonts w:hint="default" w:ascii="Times New Roman" w:hAnsi="Times New Roman" w:cs="Times New Roman"/>
                <w:bCs/>
                <w:color w:val="auto"/>
                <w:sz w:val="24"/>
                <w:szCs w:val="24"/>
                <w:highlight w:val="none"/>
                <w:lang w:val="en-US" w:eastAsia="zh-CN"/>
              </w:rPr>
              <w:t>/a。</w:t>
            </w:r>
          </w:p>
          <w:p w14:paraId="7C7A85F4">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因此，本项目建成后，新鲜水用量新增约202.6m</w:t>
            </w:r>
            <w:r>
              <w:rPr>
                <w:rFonts w:hint="default" w:ascii="Times New Roman" w:hAnsi="Times New Roman" w:cs="Times New Roman"/>
                <w:bCs/>
                <w:color w:val="auto"/>
                <w:sz w:val="24"/>
                <w:szCs w:val="24"/>
                <w:highlight w:val="none"/>
                <w:vertAlign w:val="superscript"/>
                <w:lang w:val="en-US" w:eastAsia="zh-CN"/>
              </w:rPr>
              <w:t>3</w:t>
            </w:r>
            <w:r>
              <w:rPr>
                <w:rFonts w:hint="default" w:ascii="Times New Roman" w:hAnsi="Times New Roman" w:cs="Times New Roman"/>
                <w:bCs/>
                <w:color w:val="auto"/>
                <w:sz w:val="24"/>
                <w:szCs w:val="24"/>
                <w:highlight w:val="none"/>
                <w:lang w:val="en-US" w:eastAsia="zh-CN"/>
              </w:rPr>
              <w:t>/a。</w:t>
            </w:r>
          </w:p>
          <w:p w14:paraId="3EF37E68">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（2）排水</w:t>
            </w:r>
          </w:p>
          <w:p w14:paraId="4E6C5E5A">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本技改项目无生活废水及生产废水产生。原有项目生活污水经化粪池收集后，定期清挖堆肥。</w:t>
            </w:r>
          </w:p>
          <w:p w14:paraId="412D1190">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综上所述，本项目水平衡关系如下：</w:t>
            </w:r>
          </w:p>
          <w:p w14:paraId="0F471F0B">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表2-5 本</w:t>
            </w:r>
            <w:r>
              <w:rPr>
                <w:rFonts w:hint="eastAsia" w:eastAsia="黑体" w:cs="Times New Roman"/>
                <w:b w:val="0"/>
                <w:bCs w:val="0"/>
                <w:color w:val="auto"/>
                <w:kern w:val="0"/>
                <w:sz w:val="24"/>
                <w:szCs w:val="24"/>
                <w:lang w:val="en-US" w:eastAsia="zh-CN"/>
              </w:rPr>
              <w:t>次技改</w:t>
            </w:r>
            <w:r>
              <w:rPr>
                <w:rFonts w:hint="default" w:ascii="Times New Roman" w:hAnsi="Times New Roman" w:eastAsia="黑体" w:cs="Times New Roman"/>
                <w:b w:val="0"/>
                <w:bCs w:val="0"/>
                <w:color w:val="auto"/>
                <w:kern w:val="0"/>
                <w:sz w:val="24"/>
                <w:szCs w:val="24"/>
                <w:lang w:val="en-US" w:eastAsia="zh-CN"/>
              </w:rPr>
              <w:t>项目水平衡关系</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5"/>
              <w:gridCol w:w="2172"/>
              <w:gridCol w:w="1184"/>
              <w:gridCol w:w="1668"/>
              <w:gridCol w:w="1423"/>
            </w:tblGrid>
            <w:tr w14:paraId="5028C4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05" w:type="pct"/>
                  <w:vMerge w:val="restart"/>
                  <w:tcBorders>
                    <w:tl2br w:val="nil"/>
                    <w:tr2bl w:val="nil"/>
                  </w:tcBorders>
                  <w:vAlign w:val="center"/>
                </w:tcPr>
                <w:p w14:paraId="6395FBB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项目</w:t>
                  </w:r>
                </w:p>
              </w:tc>
              <w:tc>
                <w:tcPr>
                  <w:tcW w:w="2131" w:type="pct"/>
                  <w:gridSpan w:val="2"/>
                  <w:tcBorders>
                    <w:tl2br w:val="nil"/>
                    <w:tr2bl w:val="nil"/>
                  </w:tcBorders>
                  <w:vAlign w:val="center"/>
                </w:tcPr>
                <w:p w14:paraId="4D2821F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进</w:t>
                  </w:r>
                </w:p>
              </w:tc>
              <w:tc>
                <w:tcPr>
                  <w:tcW w:w="1962" w:type="pct"/>
                  <w:gridSpan w:val="2"/>
                  <w:tcBorders>
                    <w:tl2br w:val="nil"/>
                    <w:tr2bl w:val="nil"/>
                  </w:tcBorders>
                  <w:vAlign w:val="center"/>
                </w:tcPr>
                <w:p w14:paraId="4D8C8AD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
                      <w:bCs w:val="0"/>
                      <w:color w:val="auto"/>
                      <w:sz w:val="21"/>
                      <w:szCs w:val="21"/>
                      <w:highlight w:val="none"/>
                      <w:vertAlign w:val="baseline"/>
                      <w:lang w:val="en-US" w:eastAsia="zh-CN"/>
                    </w:rPr>
                  </w:pPr>
                  <w:r>
                    <w:rPr>
                      <w:rFonts w:hint="eastAsia" w:cs="Times New Roman"/>
                      <w:b/>
                      <w:bCs w:val="0"/>
                      <w:color w:val="auto"/>
                      <w:sz w:val="21"/>
                      <w:szCs w:val="21"/>
                      <w:highlight w:val="none"/>
                      <w:vertAlign w:val="baseline"/>
                      <w:lang w:val="en-US" w:eastAsia="zh-CN"/>
                    </w:rPr>
                    <w:t>出</w:t>
                  </w:r>
                </w:p>
              </w:tc>
            </w:tr>
            <w:tr w14:paraId="08D191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905" w:type="pct"/>
                  <w:vMerge w:val="continue"/>
                  <w:tcBorders>
                    <w:tl2br w:val="nil"/>
                    <w:tr2bl w:val="nil"/>
                  </w:tcBorders>
                  <w:vAlign w:val="center"/>
                </w:tcPr>
                <w:p w14:paraId="2188546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p>
              </w:tc>
              <w:tc>
                <w:tcPr>
                  <w:tcW w:w="1379" w:type="pct"/>
                  <w:tcBorders>
                    <w:tl2br w:val="nil"/>
                    <w:tr2bl w:val="nil"/>
                  </w:tcBorders>
                  <w:vAlign w:val="center"/>
                </w:tcPr>
                <w:p w14:paraId="64C20F67">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ascii="Times New Roman" w:hAnsi="Times New Roman"/>
                      <w:color w:val="auto"/>
                      <w:kern w:val="0"/>
                      <w:szCs w:val="21"/>
                      <w:lang w:bidi="ar"/>
                    </w:rPr>
                    <w:t>名称</w:t>
                  </w:r>
                </w:p>
              </w:tc>
              <w:tc>
                <w:tcPr>
                  <w:tcW w:w="752" w:type="pct"/>
                  <w:tcBorders>
                    <w:tl2br w:val="nil"/>
                    <w:tr2bl w:val="nil"/>
                  </w:tcBorders>
                  <w:vAlign w:val="center"/>
                </w:tcPr>
                <w:p w14:paraId="6CC0EF5E">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ascii="Times New Roman" w:hAnsi="Times New Roman"/>
                      <w:color w:val="auto"/>
                      <w:kern w:val="0"/>
                      <w:szCs w:val="21"/>
                      <w:lang w:bidi="ar"/>
                    </w:rPr>
                    <w:t>m</w:t>
                  </w:r>
                  <w:r>
                    <w:rPr>
                      <w:rStyle w:val="64"/>
                      <w:rFonts w:hint="default" w:ascii="Times New Roman" w:hAnsi="Times New Roman" w:cs="Times New Roman"/>
                      <w:color w:val="auto"/>
                      <w:sz w:val="21"/>
                      <w:szCs w:val="21"/>
                      <w:vertAlign w:val="superscript"/>
                      <w:lang w:bidi="ar"/>
                    </w:rPr>
                    <w:t>3</w:t>
                  </w:r>
                  <w:r>
                    <w:rPr>
                      <w:rStyle w:val="60"/>
                      <w:color w:val="auto"/>
                      <w:lang w:bidi="ar"/>
                    </w:rPr>
                    <w:t>/a</w:t>
                  </w:r>
                </w:p>
              </w:tc>
              <w:tc>
                <w:tcPr>
                  <w:tcW w:w="1059" w:type="pct"/>
                  <w:tcBorders>
                    <w:tl2br w:val="nil"/>
                    <w:tr2bl w:val="nil"/>
                  </w:tcBorders>
                  <w:vAlign w:val="center"/>
                </w:tcPr>
                <w:p w14:paraId="42063CC7">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ascii="Times New Roman" w:hAnsi="Times New Roman"/>
                      <w:color w:val="auto"/>
                      <w:kern w:val="0"/>
                      <w:szCs w:val="21"/>
                      <w:lang w:bidi="ar"/>
                    </w:rPr>
                    <w:t>名称</w:t>
                  </w:r>
                </w:p>
              </w:tc>
              <w:tc>
                <w:tcPr>
                  <w:tcW w:w="902" w:type="pct"/>
                  <w:tcBorders>
                    <w:tl2br w:val="nil"/>
                    <w:tr2bl w:val="nil"/>
                  </w:tcBorders>
                  <w:vAlign w:val="center"/>
                </w:tcPr>
                <w:p w14:paraId="234AF478">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ascii="Times New Roman" w:hAnsi="Times New Roman"/>
                      <w:color w:val="auto"/>
                      <w:kern w:val="0"/>
                      <w:szCs w:val="21"/>
                      <w:lang w:bidi="ar"/>
                    </w:rPr>
                    <w:t>m</w:t>
                  </w:r>
                  <w:r>
                    <w:rPr>
                      <w:rStyle w:val="64"/>
                      <w:rFonts w:hint="default" w:ascii="Times New Roman" w:hAnsi="Times New Roman" w:cs="Times New Roman"/>
                      <w:color w:val="auto"/>
                      <w:sz w:val="21"/>
                      <w:szCs w:val="21"/>
                      <w:vertAlign w:val="superscript"/>
                      <w:lang w:bidi="ar"/>
                    </w:rPr>
                    <w:t>3</w:t>
                  </w:r>
                  <w:r>
                    <w:rPr>
                      <w:rStyle w:val="60"/>
                      <w:color w:val="auto"/>
                      <w:lang w:bidi="ar"/>
                    </w:rPr>
                    <w:t>/a</w:t>
                  </w:r>
                </w:p>
              </w:tc>
            </w:tr>
            <w:tr w14:paraId="7061D5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905" w:type="pct"/>
                  <w:tcBorders>
                    <w:tl2br w:val="nil"/>
                    <w:tr2bl w:val="nil"/>
                  </w:tcBorders>
                  <w:vAlign w:val="center"/>
                </w:tcPr>
                <w:p w14:paraId="47E00F9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冷水机用水</w:t>
                  </w:r>
                </w:p>
              </w:tc>
              <w:tc>
                <w:tcPr>
                  <w:tcW w:w="1379" w:type="pct"/>
                  <w:tcBorders>
                    <w:tl2br w:val="nil"/>
                    <w:tr2bl w:val="nil"/>
                  </w:tcBorders>
                  <w:vAlign w:val="center"/>
                </w:tcPr>
                <w:p w14:paraId="00054CF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新鲜水</w:t>
                  </w:r>
                </w:p>
              </w:tc>
              <w:tc>
                <w:tcPr>
                  <w:tcW w:w="752" w:type="pct"/>
                  <w:tcBorders>
                    <w:tl2br w:val="nil"/>
                    <w:tr2bl w:val="nil"/>
                  </w:tcBorders>
                  <w:vAlign w:val="center"/>
                </w:tcPr>
                <w:p w14:paraId="18CDB00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201.6</w:t>
                  </w:r>
                </w:p>
              </w:tc>
              <w:tc>
                <w:tcPr>
                  <w:tcW w:w="1059" w:type="pct"/>
                  <w:tcBorders>
                    <w:tl2br w:val="nil"/>
                    <w:tr2bl w:val="nil"/>
                  </w:tcBorders>
                  <w:vAlign w:val="center"/>
                </w:tcPr>
                <w:p w14:paraId="7B90142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损耗</w:t>
                  </w:r>
                </w:p>
              </w:tc>
              <w:tc>
                <w:tcPr>
                  <w:tcW w:w="902" w:type="pct"/>
                  <w:tcBorders>
                    <w:tl2br w:val="nil"/>
                    <w:tr2bl w:val="nil"/>
                  </w:tcBorders>
                  <w:vAlign w:val="center"/>
                </w:tcPr>
                <w:p w14:paraId="6CE28B5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201.6</w:t>
                  </w:r>
                </w:p>
              </w:tc>
            </w:tr>
            <w:tr w14:paraId="33154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905" w:type="pct"/>
                  <w:vMerge w:val="restart"/>
                  <w:tcBorders>
                    <w:tl2br w:val="nil"/>
                    <w:tr2bl w:val="nil"/>
                  </w:tcBorders>
                  <w:vAlign w:val="center"/>
                </w:tcPr>
                <w:p w14:paraId="13EA272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陶瓷喷墨墨水原料用水</w:t>
                  </w:r>
                </w:p>
              </w:tc>
              <w:tc>
                <w:tcPr>
                  <w:tcW w:w="1379" w:type="pct"/>
                  <w:vMerge w:val="restart"/>
                  <w:tcBorders>
                    <w:tl2br w:val="nil"/>
                    <w:tr2bl w:val="nil"/>
                  </w:tcBorders>
                  <w:vAlign w:val="center"/>
                </w:tcPr>
                <w:p w14:paraId="483F267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eastAsia" w:ascii="Times New Roman" w:hAnsi="Times New Roman" w:cs="Times New Roman"/>
                      <w:bCs/>
                      <w:color w:val="auto"/>
                      <w:kern w:val="2"/>
                      <w:sz w:val="21"/>
                      <w:szCs w:val="21"/>
                      <w:highlight w:val="none"/>
                      <w:vertAlign w:val="baseline"/>
                      <w:lang w:val="en-US" w:eastAsia="zh-CN" w:bidi="ar-SA"/>
                    </w:rPr>
                    <w:t>新鲜水</w:t>
                  </w:r>
                </w:p>
              </w:tc>
              <w:tc>
                <w:tcPr>
                  <w:tcW w:w="752" w:type="pct"/>
                  <w:vMerge w:val="restart"/>
                  <w:tcBorders>
                    <w:tl2br w:val="nil"/>
                    <w:tr2bl w:val="nil"/>
                  </w:tcBorders>
                  <w:vAlign w:val="center"/>
                </w:tcPr>
                <w:p w14:paraId="09FD5BE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1</w:t>
                  </w:r>
                </w:p>
              </w:tc>
              <w:tc>
                <w:tcPr>
                  <w:tcW w:w="1059" w:type="pct"/>
                  <w:tcBorders>
                    <w:tl2br w:val="nil"/>
                    <w:tr2bl w:val="nil"/>
                  </w:tcBorders>
                  <w:vAlign w:val="center"/>
                </w:tcPr>
                <w:p w14:paraId="30D91A6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lang w:val="en-US" w:eastAsia="zh-CN"/>
                    </w:rPr>
                    <w:t>陶瓷喷墨墨水</w:t>
                  </w:r>
                </w:p>
              </w:tc>
              <w:tc>
                <w:tcPr>
                  <w:tcW w:w="902" w:type="pct"/>
                  <w:tcBorders>
                    <w:tl2br w:val="nil"/>
                    <w:tr2bl w:val="nil"/>
                  </w:tcBorders>
                  <w:vAlign w:val="center"/>
                </w:tcPr>
                <w:p w14:paraId="272894B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0.5</w:t>
                  </w:r>
                </w:p>
              </w:tc>
            </w:tr>
            <w:tr w14:paraId="1BC3EB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905" w:type="pct"/>
                  <w:vMerge w:val="continue"/>
                  <w:tcBorders>
                    <w:tl2br w:val="nil"/>
                    <w:tr2bl w:val="nil"/>
                  </w:tcBorders>
                  <w:vAlign w:val="center"/>
                </w:tcPr>
                <w:p w14:paraId="6F07CE9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379" w:type="pct"/>
                  <w:vMerge w:val="continue"/>
                  <w:tcBorders>
                    <w:tl2br w:val="nil"/>
                    <w:tr2bl w:val="nil"/>
                  </w:tcBorders>
                  <w:vAlign w:val="center"/>
                </w:tcPr>
                <w:p w14:paraId="0697B21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752" w:type="pct"/>
                  <w:vMerge w:val="continue"/>
                  <w:tcBorders>
                    <w:tl2br w:val="nil"/>
                    <w:tr2bl w:val="nil"/>
                  </w:tcBorders>
                  <w:vAlign w:val="center"/>
                </w:tcPr>
                <w:p w14:paraId="3A64D23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p>
              </w:tc>
              <w:tc>
                <w:tcPr>
                  <w:tcW w:w="1059" w:type="pct"/>
                  <w:tcBorders>
                    <w:tl2br w:val="nil"/>
                    <w:tr2bl w:val="nil"/>
                  </w:tcBorders>
                  <w:vAlign w:val="center"/>
                </w:tcPr>
                <w:p w14:paraId="37E57BC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损耗</w:t>
                  </w:r>
                </w:p>
              </w:tc>
              <w:tc>
                <w:tcPr>
                  <w:tcW w:w="902" w:type="pct"/>
                  <w:tcBorders>
                    <w:tl2br w:val="nil"/>
                    <w:tr2bl w:val="nil"/>
                  </w:tcBorders>
                  <w:vAlign w:val="center"/>
                </w:tcPr>
                <w:p w14:paraId="48497E3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Cs/>
                      <w:color w:val="auto"/>
                      <w:sz w:val="21"/>
                      <w:szCs w:val="21"/>
                      <w:highlight w:val="none"/>
                      <w:vertAlign w:val="baseline"/>
                      <w:lang w:val="en-US" w:eastAsia="zh-CN"/>
                    </w:rPr>
                  </w:pPr>
                  <w:r>
                    <w:rPr>
                      <w:rFonts w:hint="eastAsia" w:ascii="Times New Roman" w:hAnsi="Times New Roman" w:cs="Times New Roman"/>
                      <w:bCs/>
                      <w:color w:val="auto"/>
                      <w:sz w:val="21"/>
                      <w:szCs w:val="21"/>
                      <w:highlight w:val="none"/>
                      <w:vertAlign w:val="baseline"/>
                      <w:lang w:val="en-US" w:eastAsia="zh-CN"/>
                    </w:rPr>
                    <w:t>0.5</w:t>
                  </w:r>
                </w:p>
              </w:tc>
            </w:tr>
          </w:tbl>
          <w:p w14:paraId="147B8C9F">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color w:val="auto"/>
              </w:rPr>
              <w:drawing>
                <wp:inline distT="0" distB="0" distL="114300" distR="114300">
                  <wp:extent cx="3550920" cy="1802130"/>
                  <wp:effectExtent l="0" t="0" r="0"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11"/>
                          <a:srcRect l="36037" t="32049" r="28753" b="26356"/>
                          <a:stretch>
                            <a:fillRect/>
                          </a:stretch>
                        </pic:blipFill>
                        <pic:spPr>
                          <a:xfrm>
                            <a:off x="0" y="0"/>
                            <a:ext cx="3550920" cy="1802130"/>
                          </a:xfrm>
                          <a:prstGeom prst="rect">
                            <a:avLst/>
                          </a:prstGeom>
                          <a:noFill/>
                          <a:ln>
                            <a:noFill/>
                          </a:ln>
                        </pic:spPr>
                      </pic:pic>
                    </a:graphicData>
                  </a:graphic>
                </wp:inline>
              </w:drawing>
            </w:r>
          </w:p>
          <w:p w14:paraId="37ACFCF0">
            <w:pPr>
              <w:keepNext w:val="0"/>
              <w:keepLines w:val="0"/>
              <w:pageBreakBefore w:val="0"/>
              <w:widowControl w:val="0"/>
              <w:shd w:val="clear"/>
              <w:kinsoku/>
              <w:wordWrap/>
              <w:overflowPunct/>
              <w:topLinePunct w:val="0"/>
              <w:autoSpaceDE/>
              <w:autoSpaceDN/>
              <w:bidi w:val="0"/>
              <w:adjustRightInd w:val="0"/>
              <w:snapToGrid w:val="0"/>
              <w:spacing w:line="440" w:lineRule="exact"/>
              <w:jc w:val="center"/>
              <w:textAlignment w:val="auto"/>
              <w:rPr>
                <w:rFonts w:hint="default" w:ascii="Times New Roman" w:hAnsi="Times New Roman" w:cs="Times New Roman"/>
                <w:b/>
                <w:bCs w:val="0"/>
                <w:color w:val="auto"/>
                <w:sz w:val="21"/>
                <w:szCs w:val="21"/>
                <w:highlight w:val="none"/>
                <w:lang w:val="en-US" w:eastAsia="zh-CN"/>
              </w:rPr>
            </w:pPr>
            <w:r>
              <w:rPr>
                <w:rFonts w:hint="default" w:ascii="Times New Roman" w:hAnsi="Times New Roman" w:cs="Times New Roman"/>
                <w:b/>
                <w:bCs w:val="0"/>
                <w:color w:val="auto"/>
                <w:sz w:val="21"/>
                <w:szCs w:val="21"/>
                <w:highlight w:val="none"/>
                <w:lang w:val="en-US" w:eastAsia="zh-CN"/>
              </w:rPr>
              <w:t>图2-1 本项目水平衡关系图（单位：</w:t>
            </w:r>
            <w:r>
              <w:rPr>
                <w:rFonts w:hint="default" w:ascii="Times New Roman" w:hAnsi="Times New Roman" w:cs="Times New Roman"/>
                <w:b/>
                <w:bCs w:val="0"/>
                <w:color w:val="auto"/>
                <w:sz w:val="21"/>
                <w:szCs w:val="21"/>
                <w:highlight w:val="none"/>
                <w:vertAlign w:val="baseline"/>
                <w:lang w:val="en-US" w:eastAsia="zh-CN"/>
              </w:rPr>
              <w:t>m</w:t>
            </w:r>
            <w:r>
              <w:rPr>
                <w:rFonts w:hint="default" w:ascii="Times New Roman" w:hAnsi="Times New Roman" w:cs="Times New Roman"/>
                <w:b/>
                <w:bCs w:val="0"/>
                <w:color w:val="auto"/>
                <w:sz w:val="21"/>
                <w:szCs w:val="21"/>
                <w:highlight w:val="none"/>
                <w:vertAlign w:val="superscript"/>
                <w:lang w:val="en-US" w:eastAsia="zh-CN"/>
              </w:rPr>
              <w:t>3</w:t>
            </w:r>
            <w:r>
              <w:rPr>
                <w:rFonts w:hint="default" w:ascii="Times New Roman" w:hAnsi="Times New Roman" w:cs="Times New Roman"/>
                <w:b/>
                <w:bCs w:val="0"/>
                <w:color w:val="auto"/>
                <w:sz w:val="21"/>
                <w:szCs w:val="21"/>
                <w:highlight w:val="none"/>
                <w:lang w:val="en-US" w:eastAsia="zh-CN"/>
              </w:rPr>
              <w:t>/a）</w:t>
            </w:r>
          </w:p>
          <w:p w14:paraId="1B239127">
            <w:pPr>
              <w:keepNext w:val="0"/>
              <w:keepLines w:val="0"/>
              <w:pageBreakBefore w:val="0"/>
              <w:widowControl w:val="0"/>
              <w:shd w:val="clear"/>
              <w:kinsoku/>
              <w:wordWrap/>
              <w:overflowPunct/>
              <w:topLinePunct w:val="0"/>
              <w:autoSpaceDE/>
              <w:autoSpaceDN/>
              <w:bidi w:val="0"/>
              <w:adjustRightInd w:val="0"/>
              <w:snapToGrid w:val="0"/>
              <w:spacing w:line="480" w:lineRule="exact"/>
              <w:ind w:firstLine="482" w:firstLineChars="200"/>
              <w:jc w:val="left"/>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7.劳动定员及工作制度</w:t>
            </w:r>
          </w:p>
          <w:p w14:paraId="30415D9C">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本项目劳动定员5人，从现有职工中调剂，年工作时间300天，生产车间实行一班工作制，每班8h，年工作2400h。</w:t>
            </w:r>
          </w:p>
          <w:p w14:paraId="1F79C29C">
            <w:pPr>
              <w:keepNext w:val="0"/>
              <w:keepLines w:val="0"/>
              <w:pageBreakBefore w:val="0"/>
              <w:widowControl w:val="0"/>
              <w:shd w:val="clear"/>
              <w:kinsoku/>
              <w:wordWrap/>
              <w:overflowPunct/>
              <w:topLinePunct w:val="0"/>
              <w:autoSpaceDE/>
              <w:autoSpaceDN/>
              <w:bidi w:val="0"/>
              <w:adjustRightInd w:val="0"/>
              <w:snapToGrid w:val="0"/>
              <w:spacing w:line="480" w:lineRule="exact"/>
              <w:ind w:firstLine="482" w:firstLineChars="200"/>
              <w:jc w:val="left"/>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8.环保投资</w:t>
            </w:r>
          </w:p>
          <w:p w14:paraId="79CEBE46">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本项目环保投资约10万元，主要用于布袋除尘器等环保设备购置及安装。</w:t>
            </w:r>
          </w:p>
          <w:p w14:paraId="76AB736B">
            <w:pPr>
              <w:keepNext w:val="0"/>
              <w:keepLines w:val="0"/>
              <w:pageBreakBefore w:val="0"/>
              <w:widowControl w:val="0"/>
              <w:shd w:val="clear"/>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9.厂区平面布置</w:t>
            </w:r>
          </w:p>
          <w:p w14:paraId="75F3600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2"/>
              </w:rPr>
            </w:pPr>
            <w:r>
              <w:rPr>
                <w:rFonts w:hint="default" w:ascii="Times New Roman" w:hAnsi="Times New Roman" w:cs="Times New Roman"/>
                <w:color w:val="auto"/>
                <w:sz w:val="24"/>
                <w:szCs w:val="22"/>
                <w:lang w:eastAsia="zh-CN"/>
              </w:rPr>
              <w:t>（</w:t>
            </w:r>
            <w:r>
              <w:rPr>
                <w:rFonts w:hint="default" w:ascii="Times New Roman" w:hAnsi="Times New Roman" w:cs="Times New Roman"/>
                <w:color w:val="auto"/>
                <w:sz w:val="24"/>
                <w:szCs w:val="22"/>
                <w:lang w:val="en-US" w:eastAsia="zh-CN"/>
              </w:rPr>
              <w:t>1</w:t>
            </w:r>
            <w:r>
              <w:rPr>
                <w:rFonts w:hint="default" w:ascii="Times New Roman" w:hAnsi="Times New Roman" w:cs="Times New Roman"/>
                <w:color w:val="auto"/>
                <w:sz w:val="24"/>
                <w:szCs w:val="22"/>
                <w:lang w:eastAsia="zh-CN"/>
              </w:rPr>
              <w:t>）</w:t>
            </w:r>
            <w:r>
              <w:rPr>
                <w:rFonts w:hint="default" w:ascii="Times New Roman" w:hAnsi="Times New Roman" w:cs="Times New Roman"/>
                <w:color w:val="auto"/>
                <w:sz w:val="24"/>
                <w:szCs w:val="22"/>
              </w:rPr>
              <w:t>平面布置原则</w:t>
            </w:r>
          </w:p>
          <w:p w14:paraId="1790873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2"/>
              </w:rPr>
            </w:pPr>
            <w:r>
              <w:rPr>
                <w:rFonts w:hint="default" w:ascii="Times New Roman" w:hAnsi="Times New Roman" w:cs="Times New Roman"/>
                <w:color w:val="auto"/>
                <w:sz w:val="24"/>
                <w:szCs w:val="22"/>
              </w:rPr>
              <w:t>根据工程所处位置及周边状况，按照国家规范和生产工艺流程的要求，结合现场地形，保证工艺流程顺畅，衔接方便。严格遵守有关标准规范，确保安全生产，考虑防火、卫生安全距离及检修要求，因地制宜，进行合理功能分区，力求布置紧凑、布局合理，节约用地，统一规划，有利于生产管理和环境保护。</w:t>
            </w:r>
          </w:p>
          <w:p w14:paraId="5DC0B5F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2"/>
              </w:rPr>
            </w:pPr>
            <w:r>
              <w:rPr>
                <w:rFonts w:hint="default" w:ascii="Times New Roman" w:hAnsi="Times New Roman" w:cs="Times New Roman"/>
                <w:color w:val="auto"/>
                <w:sz w:val="24"/>
                <w:szCs w:val="22"/>
                <w:lang w:eastAsia="zh-CN"/>
              </w:rPr>
              <w:t>（</w:t>
            </w:r>
            <w:r>
              <w:rPr>
                <w:rFonts w:hint="default" w:ascii="Times New Roman" w:hAnsi="Times New Roman" w:cs="Times New Roman"/>
                <w:color w:val="auto"/>
                <w:sz w:val="24"/>
                <w:szCs w:val="22"/>
                <w:lang w:val="en-US" w:eastAsia="zh-CN"/>
              </w:rPr>
              <w:t>2</w:t>
            </w:r>
            <w:r>
              <w:rPr>
                <w:rFonts w:hint="default" w:ascii="Times New Roman" w:hAnsi="Times New Roman" w:cs="Times New Roman"/>
                <w:color w:val="auto"/>
                <w:sz w:val="24"/>
                <w:szCs w:val="22"/>
                <w:lang w:eastAsia="zh-CN"/>
              </w:rPr>
              <w:t>）</w:t>
            </w:r>
            <w:r>
              <w:rPr>
                <w:rFonts w:hint="default" w:ascii="Times New Roman" w:hAnsi="Times New Roman" w:cs="Times New Roman"/>
                <w:color w:val="auto"/>
                <w:sz w:val="24"/>
                <w:szCs w:val="22"/>
              </w:rPr>
              <w:t>厂</w:t>
            </w:r>
            <w:r>
              <w:rPr>
                <w:rFonts w:hint="default" w:ascii="Times New Roman" w:hAnsi="Times New Roman" w:cs="Times New Roman"/>
                <w:color w:val="auto"/>
                <w:sz w:val="24"/>
                <w:szCs w:val="22"/>
                <w:lang w:eastAsia="zh-CN"/>
              </w:rPr>
              <w:t>区</w:t>
            </w:r>
            <w:r>
              <w:rPr>
                <w:rFonts w:hint="default" w:ascii="Times New Roman" w:hAnsi="Times New Roman" w:cs="Times New Roman"/>
                <w:color w:val="auto"/>
                <w:sz w:val="24"/>
                <w:szCs w:val="22"/>
              </w:rPr>
              <w:t>平面布置</w:t>
            </w:r>
          </w:p>
          <w:p w14:paraId="3EB1D192">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rPr>
              <w:t>本</w:t>
            </w:r>
            <w:r>
              <w:rPr>
                <w:rFonts w:hint="default" w:ascii="Times New Roman" w:hAnsi="Times New Roman" w:cs="Times New Roman"/>
                <w:color w:val="auto"/>
                <w:spacing w:val="0"/>
                <w:w w:val="100"/>
                <w:position w:val="0"/>
                <w:sz w:val="24"/>
                <w:szCs w:val="24"/>
                <w:highlight w:val="none"/>
                <w:lang w:val="en-US" w:eastAsia="zh-CN"/>
              </w:rPr>
              <w:t>技改</w:t>
            </w:r>
            <w:r>
              <w:rPr>
                <w:rFonts w:hint="default" w:ascii="Times New Roman" w:hAnsi="Times New Roman" w:eastAsia="宋体" w:cs="Times New Roman"/>
                <w:color w:val="auto"/>
                <w:spacing w:val="0"/>
                <w:w w:val="100"/>
                <w:position w:val="0"/>
                <w:sz w:val="24"/>
                <w:szCs w:val="24"/>
                <w:highlight w:val="none"/>
              </w:rPr>
              <w:t>项目</w:t>
            </w:r>
            <w:r>
              <w:rPr>
                <w:rFonts w:hint="default" w:ascii="Times New Roman" w:hAnsi="Times New Roman" w:cs="Times New Roman"/>
                <w:bCs/>
                <w:color w:val="auto"/>
                <w:sz w:val="24"/>
                <w:szCs w:val="24"/>
                <w:highlight w:val="none"/>
                <w:lang w:val="en-US" w:eastAsia="zh-CN"/>
              </w:rPr>
              <w:t>位于淄博市淄川区西外环路将军路街道办事处河洼工业园北首（锦明陶瓷现有厂区内）。厂区分为南北两部分，厂区北部主要为原有项目生产区、办公区和仓储区。厂区南部主要为本次技改项目办公区、生产区、仓储区。1号车间、2号车间分别位于厂区南半部分的西侧和北侧</w:t>
            </w:r>
            <w:r>
              <w:rPr>
                <w:rFonts w:hint="default" w:ascii="Times New Roman" w:hAnsi="Times New Roman" w:eastAsia="宋体" w:cs="Times New Roman"/>
                <w:color w:val="auto"/>
                <w:spacing w:val="0"/>
                <w:w w:val="100"/>
                <w:position w:val="0"/>
                <w:sz w:val="24"/>
                <w:szCs w:val="24"/>
                <w:highlight w:val="none"/>
                <w:lang w:val="en-US" w:eastAsia="zh-CN"/>
              </w:rPr>
              <w:t>，</w:t>
            </w:r>
            <w:r>
              <w:rPr>
                <w:rFonts w:hint="default" w:ascii="Times New Roman" w:hAnsi="Times New Roman" w:cs="Times New Roman"/>
                <w:color w:val="auto"/>
                <w:spacing w:val="0"/>
                <w:w w:val="100"/>
                <w:position w:val="0"/>
                <w:sz w:val="24"/>
                <w:szCs w:val="24"/>
                <w:highlight w:val="none"/>
                <w:lang w:val="en-US" w:eastAsia="zh-CN"/>
              </w:rPr>
              <w:t>仓库位于南侧，办公区位于仓库北侧</w:t>
            </w:r>
            <w:r>
              <w:rPr>
                <w:rFonts w:hint="default" w:ascii="Times New Roman" w:hAnsi="Times New Roman" w:eastAsia="宋体" w:cs="Times New Roman"/>
                <w:color w:val="auto"/>
                <w:spacing w:val="0"/>
                <w:w w:val="100"/>
                <w:position w:val="0"/>
                <w:sz w:val="24"/>
                <w:szCs w:val="24"/>
                <w:highlight w:val="none"/>
              </w:rPr>
              <w:t>。项目平面布置见附</w:t>
            </w:r>
            <w:r>
              <w:rPr>
                <w:rFonts w:hint="default" w:ascii="Times New Roman" w:hAnsi="Times New Roman" w:eastAsia="宋体" w:cs="Times New Roman"/>
                <w:color w:val="auto"/>
                <w:spacing w:val="0"/>
                <w:w w:val="100"/>
                <w:position w:val="0"/>
                <w:sz w:val="24"/>
                <w:szCs w:val="24"/>
                <w:highlight w:val="none"/>
                <w:lang w:val="en-US" w:eastAsia="zh-CN"/>
              </w:rPr>
              <w:t>图</w:t>
            </w:r>
            <w:r>
              <w:rPr>
                <w:rFonts w:hint="default" w:ascii="Times New Roman" w:hAnsi="Times New Roman" w:cs="Times New Roman"/>
                <w:color w:val="auto"/>
                <w:spacing w:val="0"/>
                <w:w w:val="100"/>
                <w:position w:val="0"/>
                <w:sz w:val="24"/>
                <w:szCs w:val="24"/>
                <w:highlight w:val="none"/>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w:t>
            </w:r>
          </w:p>
          <w:p w14:paraId="62B53DE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（3）平面布置合理性分析</w:t>
            </w:r>
          </w:p>
          <w:p w14:paraId="5898B17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A、项目以产品的加工生产流程为原则布置，顺延了物料走向，交通方便，便于物料的运输；</w:t>
            </w:r>
          </w:p>
          <w:p w14:paraId="7DF20778">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B、该项目评价范围内不涉及自然保护区、风景名胜区等需要特殊保护的敏感目标，其他敏感目标距离项目均较远，因此生产过程对其环境影响较小；</w:t>
            </w:r>
          </w:p>
          <w:p w14:paraId="4A349E6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C、该项目对外界环境要求不高，且周围企业采取相应的环保措施后能够满足相应大气及厂界噪声排放标准，对该项目环境影响程度较小。因此，该项目与厂区周围环境相协调；</w:t>
            </w:r>
          </w:p>
          <w:p w14:paraId="75BA07A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D、厂区平面布置可以满足企业生产和管理要求，符合国家和地方有关环保、防火、安全、卫生等方面的要求；</w:t>
            </w:r>
          </w:p>
          <w:p w14:paraId="04872AAA">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E、厂区内通道宽阔，能满足产品的运输和消防要求。</w:t>
            </w:r>
          </w:p>
          <w:p w14:paraId="735F1FEA">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4"/>
                <w:shd w:val="clear" w:color="auto" w:fill="auto"/>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由以上分析，项目区平面布置较为合理</w:t>
            </w:r>
            <w:r>
              <w:rPr>
                <w:rFonts w:hint="default" w:ascii="Times New Roman" w:hAnsi="Times New Roman" w:cs="Times New Roman"/>
                <w:color w:val="auto"/>
                <w:sz w:val="24"/>
                <w:szCs w:val="24"/>
                <w:shd w:val="clear" w:color="auto" w:fill="auto"/>
                <w:lang w:val="en-US" w:eastAsia="zh-CN"/>
              </w:rPr>
              <w:t>。</w:t>
            </w:r>
          </w:p>
        </w:tc>
      </w:tr>
      <w:tr w14:paraId="14035C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823" w:type="dxa"/>
            <w:noWrap w:val="0"/>
            <w:vAlign w:val="center"/>
          </w:tcPr>
          <w:p w14:paraId="39B56F14">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工艺流程和产排污环节</w:t>
            </w:r>
          </w:p>
        </w:tc>
        <w:tc>
          <w:tcPr>
            <w:tcW w:w="8091" w:type="dxa"/>
            <w:noWrap w:val="0"/>
            <w:vAlign w:val="top"/>
          </w:tcPr>
          <w:p w14:paraId="461060F6">
            <w:pPr>
              <w:keepNext w:val="0"/>
              <w:keepLines w:val="0"/>
              <w:pageBreakBefore w:val="0"/>
              <w:widowControl w:val="0"/>
              <w:kinsoku/>
              <w:wordWrap/>
              <w:overflowPunct/>
              <w:topLinePunct w:val="0"/>
              <w:autoSpaceDE/>
              <w:autoSpaceDN/>
              <w:bidi w:val="0"/>
              <w:adjustRightInd/>
              <w:snapToGrid/>
              <w:spacing w:line="360" w:lineRule="auto"/>
              <w:ind w:leftChars="0" w:firstLine="482" w:firstLineChars="200"/>
              <w:textAlignment w:val="auto"/>
              <w:rPr>
                <w:rFonts w:hint="default" w:ascii="Times New Roman" w:hAnsi="Times New Roman" w:cs="Times New Roman"/>
                <w:b/>
                <w:bCs w:val="0"/>
                <w:color w:val="auto"/>
                <w:sz w:val="24"/>
                <w:szCs w:val="24"/>
                <w:highlight w:val="none"/>
              </w:rPr>
            </w:pPr>
            <w:r>
              <w:rPr>
                <w:rFonts w:hint="default" w:ascii="Times New Roman" w:hAnsi="Times New Roman" w:cs="Times New Roman"/>
                <w:b/>
                <w:bCs w:val="0"/>
                <w:color w:val="auto"/>
                <w:sz w:val="24"/>
                <w:szCs w:val="24"/>
                <w:highlight w:val="none"/>
                <w:lang w:val="en-US" w:eastAsia="zh-CN"/>
              </w:rPr>
              <w:t>1、铝铁红</w:t>
            </w:r>
            <w:r>
              <w:rPr>
                <w:rFonts w:hint="default" w:ascii="Times New Roman" w:hAnsi="Times New Roman" w:cs="Times New Roman"/>
                <w:b/>
                <w:bCs w:val="0"/>
                <w:color w:val="auto"/>
                <w:sz w:val="24"/>
                <w:szCs w:val="24"/>
                <w:highlight w:val="none"/>
              </w:rPr>
              <w:t>：</w:t>
            </w:r>
          </w:p>
          <w:p w14:paraId="4D74ECA7">
            <w:pPr>
              <w:spacing w:line="36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rPr>
              <w:drawing>
                <wp:inline distT="0" distB="0" distL="114300" distR="114300">
                  <wp:extent cx="4940300" cy="1356995"/>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2"/>
                          <a:srcRect l="18945" t="37453" r="27808" b="28023"/>
                          <a:stretch>
                            <a:fillRect/>
                          </a:stretch>
                        </pic:blipFill>
                        <pic:spPr>
                          <a:xfrm>
                            <a:off x="0" y="0"/>
                            <a:ext cx="4940300" cy="1356995"/>
                          </a:xfrm>
                          <a:prstGeom prst="rect">
                            <a:avLst/>
                          </a:prstGeom>
                          <a:noFill/>
                          <a:ln>
                            <a:noFill/>
                          </a:ln>
                        </pic:spPr>
                      </pic:pic>
                    </a:graphicData>
                  </a:graphic>
                </wp:inline>
              </w:drawing>
            </w:r>
          </w:p>
          <w:p w14:paraId="72998A09">
            <w:pPr>
              <w:adjustRightInd w:val="0"/>
              <w:snapToGrid w:val="0"/>
              <w:spacing w:line="360" w:lineRule="auto"/>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图2</w:t>
            </w:r>
            <w:r>
              <w:rPr>
                <w:rFonts w:hint="default" w:ascii="Times New Roman" w:hAnsi="Times New Roman" w:eastAsia="黑体" w:cs="Times New Roman"/>
                <w:color w:val="auto"/>
                <w:sz w:val="24"/>
                <w:szCs w:val="24"/>
                <w:highlight w:val="none"/>
                <w:lang w:val="en-US" w:eastAsia="zh-CN"/>
              </w:rPr>
              <w:t>-3</w:t>
            </w:r>
            <w:r>
              <w:rPr>
                <w:rFonts w:hint="default" w:ascii="Times New Roman" w:hAnsi="Times New Roman" w:eastAsia="黑体" w:cs="Times New Roman"/>
                <w:color w:val="auto"/>
                <w:sz w:val="24"/>
                <w:szCs w:val="24"/>
                <w:highlight w:val="none"/>
              </w:rPr>
              <w:t xml:space="preserve">  工艺流程及产污环节图</w:t>
            </w:r>
          </w:p>
          <w:p w14:paraId="6027F949">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工艺流程描述如下：</w:t>
            </w:r>
          </w:p>
          <w:p w14:paraId="6E0E2E92">
            <w:pPr>
              <w:adjustRightInd w:val="0"/>
              <w:snapToGrid w:val="0"/>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项目将原材料手工喷水配料，进行球磨后，因部分原料含水需进入梭式窑进行烘干，烘干温度为200-300℃</w:t>
            </w:r>
            <w:r>
              <w:rPr>
                <w:rFonts w:hint="eastAsia" w:cs="Times New Roman"/>
                <w:color w:val="auto"/>
                <w:sz w:val="24"/>
                <w:lang w:eastAsia="zh-CN"/>
              </w:rPr>
              <w:t>，</w:t>
            </w:r>
            <w:r>
              <w:rPr>
                <w:rFonts w:hint="eastAsia" w:cs="Times New Roman"/>
                <w:color w:val="auto"/>
                <w:sz w:val="24"/>
                <w:lang w:val="en-US" w:eastAsia="zh-CN"/>
              </w:rPr>
              <w:t>燃料为天然气。</w:t>
            </w:r>
            <w:r>
              <w:rPr>
                <w:rFonts w:hint="default" w:ascii="Times New Roman" w:hAnsi="Times New Roman" w:cs="Times New Roman"/>
                <w:color w:val="auto"/>
                <w:sz w:val="24"/>
              </w:rPr>
              <w:t>烘干后经微粉机微粉过筛，</w:t>
            </w:r>
            <w:r>
              <w:rPr>
                <w:rFonts w:hint="default" w:ascii="Times New Roman" w:hAnsi="Times New Roman" w:cs="Times New Roman"/>
                <w:color w:val="auto"/>
                <w:sz w:val="24"/>
                <w:lang w:val="en-US" w:eastAsia="zh-CN"/>
              </w:rPr>
              <w:t>开启混料机，将铝铁红颗粒混合均匀后，进入气流磨（密闭），使铝铁红颗粒物在高压气流的交汇点反复碰撞、摩擦、细化，</w:t>
            </w:r>
            <w:r>
              <w:rPr>
                <w:rFonts w:hint="default" w:ascii="Times New Roman" w:hAnsi="Times New Roman" w:cs="Times New Roman"/>
                <w:color w:val="auto"/>
                <w:sz w:val="24"/>
              </w:rPr>
              <w:t>包装入库即可。</w:t>
            </w:r>
          </w:p>
          <w:p w14:paraId="6046EA0E">
            <w:pPr>
              <w:keepNext w:val="0"/>
              <w:keepLines w:val="0"/>
              <w:pageBreakBefore w:val="0"/>
              <w:widowControl w:val="0"/>
              <w:kinsoku/>
              <w:wordWrap/>
              <w:overflowPunct/>
              <w:topLinePunct w:val="0"/>
              <w:autoSpaceDE/>
              <w:autoSpaceDN/>
              <w:bidi w:val="0"/>
              <w:adjustRightInd/>
              <w:snapToGrid/>
              <w:spacing w:line="360" w:lineRule="auto"/>
              <w:ind w:leftChars="0" w:firstLine="482" w:firstLineChars="200"/>
              <w:textAlignment w:val="auto"/>
              <w:rPr>
                <w:rFonts w:hint="default" w:ascii="Times New Roman" w:hAnsi="Times New Roman" w:cs="Times New Roman"/>
                <w:b/>
                <w:bCs w:val="0"/>
                <w:color w:val="auto"/>
                <w:sz w:val="24"/>
                <w:szCs w:val="24"/>
                <w:highlight w:val="none"/>
              </w:rPr>
            </w:pPr>
            <w:r>
              <w:rPr>
                <w:rFonts w:hint="default" w:ascii="Times New Roman" w:hAnsi="Times New Roman" w:cs="Times New Roman"/>
                <w:b/>
                <w:bCs w:val="0"/>
                <w:color w:val="auto"/>
                <w:sz w:val="24"/>
                <w:szCs w:val="24"/>
                <w:highlight w:val="none"/>
                <w:lang w:val="en-US" w:eastAsia="zh-CN"/>
              </w:rPr>
              <w:t>2、陶瓷喷墨墨水</w:t>
            </w:r>
            <w:r>
              <w:rPr>
                <w:rFonts w:hint="default" w:ascii="Times New Roman" w:hAnsi="Times New Roman" w:cs="Times New Roman"/>
                <w:b/>
                <w:bCs w:val="0"/>
                <w:color w:val="auto"/>
                <w:sz w:val="24"/>
                <w:szCs w:val="24"/>
                <w:highlight w:val="none"/>
              </w:rPr>
              <w:t>：</w:t>
            </w:r>
          </w:p>
          <w:p w14:paraId="09FEB398">
            <w:pPr>
              <w:spacing w:line="36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rPr>
              <w:drawing>
                <wp:inline distT="0" distB="0" distL="114300" distR="114300">
                  <wp:extent cx="4917440" cy="1445260"/>
                  <wp:effectExtent l="0" t="0" r="16510" b="0"/>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13"/>
                          <a:srcRect l="27340" t="36110" r="20677" b="28313"/>
                          <a:stretch>
                            <a:fillRect/>
                          </a:stretch>
                        </pic:blipFill>
                        <pic:spPr>
                          <a:xfrm>
                            <a:off x="0" y="0"/>
                            <a:ext cx="4917440" cy="1445260"/>
                          </a:xfrm>
                          <a:prstGeom prst="rect">
                            <a:avLst/>
                          </a:prstGeom>
                          <a:noFill/>
                          <a:ln>
                            <a:noFill/>
                          </a:ln>
                        </pic:spPr>
                      </pic:pic>
                    </a:graphicData>
                  </a:graphic>
                </wp:inline>
              </w:drawing>
            </w:r>
          </w:p>
          <w:p w14:paraId="3C3E3427">
            <w:pPr>
              <w:adjustRightInd w:val="0"/>
              <w:snapToGrid w:val="0"/>
              <w:spacing w:line="360" w:lineRule="auto"/>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图2</w:t>
            </w:r>
            <w:r>
              <w:rPr>
                <w:rFonts w:hint="default" w:ascii="Times New Roman" w:hAnsi="Times New Roman" w:eastAsia="黑体" w:cs="Times New Roman"/>
                <w:color w:val="auto"/>
                <w:sz w:val="24"/>
                <w:szCs w:val="24"/>
                <w:highlight w:val="none"/>
                <w:lang w:val="en-US" w:eastAsia="zh-CN"/>
              </w:rPr>
              <w:t>-3</w:t>
            </w:r>
            <w:r>
              <w:rPr>
                <w:rFonts w:hint="default" w:ascii="Times New Roman" w:hAnsi="Times New Roman" w:eastAsia="黑体" w:cs="Times New Roman"/>
                <w:color w:val="auto"/>
                <w:sz w:val="24"/>
                <w:szCs w:val="24"/>
                <w:highlight w:val="none"/>
              </w:rPr>
              <w:t xml:space="preserve">  工艺流程及产污环节图</w:t>
            </w:r>
          </w:p>
          <w:p w14:paraId="73C93660">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工艺流程描述如下：</w:t>
            </w:r>
          </w:p>
          <w:p w14:paraId="23199554">
            <w:pPr>
              <w:adjustRightInd w:val="0"/>
              <w:snapToGrid w:val="0"/>
              <w:spacing w:line="360" w:lineRule="auto"/>
              <w:ind w:firstLine="480"/>
              <w:rPr>
                <w:rFonts w:hint="default" w:ascii="Times New Roman" w:hAnsi="Times New Roman" w:cs="Times New Roman"/>
                <w:color w:val="auto"/>
                <w:sz w:val="24"/>
                <w:lang w:eastAsia="zh-CN"/>
              </w:rPr>
            </w:pPr>
            <w:r>
              <w:rPr>
                <w:rFonts w:hint="default" w:ascii="Times New Roman" w:hAnsi="Times New Roman" w:cs="Times New Roman"/>
                <w:color w:val="auto"/>
                <w:sz w:val="24"/>
              </w:rPr>
              <w:t>本项目陶瓷墨水生产工艺主要采用湿法研磨，全部采用管道联通</w:t>
            </w:r>
            <w:r>
              <w:rPr>
                <w:rFonts w:hint="default" w:ascii="Times New Roman" w:hAnsi="Times New Roman" w:cs="Times New Roman"/>
                <w:color w:val="auto"/>
                <w:sz w:val="24"/>
                <w:lang w:eastAsia="zh-CN"/>
              </w:rPr>
              <w:t>。</w:t>
            </w:r>
          </w:p>
          <w:p w14:paraId="720BAA18">
            <w:pPr>
              <w:adjustRightInd w:val="0"/>
              <w:snapToGrid w:val="0"/>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配料：按照陶瓷喷墨墨水的配方精确计量原辅材料，将计量好的各种原料</w:t>
            </w:r>
            <w:r>
              <w:rPr>
                <w:rFonts w:hint="default" w:ascii="Times New Roman" w:hAnsi="Times New Roman" w:cs="Times New Roman"/>
                <w:color w:val="auto"/>
                <w:sz w:val="24"/>
                <w:lang w:val="en-US" w:eastAsia="zh-CN"/>
              </w:rPr>
              <w:t>按照先液体料（三甘油酯、椰油酸酯、丙二醇辛酯、棕榈油酸酯、分散剂、水），后粉料（铝铁红）的顺序进行投料</w:t>
            </w:r>
            <w:r>
              <w:rPr>
                <w:rFonts w:hint="default" w:ascii="Times New Roman" w:hAnsi="Times New Roman" w:cs="Times New Roman"/>
                <w:color w:val="auto"/>
                <w:sz w:val="24"/>
              </w:rPr>
              <w:t>。</w:t>
            </w:r>
          </w:p>
          <w:p w14:paraId="61C09445">
            <w:pPr>
              <w:adjustRightInd w:val="0"/>
              <w:snapToGrid w:val="0"/>
              <w:spacing w:line="360" w:lineRule="auto"/>
              <w:ind w:firstLine="48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搅拌</w:t>
            </w:r>
          </w:p>
          <w:p w14:paraId="7872168D">
            <w:pPr>
              <w:adjustRightInd w:val="0"/>
              <w:snapToGrid w:val="0"/>
              <w:spacing w:line="360" w:lineRule="auto"/>
              <w:ind w:firstLine="480"/>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先缓慢倒入</w:t>
            </w:r>
            <w:r>
              <w:rPr>
                <w:rFonts w:hint="default" w:ascii="Times New Roman" w:hAnsi="Times New Roman" w:cs="Times New Roman"/>
                <w:color w:val="auto"/>
                <w:sz w:val="24"/>
                <w:lang w:val="en-US" w:eastAsia="zh-CN"/>
              </w:rPr>
              <w:t>液体料</w:t>
            </w:r>
            <w:r>
              <w:rPr>
                <w:rFonts w:hint="default" w:ascii="Times New Roman" w:hAnsi="Times New Roman" w:cs="Times New Roman"/>
                <w:color w:val="auto"/>
                <w:sz w:val="24"/>
              </w:rPr>
              <w:t>，倒入</w:t>
            </w:r>
            <w:r>
              <w:rPr>
                <w:rFonts w:hint="default" w:ascii="Times New Roman" w:hAnsi="Times New Roman" w:cs="Times New Roman"/>
                <w:color w:val="auto"/>
                <w:sz w:val="24"/>
                <w:lang w:val="en-US" w:eastAsia="zh-CN"/>
              </w:rPr>
              <w:t>搅拌机</w:t>
            </w:r>
            <w:r>
              <w:rPr>
                <w:rFonts w:hint="default" w:ascii="Times New Roman" w:hAnsi="Times New Roman" w:cs="Times New Roman"/>
                <w:color w:val="auto"/>
                <w:sz w:val="24"/>
              </w:rPr>
              <w:t>后开启</w:t>
            </w:r>
            <w:r>
              <w:rPr>
                <w:rFonts w:hint="default" w:ascii="Times New Roman" w:hAnsi="Times New Roman" w:cs="Times New Roman"/>
                <w:color w:val="auto"/>
                <w:sz w:val="24"/>
                <w:lang w:val="en-US" w:eastAsia="zh-CN"/>
              </w:rPr>
              <w:t>搅拌</w:t>
            </w:r>
            <w:r>
              <w:rPr>
                <w:rFonts w:hint="default" w:ascii="Times New Roman" w:hAnsi="Times New Roman" w:cs="Times New Roman"/>
                <w:color w:val="auto"/>
                <w:sz w:val="24"/>
              </w:rPr>
              <w:t>，搅拌3分钟后，缓慢投入</w:t>
            </w:r>
            <w:r>
              <w:rPr>
                <w:rFonts w:hint="default" w:ascii="Times New Roman" w:hAnsi="Times New Roman" w:cs="Times New Roman"/>
                <w:color w:val="auto"/>
                <w:sz w:val="24"/>
                <w:lang w:val="en-US" w:eastAsia="zh-CN"/>
              </w:rPr>
              <w:t>铝铁红</w:t>
            </w:r>
            <w:r>
              <w:rPr>
                <w:rFonts w:hint="default" w:ascii="Times New Roman" w:hAnsi="Times New Roman" w:cs="Times New Roman"/>
                <w:color w:val="auto"/>
                <w:sz w:val="24"/>
              </w:rPr>
              <w:t>，色料投入（整个投料过程约30分钟），</w:t>
            </w:r>
            <w:r>
              <w:rPr>
                <w:rFonts w:hint="default" w:ascii="Times New Roman" w:hAnsi="Times New Roman" w:cs="Times New Roman"/>
                <w:color w:val="auto"/>
                <w:sz w:val="24"/>
                <w:lang w:val="en-US" w:eastAsia="zh-CN"/>
              </w:rPr>
              <w:t>合</w:t>
            </w:r>
            <w:r>
              <w:rPr>
                <w:rFonts w:hint="default" w:ascii="Times New Roman" w:hAnsi="Times New Roman" w:cs="Times New Roman"/>
                <w:color w:val="auto"/>
                <w:sz w:val="24"/>
              </w:rPr>
              <w:t>上封盖，高速搅拌15~20分钟后</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即可开始研磨。</w:t>
            </w:r>
            <w:r>
              <w:rPr>
                <w:rFonts w:hint="default" w:ascii="Times New Roman" w:hAnsi="Times New Roman" w:cs="Times New Roman"/>
                <w:color w:val="auto"/>
                <w:sz w:val="24"/>
                <w:lang w:val="en-US" w:eastAsia="zh-CN"/>
              </w:rPr>
              <w:t>搅拌机</w:t>
            </w:r>
            <w:r>
              <w:rPr>
                <w:rFonts w:hint="default" w:ascii="Times New Roman" w:hAnsi="Times New Roman" w:cs="Times New Roman"/>
                <w:color w:val="auto"/>
                <w:sz w:val="24"/>
              </w:rPr>
              <w:t>对原料进行搅拌，利用物理作用力对原料进行混合，使粉料完全均匀的</w:t>
            </w:r>
            <w:r>
              <w:rPr>
                <w:rFonts w:hint="default" w:ascii="Times New Roman" w:hAnsi="Times New Roman" w:cs="Times New Roman"/>
                <w:color w:val="auto"/>
                <w:sz w:val="24"/>
                <w:lang w:val="en-US" w:eastAsia="zh-CN"/>
              </w:rPr>
              <w:t>混合</w:t>
            </w:r>
            <w:r>
              <w:rPr>
                <w:rFonts w:hint="default" w:ascii="Times New Roman" w:hAnsi="Times New Roman" w:cs="Times New Roman"/>
                <w:color w:val="auto"/>
                <w:sz w:val="24"/>
              </w:rPr>
              <w:t>在</w:t>
            </w:r>
            <w:r>
              <w:rPr>
                <w:rFonts w:hint="default" w:ascii="Times New Roman" w:hAnsi="Times New Roman" w:cs="Times New Roman"/>
                <w:color w:val="auto"/>
                <w:sz w:val="24"/>
                <w:lang w:val="en-US" w:eastAsia="zh-CN"/>
              </w:rPr>
              <w:t>液体料</w:t>
            </w:r>
            <w:r>
              <w:rPr>
                <w:rFonts w:hint="default" w:ascii="Times New Roman" w:hAnsi="Times New Roman" w:cs="Times New Roman"/>
                <w:color w:val="auto"/>
                <w:sz w:val="24"/>
              </w:rPr>
              <w:t>中。</w:t>
            </w:r>
            <w:r>
              <w:rPr>
                <w:rFonts w:hint="default" w:ascii="Times New Roman" w:hAnsi="Times New Roman" w:cs="Times New Roman"/>
                <w:color w:val="auto"/>
                <w:sz w:val="24"/>
                <w:lang w:val="en-US" w:eastAsia="zh-CN"/>
              </w:rPr>
              <w:t>此过程为单纯物理混合，不产生化学反应。</w:t>
            </w:r>
          </w:p>
          <w:p w14:paraId="3E9BF9D1">
            <w:pPr>
              <w:numPr>
                <w:ilvl w:val="0"/>
                <w:numId w:val="0"/>
              </w:numPr>
              <w:adjustRightInd w:val="0"/>
              <w:snapToGrid w:val="0"/>
              <w:spacing w:line="360" w:lineRule="auto"/>
              <w:ind w:left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（3）砂磨（密闭）</w:t>
            </w:r>
          </w:p>
          <w:p w14:paraId="6A6804A1">
            <w:pPr>
              <w:adjustRightInd w:val="0"/>
              <w:snapToGrid w:val="0"/>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将</w:t>
            </w:r>
            <w:r>
              <w:rPr>
                <w:rFonts w:hint="default" w:ascii="Times New Roman" w:hAnsi="Times New Roman" w:cs="Times New Roman"/>
                <w:color w:val="auto"/>
                <w:sz w:val="24"/>
                <w:lang w:val="en-US" w:eastAsia="zh-CN"/>
              </w:rPr>
              <w:t>搅拌好</w:t>
            </w:r>
            <w:r>
              <w:rPr>
                <w:rFonts w:hint="default" w:ascii="Times New Roman" w:hAnsi="Times New Roman" w:cs="Times New Roman"/>
                <w:color w:val="auto"/>
                <w:sz w:val="24"/>
              </w:rPr>
              <w:t>的液</w:t>
            </w:r>
            <w:r>
              <w:rPr>
                <w:rFonts w:hint="default" w:ascii="Times New Roman" w:hAnsi="Times New Roman" w:cs="Times New Roman"/>
                <w:color w:val="auto"/>
                <w:sz w:val="24"/>
                <w:lang w:val="en-US" w:eastAsia="zh-CN"/>
              </w:rPr>
              <w:t>体物料</w:t>
            </w:r>
            <w:r>
              <w:rPr>
                <w:rFonts w:hint="default" w:ascii="Times New Roman" w:hAnsi="Times New Roman" w:cs="Times New Roman"/>
                <w:color w:val="auto"/>
                <w:sz w:val="24"/>
              </w:rPr>
              <w:t>通过管道输送至砂磨机</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对</w:t>
            </w:r>
            <w:r>
              <w:rPr>
                <w:rFonts w:hint="default" w:ascii="Times New Roman" w:hAnsi="Times New Roman" w:cs="Times New Roman"/>
                <w:color w:val="auto"/>
                <w:sz w:val="24"/>
                <w:lang w:val="en-US" w:eastAsia="zh-CN"/>
              </w:rPr>
              <w:t>液体物料</w:t>
            </w:r>
            <w:r>
              <w:rPr>
                <w:rFonts w:hint="default" w:ascii="Times New Roman" w:hAnsi="Times New Roman" w:cs="Times New Roman"/>
                <w:color w:val="auto"/>
                <w:sz w:val="24"/>
              </w:rPr>
              <w:t>进行</w:t>
            </w:r>
            <w:r>
              <w:rPr>
                <w:rFonts w:hint="default" w:ascii="Times New Roman" w:hAnsi="Times New Roman" w:cs="Times New Roman"/>
                <w:color w:val="auto"/>
                <w:sz w:val="24"/>
                <w:lang w:val="en-US" w:eastAsia="zh-CN"/>
              </w:rPr>
              <w:t>研</w:t>
            </w:r>
            <w:r>
              <w:rPr>
                <w:rFonts w:hint="default" w:ascii="Times New Roman" w:hAnsi="Times New Roman" w:cs="Times New Roman"/>
                <w:color w:val="auto"/>
                <w:sz w:val="24"/>
              </w:rPr>
              <w:t>磨，研磨时间一般为5小时，此过程中，需对研磨机内半成品溶液保持匀度搅拌，避免沉淀，</w:t>
            </w:r>
            <w:r>
              <w:rPr>
                <w:rFonts w:hint="default" w:ascii="Times New Roman" w:hAnsi="Times New Roman" w:cs="Times New Roman"/>
                <w:color w:val="auto"/>
                <w:sz w:val="24"/>
                <w:lang w:val="en-US" w:eastAsia="zh-CN"/>
              </w:rPr>
              <w:t>砂磨</w:t>
            </w:r>
            <w:r>
              <w:rPr>
                <w:rFonts w:hint="default" w:ascii="Times New Roman" w:hAnsi="Times New Roman" w:cs="Times New Roman"/>
                <w:color w:val="auto"/>
                <w:sz w:val="24"/>
              </w:rPr>
              <w:t>全过程在砂磨机密闭磨腔内进行。</w:t>
            </w:r>
          </w:p>
          <w:p w14:paraId="0A308CBE">
            <w:pPr>
              <w:adjustRightInd w:val="0"/>
              <w:snapToGrid w:val="0"/>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（4）蒸发</w:t>
            </w:r>
          </w:p>
          <w:p w14:paraId="269F30DB">
            <w:pPr>
              <w:adjustRightInd w:val="0"/>
              <w:snapToGrid w:val="0"/>
              <w:spacing w:line="360" w:lineRule="auto"/>
              <w:ind w:firstLine="48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采用电加热蒸发器对研磨好的液体物料进行低温蒸发，蒸发温度在40~50℃。使陶瓷喷墨墨水含水率降低至0.25%以下。蒸发过程中不发生化学反应。</w:t>
            </w:r>
          </w:p>
          <w:p w14:paraId="69B42A85">
            <w:pPr>
              <w:numPr>
                <w:ilvl w:val="0"/>
                <w:numId w:val="0"/>
              </w:numPr>
              <w:adjustRightInd w:val="0"/>
              <w:snapToGrid w:val="0"/>
              <w:spacing w:line="360" w:lineRule="auto"/>
              <w:ind w:left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5</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过滤</w:t>
            </w:r>
          </w:p>
          <w:p w14:paraId="3A347CE1">
            <w:pPr>
              <w:numPr>
                <w:ilvl w:val="0"/>
                <w:numId w:val="0"/>
              </w:numPr>
              <w:adjustRightInd w:val="0"/>
              <w:snapToGrid w:val="0"/>
              <w:spacing w:line="360" w:lineRule="auto"/>
              <w:ind w:left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陶瓷喷墨墨水溶液经过滤器过滤，过滤液</w:t>
            </w:r>
            <w:r>
              <w:rPr>
                <w:rFonts w:hint="default" w:ascii="Times New Roman" w:hAnsi="Times New Roman" w:cs="Times New Roman"/>
                <w:color w:val="auto"/>
                <w:sz w:val="24"/>
              </w:rPr>
              <w:t>通过管道输送至</w:t>
            </w:r>
            <w:r>
              <w:rPr>
                <w:rFonts w:hint="default" w:ascii="Times New Roman" w:hAnsi="Times New Roman" w:cs="Times New Roman"/>
                <w:color w:val="auto"/>
                <w:sz w:val="24"/>
                <w:lang w:val="en-US" w:eastAsia="zh-CN"/>
              </w:rPr>
              <w:t>陶瓷喷墨墨水</w:t>
            </w:r>
          </w:p>
          <w:p w14:paraId="2CFF8AED">
            <w:pPr>
              <w:numPr>
                <w:ilvl w:val="0"/>
                <w:numId w:val="0"/>
              </w:numPr>
              <w:adjustRightInd w:val="0"/>
              <w:snapToGrid w:val="0"/>
              <w:spacing w:line="360" w:lineRule="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储罐，滤渣作为原材料回用于生产。</w:t>
            </w:r>
          </w:p>
          <w:p w14:paraId="6D648F78">
            <w:pPr>
              <w:numPr>
                <w:ilvl w:val="0"/>
                <w:numId w:val="2"/>
              </w:numPr>
              <w:adjustRightInd w:val="0"/>
              <w:snapToGrid w:val="0"/>
              <w:spacing w:line="360" w:lineRule="auto"/>
              <w:ind w:left="0" w:leftChars="0"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分装</w:t>
            </w:r>
          </w:p>
          <w:p w14:paraId="17CD6294">
            <w:pPr>
              <w:numPr>
                <w:ilvl w:val="0"/>
                <w:numId w:val="0"/>
              </w:numPr>
              <w:adjustRightInd w:val="0"/>
              <w:snapToGrid w:val="0"/>
              <w:spacing w:line="360" w:lineRule="auto"/>
              <w:ind w:left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成品陶瓷喷墨墨水经储罐暂存后，分装到各产品包装罐。</w:t>
            </w:r>
          </w:p>
          <w:p w14:paraId="3E41061C">
            <w:pPr>
              <w:keepNext w:val="0"/>
              <w:keepLines w:val="0"/>
              <w:pageBreakBefore w:val="0"/>
              <w:widowControl w:val="0"/>
              <w:shd w:val="clear"/>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3.产污环节</w:t>
            </w:r>
          </w:p>
          <w:p w14:paraId="78868118">
            <w:pPr>
              <w:keepNext w:val="0"/>
              <w:keepLines w:val="0"/>
              <w:pageBreakBefore w:val="0"/>
              <w:widowControl w:val="0"/>
              <w:tabs>
                <w:tab w:val="left" w:pos="897"/>
              </w:tabs>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本项目产排污环节：</w:t>
            </w:r>
          </w:p>
          <w:p w14:paraId="7CDD9637">
            <w:pPr>
              <w:keepNext w:val="0"/>
              <w:keepLines w:val="0"/>
              <w:pageBreakBefore w:val="0"/>
              <w:widowControl w:val="0"/>
              <w:shd w:val="clear"/>
              <w:kinsoku/>
              <w:wordWrap/>
              <w:overflowPunct/>
              <w:topLinePunct w:val="0"/>
              <w:autoSpaceDE w:val="0"/>
              <w:autoSpaceDN w:val="0"/>
              <w:bidi w:val="0"/>
              <w:adjustRightInd w:val="0"/>
              <w:snapToGrid w:val="0"/>
              <w:spacing w:line="440" w:lineRule="exact"/>
              <w:ind w:firstLine="480" w:firstLineChars="200"/>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表2-6  产污环节一览表</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665"/>
              <w:gridCol w:w="1139"/>
              <w:gridCol w:w="1948"/>
              <w:gridCol w:w="945"/>
              <w:gridCol w:w="2438"/>
            </w:tblGrid>
            <w:tr w14:paraId="1FD0C4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tcBorders>
                    <w:tl2br w:val="nil"/>
                    <w:tr2bl w:val="nil"/>
                  </w:tcBorders>
                  <w:noWrap w:val="0"/>
                  <w:vAlign w:val="center"/>
                </w:tcPr>
                <w:p w14:paraId="25DEA15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3"/>
                      <w:sz w:val="21"/>
                      <w:szCs w:val="21"/>
                    </w:rPr>
                    <w:t>项</w:t>
                  </w:r>
                  <w:r>
                    <w:rPr>
                      <w:rFonts w:hint="default" w:ascii="Times New Roman" w:hAnsi="Times New Roman" w:eastAsia="宋体" w:cs="Times New Roman"/>
                      <w:color w:val="auto"/>
                      <w:spacing w:val="-2"/>
                      <w:sz w:val="21"/>
                      <w:szCs w:val="21"/>
                    </w:rPr>
                    <w:t>目</w:t>
                  </w:r>
                </w:p>
              </w:tc>
              <w:tc>
                <w:tcPr>
                  <w:tcW w:w="1145" w:type="pct"/>
                  <w:gridSpan w:val="2"/>
                  <w:tcBorders>
                    <w:tl2br w:val="nil"/>
                    <w:tr2bl w:val="nil"/>
                  </w:tcBorders>
                  <w:noWrap w:val="0"/>
                  <w:vAlign w:val="center"/>
                </w:tcPr>
                <w:p w14:paraId="5D58E6B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产污环</w:t>
                  </w:r>
                  <w:r>
                    <w:rPr>
                      <w:rFonts w:hint="default" w:ascii="Times New Roman" w:hAnsi="Times New Roman" w:eastAsia="宋体" w:cs="Times New Roman"/>
                      <w:color w:val="auto"/>
                      <w:sz w:val="21"/>
                      <w:szCs w:val="21"/>
                    </w:rPr>
                    <w:t>节</w:t>
                  </w:r>
                </w:p>
              </w:tc>
              <w:tc>
                <w:tcPr>
                  <w:tcW w:w="1237" w:type="pct"/>
                  <w:tcBorders>
                    <w:tl2br w:val="nil"/>
                    <w:tr2bl w:val="nil"/>
                  </w:tcBorders>
                  <w:noWrap w:val="0"/>
                  <w:vAlign w:val="center"/>
                </w:tcPr>
                <w:p w14:paraId="52B177C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1"/>
                      <w:sz w:val="21"/>
                      <w:szCs w:val="21"/>
                    </w:rPr>
                    <w:t>污染物</w:t>
                  </w:r>
                </w:p>
              </w:tc>
              <w:tc>
                <w:tcPr>
                  <w:tcW w:w="2148" w:type="pct"/>
                  <w:gridSpan w:val="2"/>
                  <w:tcBorders>
                    <w:tl2br w:val="nil"/>
                    <w:tr2bl w:val="nil"/>
                  </w:tcBorders>
                  <w:noWrap w:val="0"/>
                  <w:vAlign w:val="center"/>
                </w:tcPr>
                <w:p w14:paraId="73B0C25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2"/>
                      <w:sz w:val="21"/>
                      <w:szCs w:val="21"/>
                    </w:rPr>
                    <w:t>治理措</w:t>
                  </w:r>
                  <w:r>
                    <w:rPr>
                      <w:rFonts w:hint="default" w:ascii="Times New Roman" w:hAnsi="Times New Roman" w:eastAsia="宋体" w:cs="Times New Roman"/>
                      <w:color w:val="auto"/>
                      <w:spacing w:val="-1"/>
                      <w:sz w:val="21"/>
                      <w:szCs w:val="21"/>
                    </w:rPr>
                    <w:t>施</w:t>
                  </w:r>
                </w:p>
              </w:tc>
            </w:tr>
            <w:tr w14:paraId="5FDF76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restart"/>
                  <w:tcBorders>
                    <w:tl2br w:val="nil"/>
                    <w:tr2bl w:val="nil"/>
                  </w:tcBorders>
                  <w:noWrap w:val="0"/>
                  <w:vAlign w:val="center"/>
                </w:tcPr>
                <w:p w14:paraId="072E320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废</w:t>
                  </w:r>
                  <w:r>
                    <w:rPr>
                      <w:rFonts w:hint="default" w:ascii="Times New Roman" w:hAnsi="Times New Roman" w:eastAsia="宋体" w:cs="Times New Roman"/>
                      <w:color w:val="auto"/>
                      <w:spacing w:val="-1"/>
                      <w:sz w:val="21"/>
                      <w:szCs w:val="21"/>
                    </w:rPr>
                    <w:t>气</w:t>
                  </w:r>
                </w:p>
              </w:tc>
              <w:tc>
                <w:tcPr>
                  <w:tcW w:w="422" w:type="pct"/>
                  <w:vMerge w:val="restart"/>
                  <w:tcBorders>
                    <w:tl2br w:val="nil"/>
                    <w:tr2bl w:val="nil"/>
                  </w:tcBorders>
                  <w:noWrap w:val="0"/>
                  <w:vAlign w:val="center"/>
                </w:tcPr>
                <w:p w14:paraId="612D113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lang w:val="en-US" w:eastAsia="zh-CN"/>
                    </w:rPr>
                  </w:pPr>
                  <w:r>
                    <w:rPr>
                      <w:rFonts w:hint="default" w:ascii="Times New Roman" w:hAnsi="Times New Roman" w:cs="Times New Roman"/>
                      <w:color w:val="auto"/>
                      <w:spacing w:val="-1"/>
                      <w:sz w:val="21"/>
                      <w:szCs w:val="21"/>
                      <w:highlight w:val="none"/>
                      <w:lang w:val="en-US" w:eastAsia="zh-CN"/>
                    </w:rPr>
                    <w:t>铝铁红</w:t>
                  </w:r>
                </w:p>
              </w:tc>
              <w:tc>
                <w:tcPr>
                  <w:tcW w:w="723" w:type="pct"/>
                  <w:tcBorders>
                    <w:tl2br w:val="nil"/>
                    <w:tr2bl w:val="nil"/>
                  </w:tcBorders>
                  <w:noWrap w:val="0"/>
                  <w:vAlign w:val="center"/>
                </w:tcPr>
                <w:p w14:paraId="365C3AE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default" w:ascii="Times New Roman" w:hAnsi="Times New Roman" w:cs="Times New Roman"/>
                      <w:color w:val="auto"/>
                      <w:spacing w:val="-1"/>
                      <w:sz w:val="21"/>
                      <w:szCs w:val="21"/>
                      <w:highlight w:val="none"/>
                      <w:lang w:val="en-US" w:eastAsia="zh-CN"/>
                    </w:rPr>
                    <w:t>配料</w:t>
                  </w:r>
                </w:p>
              </w:tc>
              <w:tc>
                <w:tcPr>
                  <w:tcW w:w="1237" w:type="pct"/>
                  <w:tcBorders>
                    <w:tl2br w:val="nil"/>
                    <w:tr2bl w:val="nil"/>
                  </w:tcBorders>
                  <w:noWrap w:val="0"/>
                  <w:vAlign w:val="center"/>
                </w:tcPr>
                <w:p w14:paraId="789B0FA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lang w:val="en-US" w:eastAsia="zh-CN"/>
                    </w:rPr>
                  </w:pPr>
                  <w:r>
                    <w:rPr>
                      <w:rFonts w:hint="default" w:ascii="Times New Roman" w:hAnsi="Times New Roman" w:eastAsia="宋体" w:cs="Times New Roman"/>
                      <w:color w:val="auto"/>
                      <w:spacing w:val="-1"/>
                      <w:sz w:val="21"/>
                      <w:szCs w:val="21"/>
                      <w:highlight w:val="none"/>
                    </w:rPr>
                    <w:t>颗粒物</w:t>
                  </w:r>
                </w:p>
              </w:tc>
              <w:tc>
                <w:tcPr>
                  <w:tcW w:w="2148" w:type="pct"/>
                  <w:gridSpan w:val="2"/>
                  <w:vMerge w:val="restart"/>
                  <w:tcBorders>
                    <w:tl2br w:val="nil"/>
                    <w:tr2bl w:val="nil"/>
                  </w:tcBorders>
                  <w:noWrap w:val="0"/>
                  <w:vAlign w:val="center"/>
                </w:tcPr>
                <w:p w14:paraId="330768F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1"/>
                      <w:sz w:val="21"/>
                      <w:szCs w:val="21"/>
                      <w:highlight w:val="none"/>
                    </w:rPr>
                    <w:t>集气罩收集</w:t>
                  </w:r>
                  <w:r>
                    <w:rPr>
                      <w:rFonts w:hint="default" w:ascii="Times New Roman" w:hAnsi="Times New Roman" w:eastAsia="Times New Roman" w:cs="Times New Roman"/>
                      <w:color w:val="auto"/>
                      <w:spacing w:val="-1"/>
                      <w:sz w:val="21"/>
                      <w:szCs w:val="21"/>
                      <w:highlight w:val="none"/>
                    </w:rPr>
                    <w:t>+</w:t>
                  </w:r>
                  <w:r>
                    <w:rPr>
                      <w:rFonts w:hint="default" w:ascii="Times New Roman" w:hAnsi="Times New Roman" w:eastAsia="宋体" w:cs="Times New Roman"/>
                      <w:color w:val="auto"/>
                      <w:sz w:val="21"/>
                      <w:szCs w:val="21"/>
                      <w:highlight w:val="none"/>
                      <w:lang w:val="en-US" w:eastAsia="zh-CN"/>
                    </w:rPr>
                    <w:t>TA001</w:t>
                  </w:r>
                  <w:r>
                    <w:rPr>
                      <w:rFonts w:hint="default" w:ascii="Times New Roman" w:hAnsi="Times New Roman" w:eastAsia="宋体" w:cs="Times New Roman"/>
                      <w:color w:val="auto"/>
                      <w:sz w:val="21"/>
                      <w:szCs w:val="21"/>
                      <w:highlight w:val="none"/>
                      <w:lang w:eastAsia="zh-CN"/>
                    </w:rPr>
                    <w:t>袋式除尘器</w:t>
                  </w:r>
                  <w:r>
                    <w:rPr>
                      <w:rFonts w:hint="default" w:ascii="Times New Roman" w:hAnsi="Times New Roman" w:eastAsia="Times New Roman" w:cs="Times New Roman"/>
                      <w:color w:val="auto"/>
                      <w:sz w:val="21"/>
                      <w:szCs w:val="21"/>
                      <w:highlight w:val="none"/>
                    </w:rPr>
                    <w:t>+15m</w:t>
                  </w:r>
                  <w:r>
                    <w:rPr>
                      <w:rFonts w:hint="default" w:ascii="Times New Roman" w:hAnsi="Times New Roman" w:eastAsia="宋体" w:cs="Times New Roman"/>
                      <w:color w:val="auto"/>
                      <w:sz w:val="21"/>
                      <w:szCs w:val="21"/>
                      <w:highlight w:val="none"/>
                    </w:rPr>
                    <w:t>排气筒</w:t>
                  </w:r>
                  <w:r>
                    <w:rPr>
                      <w:rFonts w:hint="default" w:ascii="Times New Roman" w:hAnsi="Times New Roman" w:eastAsia="Times New Roman" w:cs="Times New Roman"/>
                      <w:color w:val="auto"/>
                      <w:sz w:val="21"/>
                      <w:szCs w:val="21"/>
                      <w:highlight w:val="none"/>
                    </w:rPr>
                    <w:t>DA</w:t>
                  </w:r>
                  <w:r>
                    <w:rPr>
                      <w:rFonts w:hint="default" w:ascii="Times New Roman" w:hAnsi="Times New Roman" w:eastAsia="Times New Roman" w:cs="Times New Roman"/>
                      <w:color w:val="auto"/>
                      <w:spacing w:val="-1"/>
                      <w:sz w:val="21"/>
                      <w:szCs w:val="21"/>
                      <w:highlight w:val="none"/>
                    </w:rPr>
                    <w:t>0</w:t>
                  </w:r>
                  <w:r>
                    <w:rPr>
                      <w:rFonts w:hint="default" w:ascii="Times New Roman" w:hAnsi="Times New Roman" w:eastAsia="Times New Roman" w:cs="Times New Roman"/>
                      <w:color w:val="auto"/>
                      <w:sz w:val="21"/>
                      <w:szCs w:val="21"/>
                      <w:highlight w:val="none"/>
                    </w:rPr>
                    <w:t>01</w:t>
                  </w:r>
                  <w:r>
                    <w:rPr>
                      <w:rFonts w:hint="default" w:ascii="Times New Roman" w:hAnsi="Times New Roman" w:eastAsia="宋体" w:cs="Times New Roman"/>
                      <w:color w:val="auto"/>
                      <w:sz w:val="21"/>
                      <w:szCs w:val="21"/>
                      <w:highlight w:val="none"/>
                    </w:rPr>
                    <w:t>排放</w:t>
                  </w:r>
                </w:p>
              </w:tc>
            </w:tr>
            <w:tr w14:paraId="5E0FE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6D9ED8B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2"/>
                      <w:sz w:val="21"/>
                      <w:szCs w:val="21"/>
                    </w:rPr>
                  </w:pPr>
                </w:p>
              </w:tc>
              <w:tc>
                <w:tcPr>
                  <w:tcW w:w="422" w:type="pct"/>
                  <w:vMerge w:val="continue"/>
                  <w:tcBorders>
                    <w:tl2br w:val="nil"/>
                    <w:tr2bl w:val="nil"/>
                  </w:tcBorders>
                  <w:noWrap w:val="0"/>
                  <w:vAlign w:val="center"/>
                </w:tcPr>
                <w:p w14:paraId="313A327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lang w:val="en-US" w:eastAsia="zh-CN"/>
                    </w:rPr>
                  </w:pPr>
                </w:p>
              </w:tc>
              <w:tc>
                <w:tcPr>
                  <w:tcW w:w="723" w:type="pct"/>
                  <w:tcBorders>
                    <w:tl2br w:val="nil"/>
                    <w:tr2bl w:val="nil"/>
                  </w:tcBorders>
                  <w:noWrap w:val="0"/>
                  <w:vAlign w:val="center"/>
                </w:tcPr>
                <w:p w14:paraId="33105E2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default" w:ascii="Times New Roman" w:hAnsi="Times New Roman" w:cs="Times New Roman"/>
                      <w:color w:val="auto"/>
                      <w:spacing w:val="-1"/>
                      <w:sz w:val="21"/>
                      <w:szCs w:val="21"/>
                      <w:highlight w:val="none"/>
                      <w:lang w:val="en-US" w:eastAsia="zh-CN"/>
                    </w:rPr>
                    <w:t>球磨</w:t>
                  </w:r>
                </w:p>
              </w:tc>
              <w:tc>
                <w:tcPr>
                  <w:tcW w:w="1237" w:type="pct"/>
                  <w:tcBorders>
                    <w:tl2br w:val="nil"/>
                    <w:tr2bl w:val="nil"/>
                  </w:tcBorders>
                  <w:noWrap w:val="0"/>
                  <w:vAlign w:val="center"/>
                </w:tcPr>
                <w:p w14:paraId="20B8F81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lang w:val="en-US" w:eastAsia="zh-CN"/>
                    </w:rPr>
                  </w:pPr>
                  <w:r>
                    <w:rPr>
                      <w:rFonts w:hint="default" w:ascii="Times New Roman" w:hAnsi="Times New Roman" w:eastAsia="宋体" w:cs="Times New Roman"/>
                      <w:color w:val="auto"/>
                      <w:spacing w:val="-1"/>
                      <w:sz w:val="21"/>
                      <w:szCs w:val="21"/>
                      <w:highlight w:val="none"/>
                    </w:rPr>
                    <w:t>颗粒物</w:t>
                  </w:r>
                </w:p>
              </w:tc>
              <w:tc>
                <w:tcPr>
                  <w:tcW w:w="2148" w:type="pct"/>
                  <w:gridSpan w:val="2"/>
                  <w:vMerge w:val="continue"/>
                  <w:tcBorders>
                    <w:tl2br w:val="nil"/>
                    <w:tr2bl w:val="nil"/>
                  </w:tcBorders>
                  <w:noWrap w:val="0"/>
                  <w:vAlign w:val="center"/>
                </w:tcPr>
                <w:p w14:paraId="3627A17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1"/>
                      <w:sz w:val="21"/>
                      <w:szCs w:val="21"/>
                      <w:highlight w:val="none"/>
                    </w:rPr>
                  </w:pPr>
                </w:p>
              </w:tc>
            </w:tr>
            <w:tr w14:paraId="2A3CC5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1AE221F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2"/>
                      <w:sz w:val="21"/>
                      <w:szCs w:val="21"/>
                    </w:rPr>
                  </w:pPr>
                </w:p>
              </w:tc>
              <w:tc>
                <w:tcPr>
                  <w:tcW w:w="422" w:type="pct"/>
                  <w:vMerge w:val="continue"/>
                  <w:tcBorders>
                    <w:tl2br w:val="nil"/>
                    <w:tr2bl w:val="nil"/>
                  </w:tcBorders>
                  <w:noWrap w:val="0"/>
                  <w:vAlign w:val="center"/>
                </w:tcPr>
                <w:p w14:paraId="1357F90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lang w:val="en-US" w:eastAsia="zh-CN"/>
                    </w:rPr>
                  </w:pPr>
                </w:p>
              </w:tc>
              <w:tc>
                <w:tcPr>
                  <w:tcW w:w="723" w:type="pct"/>
                  <w:tcBorders>
                    <w:tl2br w:val="nil"/>
                    <w:tr2bl w:val="nil"/>
                  </w:tcBorders>
                  <w:noWrap w:val="0"/>
                  <w:vAlign w:val="center"/>
                </w:tcPr>
                <w:p w14:paraId="6A40900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default" w:ascii="Times New Roman" w:hAnsi="Times New Roman" w:cs="Times New Roman"/>
                      <w:color w:val="auto"/>
                      <w:spacing w:val="-1"/>
                      <w:sz w:val="21"/>
                      <w:szCs w:val="21"/>
                      <w:highlight w:val="none"/>
                      <w:lang w:val="en-US" w:eastAsia="zh-CN"/>
                    </w:rPr>
                    <w:t>微粉过筛</w:t>
                  </w:r>
                </w:p>
              </w:tc>
              <w:tc>
                <w:tcPr>
                  <w:tcW w:w="1237" w:type="pct"/>
                  <w:tcBorders>
                    <w:tl2br w:val="nil"/>
                    <w:tr2bl w:val="nil"/>
                  </w:tcBorders>
                  <w:noWrap w:val="0"/>
                  <w:vAlign w:val="center"/>
                </w:tcPr>
                <w:p w14:paraId="5BF6FCD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rPr>
                  </w:pPr>
                  <w:r>
                    <w:rPr>
                      <w:rFonts w:hint="default" w:ascii="Times New Roman" w:hAnsi="Times New Roman" w:eastAsia="宋体" w:cs="Times New Roman"/>
                      <w:color w:val="auto"/>
                      <w:spacing w:val="-1"/>
                      <w:sz w:val="21"/>
                      <w:szCs w:val="21"/>
                      <w:highlight w:val="none"/>
                    </w:rPr>
                    <w:t>颗粒物</w:t>
                  </w:r>
                </w:p>
              </w:tc>
              <w:tc>
                <w:tcPr>
                  <w:tcW w:w="2148" w:type="pct"/>
                  <w:gridSpan w:val="2"/>
                  <w:vMerge w:val="continue"/>
                  <w:tcBorders>
                    <w:tl2br w:val="nil"/>
                    <w:tr2bl w:val="nil"/>
                  </w:tcBorders>
                  <w:noWrap w:val="0"/>
                  <w:vAlign w:val="center"/>
                </w:tcPr>
                <w:p w14:paraId="2CD8E3A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1"/>
                      <w:sz w:val="21"/>
                      <w:szCs w:val="21"/>
                      <w:highlight w:val="none"/>
                    </w:rPr>
                  </w:pPr>
                </w:p>
              </w:tc>
            </w:tr>
            <w:tr w14:paraId="657DF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06BA980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422" w:type="pct"/>
                  <w:vMerge w:val="continue"/>
                  <w:tcBorders>
                    <w:tl2br w:val="nil"/>
                    <w:tr2bl w:val="nil"/>
                  </w:tcBorders>
                  <w:noWrap w:val="0"/>
                  <w:vAlign w:val="center"/>
                </w:tcPr>
                <w:p w14:paraId="1FDD811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p>
              </w:tc>
              <w:tc>
                <w:tcPr>
                  <w:tcW w:w="723" w:type="pct"/>
                  <w:tcBorders>
                    <w:tl2br w:val="nil"/>
                    <w:tr2bl w:val="nil"/>
                  </w:tcBorders>
                  <w:noWrap w:val="0"/>
                  <w:vAlign w:val="center"/>
                </w:tcPr>
                <w:p w14:paraId="3E19F00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default" w:ascii="Times New Roman" w:hAnsi="Times New Roman" w:eastAsia="宋体" w:cs="Times New Roman"/>
                      <w:color w:val="auto"/>
                      <w:spacing w:val="-1"/>
                      <w:sz w:val="21"/>
                      <w:szCs w:val="21"/>
                      <w:highlight w:val="none"/>
                    </w:rPr>
                    <w:t>烘干</w:t>
                  </w:r>
                </w:p>
              </w:tc>
              <w:tc>
                <w:tcPr>
                  <w:tcW w:w="1237" w:type="pct"/>
                  <w:tcBorders>
                    <w:tl2br w:val="nil"/>
                    <w:tr2bl w:val="nil"/>
                  </w:tcBorders>
                  <w:noWrap w:val="0"/>
                  <w:vAlign w:val="center"/>
                </w:tcPr>
                <w:p w14:paraId="1559EC3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default" w:ascii="Times New Roman" w:hAnsi="Times New Roman" w:eastAsia="宋体" w:cs="Times New Roman"/>
                      <w:color w:val="auto"/>
                      <w:spacing w:val="-1"/>
                      <w:sz w:val="21"/>
                      <w:szCs w:val="21"/>
                      <w:highlight w:val="none"/>
                    </w:rPr>
                    <w:t>二氧化硫、氮氧化物、颗粒物</w:t>
                  </w:r>
                </w:p>
              </w:tc>
              <w:tc>
                <w:tcPr>
                  <w:tcW w:w="2148" w:type="pct"/>
                  <w:gridSpan w:val="2"/>
                  <w:tcBorders>
                    <w:tl2br w:val="nil"/>
                    <w:tr2bl w:val="nil"/>
                  </w:tcBorders>
                  <w:noWrap w:val="0"/>
                  <w:vAlign w:val="center"/>
                </w:tcPr>
                <w:p w14:paraId="170F125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TA004SNCR脱硝装置</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Times New Roman" w:cs="Times New Roman"/>
                      <w:color w:val="auto"/>
                      <w:sz w:val="21"/>
                      <w:szCs w:val="21"/>
                      <w:highlight w:val="none"/>
                    </w:rPr>
                    <w:t>15m</w:t>
                  </w:r>
                  <w:r>
                    <w:rPr>
                      <w:rFonts w:hint="default" w:ascii="Times New Roman" w:hAnsi="Times New Roman" w:eastAsia="宋体" w:cs="Times New Roman"/>
                      <w:color w:val="auto"/>
                      <w:sz w:val="21"/>
                      <w:szCs w:val="21"/>
                      <w:highlight w:val="none"/>
                    </w:rPr>
                    <w:t>排气筒</w:t>
                  </w:r>
                  <w:r>
                    <w:rPr>
                      <w:rFonts w:hint="default" w:ascii="Times New Roman" w:hAnsi="Times New Roman" w:eastAsia="Times New Roman" w:cs="Times New Roman"/>
                      <w:color w:val="auto"/>
                      <w:sz w:val="21"/>
                      <w:szCs w:val="21"/>
                      <w:highlight w:val="none"/>
                    </w:rPr>
                    <w:t>DA</w:t>
                  </w:r>
                  <w:r>
                    <w:rPr>
                      <w:rFonts w:hint="default" w:ascii="Times New Roman" w:hAnsi="Times New Roman" w:eastAsia="Times New Roman" w:cs="Times New Roman"/>
                      <w:color w:val="auto"/>
                      <w:spacing w:val="-1"/>
                      <w:sz w:val="21"/>
                      <w:szCs w:val="21"/>
                      <w:highlight w:val="none"/>
                    </w:rPr>
                    <w:t>0</w:t>
                  </w:r>
                  <w:r>
                    <w:rPr>
                      <w:rFonts w:hint="default" w:ascii="Times New Roman" w:hAnsi="Times New Roman" w:eastAsia="Times New Roman"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排放</w:t>
                  </w:r>
                </w:p>
              </w:tc>
            </w:tr>
            <w:tr w14:paraId="7DD5F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7010910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422" w:type="pct"/>
                  <w:vMerge w:val="continue"/>
                  <w:tcBorders>
                    <w:tl2br w:val="nil"/>
                    <w:tr2bl w:val="nil"/>
                  </w:tcBorders>
                  <w:noWrap w:val="0"/>
                  <w:vAlign w:val="center"/>
                </w:tcPr>
                <w:p w14:paraId="1D9B7C7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lang w:val="en-US" w:eastAsia="zh-CN"/>
                    </w:rPr>
                  </w:pPr>
                </w:p>
              </w:tc>
              <w:tc>
                <w:tcPr>
                  <w:tcW w:w="723" w:type="pct"/>
                  <w:tcBorders>
                    <w:tl2br w:val="nil"/>
                    <w:tr2bl w:val="nil"/>
                  </w:tcBorders>
                  <w:noWrap w:val="0"/>
                  <w:vAlign w:val="center"/>
                </w:tcPr>
                <w:p w14:paraId="1714A7A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default" w:ascii="Times New Roman" w:hAnsi="Times New Roman" w:cs="Times New Roman"/>
                      <w:color w:val="auto"/>
                      <w:spacing w:val="-1"/>
                      <w:sz w:val="21"/>
                      <w:szCs w:val="21"/>
                      <w:highlight w:val="none"/>
                      <w:lang w:val="en-US" w:eastAsia="zh-CN"/>
                    </w:rPr>
                    <w:t>混料</w:t>
                  </w:r>
                </w:p>
              </w:tc>
              <w:tc>
                <w:tcPr>
                  <w:tcW w:w="1237" w:type="pct"/>
                  <w:tcBorders>
                    <w:tl2br w:val="nil"/>
                    <w:tr2bl w:val="nil"/>
                  </w:tcBorders>
                  <w:noWrap w:val="0"/>
                  <w:vAlign w:val="center"/>
                </w:tcPr>
                <w:p w14:paraId="7D5EA7E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lang w:val="en-US" w:eastAsia="zh-CN"/>
                    </w:rPr>
                  </w:pPr>
                  <w:r>
                    <w:rPr>
                      <w:rFonts w:hint="default" w:ascii="Times New Roman" w:hAnsi="Times New Roman" w:cs="Times New Roman"/>
                      <w:color w:val="auto"/>
                      <w:spacing w:val="-1"/>
                      <w:sz w:val="21"/>
                      <w:szCs w:val="21"/>
                      <w:highlight w:val="none"/>
                      <w:lang w:val="en-US" w:eastAsia="zh-CN"/>
                    </w:rPr>
                    <w:t>颗粒物</w:t>
                  </w:r>
                </w:p>
              </w:tc>
              <w:tc>
                <w:tcPr>
                  <w:tcW w:w="600" w:type="pct"/>
                  <w:tcBorders>
                    <w:tl2br w:val="nil"/>
                    <w:tr2bl w:val="nil"/>
                  </w:tcBorders>
                  <w:noWrap w:val="0"/>
                  <w:vAlign w:val="center"/>
                </w:tcPr>
                <w:p w14:paraId="632464E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1"/>
                      <w:sz w:val="21"/>
                      <w:szCs w:val="21"/>
                      <w:highlight w:val="none"/>
                    </w:rPr>
                    <w:t>集气罩</w:t>
                  </w:r>
                </w:p>
              </w:tc>
              <w:tc>
                <w:tcPr>
                  <w:tcW w:w="1548" w:type="pct"/>
                  <w:vMerge w:val="restart"/>
                  <w:tcBorders>
                    <w:tl2br w:val="nil"/>
                    <w:tr2bl w:val="nil"/>
                  </w:tcBorders>
                  <w:noWrap w:val="0"/>
                  <w:vAlign w:val="center"/>
                </w:tcPr>
                <w:p w14:paraId="4519AD6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1"/>
                      <w:sz w:val="21"/>
                      <w:szCs w:val="21"/>
                      <w:highlight w:val="none"/>
                    </w:rPr>
                  </w:pPr>
                  <w:r>
                    <w:rPr>
                      <w:rFonts w:hint="default" w:ascii="Times New Roman" w:hAnsi="Times New Roman" w:cs="Times New Roman"/>
                      <w:color w:val="auto"/>
                      <w:sz w:val="21"/>
                      <w:szCs w:val="21"/>
                      <w:highlight w:val="none"/>
                      <w:lang w:val="en-US" w:eastAsia="zh-CN"/>
                    </w:rPr>
                    <w:t>TA002袋式除尘器</w:t>
                  </w:r>
                  <w:r>
                    <w:rPr>
                      <w:rFonts w:hint="default" w:ascii="Times New Roman" w:hAnsi="Times New Roman" w:eastAsia="Times New Roman" w:cs="Times New Roman"/>
                      <w:color w:val="auto"/>
                      <w:sz w:val="21"/>
                      <w:szCs w:val="21"/>
                      <w:highlight w:val="none"/>
                    </w:rPr>
                    <w:t>+15m</w:t>
                  </w:r>
                  <w:r>
                    <w:rPr>
                      <w:rFonts w:hint="default" w:ascii="Times New Roman" w:hAnsi="Times New Roman" w:eastAsia="宋体" w:cs="Times New Roman"/>
                      <w:color w:val="auto"/>
                      <w:sz w:val="21"/>
                      <w:szCs w:val="21"/>
                      <w:highlight w:val="none"/>
                    </w:rPr>
                    <w:t>排气筒</w:t>
                  </w:r>
                  <w:r>
                    <w:rPr>
                      <w:rFonts w:hint="default" w:ascii="Times New Roman" w:hAnsi="Times New Roman" w:eastAsia="Times New Roman" w:cs="Times New Roman"/>
                      <w:color w:val="auto"/>
                      <w:sz w:val="21"/>
                      <w:szCs w:val="21"/>
                      <w:highlight w:val="none"/>
                    </w:rPr>
                    <w:t>DA</w:t>
                  </w:r>
                  <w:r>
                    <w:rPr>
                      <w:rFonts w:hint="default" w:ascii="Times New Roman" w:hAnsi="Times New Roman" w:eastAsia="Times New Roman" w:cs="Times New Roman"/>
                      <w:color w:val="auto"/>
                      <w:spacing w:val="-1"/>
                      <w:sz w:val="21"/>
                      <w:szCs w:val="21"/>
                      <w:highlight w:val="none"/>
                    </w:rPr>
                    <w:t>0</w:t>
                  </w:r>
                  <w:r>
                    <w:rPr>
                      <w:rFonts w:hint="default" w:ascii="Times New Roman" w:hAnsi="Times New Roman" w:eastAsia="Times New Roman"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排放</w:t>
                  </w:r>
                </w:p>
              </w:tc>
            </w:tr>
            <w:tr w14:paraId="463F1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1FF08D6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422" w:type="pct"/>
                  <w:vMerge w:val="continue"/>
                  <w:tcBorders>
                    <w:tl2br w:val="nil"/>
                    <w:tr2bl w:val="nil"/>
                  </w:tcBorders>
                  <w:noWrap w:val="0"/>
                  <w:vAlign w:val="center"/>
                </w:tcPr>
                <w:p w14:paraId="409CD46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lang w:val="en-US" w:eastAsia="zh-CN"/>
                    </w:rPr>
                  </w:pPr>
                </w:p>
              </w:tc>
              <w:tc>
                <w:tcPr>
                  <w:tcW w:w="723" w:type="pct"/>
                  <w:tcBorders>
                    <w:tl2br w:val="nil"/>
                    <w:tr2bl w:val="nil"/>
                  </w:tcBorders>
                  <w:noWrap w:val="0"/>
                  <w:vAlign w:val="center"/>
                </w:tcPr>
                <w:p w14:paraId="43F60B0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default" w:ascii="Times New Roman" w:hAnsi="Times New Roman" w:cs="Times New Roman"/>
                      <w:color w:val="auto"/>
                      <w:spacing w:val="-1"/>
                      <w:sz w:val="21"/>
                      <w:szCs w:val="21"/>
                      <w:highlight w:val="none"/>
                      <w:lang w:val="en-US" w:eastAsia="zh-CN"/>
                    </w:rPr>
                    <w:t>气流磨</w:t>
                  </w:r>
                </w:p>
              </w:tc>
              <w:tc>
                <w:tcPr>
                  <w:tcW w:w="1237" w:type="pct"/>
                  <w:tcBorders>
                    <w:tl2br w:val="nil"/>
                    <w:tr2bl w:val="nil"/>
                  </w:tcBorders>
                  <w:noWrap w:val="0"/>
                  <w:vAlign w:val="center"/>
                </w:tcPr>
                <w:p w14:paraId="4A8099B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lang w:val="en-US" w:eastAsia="zh-CN"/>
                    </w:rPr>
                  </w:pPr>
                  <w:r>
                    <w:rPr>
                      <w:rFonts w:hint="default" w:ascii="Times New Roman" w:hAnsi="Times New Roman" w:cs="Times New Roman"/>
                      <w:color w:val="auto"/>
                      <w:spacing w:val="-1"/>
                      <w:sz w:val="21"/>
                      <w:szCs w:val="21"/>
                      <w:highlight w:val="none"/>
                      <w:lang w:val="en-US" w:eastAsia="zh-CN"/>
                    </w:rPr>
                    <w:t>颗粒物</w:t>
                  </w:r>
                </w:p>
              </w:tc>
              <w:tc>
                <w:tcPr>
                  <w:tcW w:w="600" w:type="pct"/>
                  <w:tcBorders>
                    <w:tl2br w:val="nil"/>
                    <w:tr2bl w:val="nil"/>
                  </w:tcBorders>
                  <w:noWrap w:val="0"/>
                  <w:vAlign w:val="center"/>
                </w:tcPr>
                <w:p w14:paraId="43F505A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密闭</w:t>
                  </w:r>
                </w:p>
              </w:tc>
              <w:tc>
                <w:tcPr>
                  <w:tcW w:w="1548" w:type="pct"/>
                  <w:vMerge w:val="continue"/>
                  <w:tcBorders>
                    <w:tl2br w:val="nil"/>
                    <w:tr2bl w:val="nil"/>
                  </w:tcBorders>
                  <w:noWrap w:val="0"/>
                  <w:vAlign w:val="center"/>
                </w:tcPr>
                <w:p w14:paraId="5839FAA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p>
              </w:tc>
            </w:tr>
            <w:tr w14:paraId="46AF55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1E09D89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422" w:type="pct"/>
                  <w:vMerge w:val="restart"/>
                  <w:tcBorders>
                    <w:tl2br w:val="nil"/>
                    <w:tr2bl w:val="nil"/>
                  </w:tcBorders>
                  <w:noWrap w:val="0"/>
                  <w:vAlign w:val="center"/>
                </w:tcPr>
                <w:p w14:paraId="38EF6EE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陶瓷喷墨墨水</w:t>
                  </w:r>
                </w:p>
              </w:tc>
              <w:tc>
                <w:tcPr>
                  <w:tcW w:w="723" w:type="pct"/>
                  <w:tcBorders>
                    <w:tl2br w:val="nil"/>
                    <w:tr2bl w:val="nil"/>
                  </w:tcBorders>
                  <w:noWrap w:val="0"/>
                  <w:vAlign w:val="center"/>
                </w:tcPr>
                <w:p w14:paraId="162302B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default" w:ascii="Times New Roman" w:hAnsi="Times New Roman" w:cs="Times New Roman"/>
                      <w:color w:val="auto"/>
                      <w:spacing w:val="-1"/>
                      <w:sz w:val="21"/>
                      <w:szCs w:val="21"/>
                      <w:highlight w:val="none"/>
                      <w:lang w:val="en-US" w:eastAsia="zh-CN"/>
                    </w:rPr>
                    <w:t>配料</w:t>
                  </w:r>
                </w:p>
              </w:tc>
              <w:tc>
                <w:tcPr>
                  <w:tcW w:w="1237" w:type="pct"/>
                  <w:tcBorders>
                    <w:tl2br w:val="nil"/>
                    <w:tr2bl w:val="nil"/>
                  </w:tcBorders>
                  <w:noWrap w:val="0"/>
                  <w:vAlign w:val="center"/>
                </w:tcPr>
                <w:p w14:paraId="6983327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lang w:val="en-US" w:eastAsia="zh-CN"/>
                    </w:rPr>
                  </w:pPr>
                  <w:r>
                    <w:rPr>
                      <w:rFonts w:hint="default" w:ascii="Times New Roman" w:hAnsi="Times New Roman" w:cs="Times New Roman"/>
                      <w:color w:val="auto"/>
                      <w:spacing w:val="-1"/>
                      <w:sz w:val="21"/>
                      <w:szCs w:val="21"/>
                      <w:highlight w:val="none"/>
                      <w:lang w:val="en-US" w:eastAsia="zh-CN"/>
                    </w:rPr>
                    <w:t>颗粒物</w:t>
                  </w:r>
                </w:p>
              </w:tc>
              <w:tc>
                <w:tcPr>
                  <w:tcW w:w="2148" w:type="pct"/>
                  <w:gridSpan w:val="2"/>
                  <w:vMerge w:val="restart"/>
                  <w:tcBorders>
                    <w:tl2br w:val="nil"/>
                    <w:tr2bl w:val="nil"/>
                  </w:tcBorders>
                  <w:noWrap w:val="0"/>
                  <w:vAlign w:val="center"/>
                </w:tcPr>
                <w:p w14:paraId="270771F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1"/>
                      <w:sz w:val="21"/>
                      <w:szCs w:val="21"/>
                    </w:rPr>
                    <w:t>集气罩收集</w:t>
                  </w:r>
                  <w:r>
                    <w:rPr>
                      <w:rFonts w:hint="default" w:ascii="Times New Roman" w:hAnsi="Times New Roman" w:eastAsia="Times New Roman" w:cs="Times New Roman"/>
                      <w:color w:val="auto"/>
                      <w:spacing w:val="-1"/>
                      <w:sz w:val="21"/>
                      <w:szCs w:val="21"/>
                    </w:rPr>
                    <w:t>+</w:t>
                  </w:r>
                  <w:r>
                    <w:rPr>
                      <w:rFonts w:hint="default" w:ascii="Times New Roman" w:hAnsi="Times New Roman" w:cs="Times New Roman"/>
                      <w:color w:val="auto"/>
                      <w:sz w:val="21"/>
                      <w:szCs w:val="21"/>
                      <w:lang w:val="en-US" w:eastAsia="zh-CN"/>
                    </w:rPr>
                    <w:t>TA003袋式除尘器</w:t>
                  </w:r>
                  <w:r>
                    <w:rPr>
                      <w:rFonts w:hint="default" w:ascii="Times New Roman" w:hAnsi="Times New Roman" w:eastAsia="Times New Roman" w:cs="Times New Roman"/>
                      <w:color w:val="auto"/>
                      <w:sz w:val="21"/>
                      <w:szCs w:val="21"/>
                    </w:rPr>
                    <w:t>+15m</w:t>
                  </w:r>
                  <w:r>
                    <w:rPr>
                      <w:rFonts w:hint="default" w:ascii="Times New Roman" w:hAnsi="Times New Roman" w:eastAsia="宋体" w:cs="Times New Roman"/>
                      <w:color w:val="auto"/>
                      <w:sz w:val="21"/>
                      <w:szCs w:val="21"/>
                    </w:rPr>
                    <w:t>排气筒</w:t>
                  </w:r>
                  <w:r>
                    <w:rPr>
                      <w:rFonts w:hint="default" w:ascii="Times New Roman" w:hAnsi="Times New Roman" w:eastAsia="Times New Roman" w:cs="Times New Roman"/>
                      <w:color w:val="auto"/>
                      <w:sz w:val="21"/>
                      <w:szCs w:val="21"/>
                    </w:rPr>
                    <w:t>DA</w:t>
                  </w:r>
                  <w:r>
                    <w:rPr>
                      <w:rFonts w:hint="default" w:ascii="Times New Roman" w:hAnsi="Times New Roman" w:eastAsia="Times New Roman" w:cs="Times New Roman"/>
                      <w:color w:val="auto"/>
                      <w:spacing w:val="-1"/>
                      <w:sz w:val="21"/>
                      <w:szCs w:val="21"/>
                    </w:rPr>
                    <w:t>0</w:t>
                  </w:r>
                  <w:r>
                    <w:rPr>
                      <w:rFonts w:hint="default" w:ascii="Times New Roman" w:hAnsi="Times New Roman" w:eastAsia="Times New Roman" w:cs="Times New Roman"/>
                      <w:color w:val="auto"/>
                      <w:sz w:val="21"/>
                      <w:szCs w:val="21"/>
                    </w:rPr>
                    <w:t>0</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排放</w:t>
                  </w:r>
                </w:p>
              </w:tc>
            </w:tr>
            <w:tr w14:paraId="56F559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120D040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422" w:type="pct"/>
                  <w:vMerge w:val="continue"/>
                  <w:tcBorders>
                    <w:tl2br w:val="nil"/>
                    <w:tr2bl w:val="nil"/>
                  </w:tcBorders>
                  <w:noWrap w:val="0"/>
                  <w:vAlign w:val="center"/>
                </w:tcPr>
                <w:p w14:paraId="700F5E9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p>
              </w:tc>
              <w:tc>
                <w:tcPr>
                  <w:tcW w:w="723" w:type="pct"/>
                  <w:tcBorders>
                    <w:tl2br w:val="nil"/>
                    <w:tr2bl w:val="nil"/>
                  </w:tcBorders>
                  <w:noWrap w:val="0"/>
                  <w:vAlign w:val="center"/>
                </w:tcPr>
                <w:p w14:paraId="3F5EE06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highlight w:val="none"/>
                      <w:lang w:val="en-US" w:eastAsia="zh-CN" w:bidi="ar-SA"/>
                    </w:rPr>
                  </w:pPr>
                  <w:r>
                    <w:rPr>
                      <w:rFonts w:hint="default" w:ascii="Times New Roman" w:hAnsi="Times New Roman" w:cs="Times New Roman"/>
                      <w:color w:val="auto"/>
                      <w:spacing w:val="-1"/>
                      <w:sz w:val="21"/>
                      <w:szCs w:val="21"/>
                      <w:highlight w:val="none"/>
                      <w:lang w:val="en-US" w:eastAsia="zh-CN"/>
                    </w:rPr>
                    <w:t>搅拌</w:t>
                  </w:r>
                </w:p>
              </w:tc>
              <w:tc>
                <w:tcPr>
                  <w:tcW w:w="1237" w:type="pct"/>
                  <w:tcBorders>
                    <w:tl2br w:val="nil"/>
                    <w:tr2bl w:val="nil"/>
                  </w:tcBorders>
                  <w:noWrap w:val="0"/>
                  <w:vAlign w:val="center"/>
                </w:tcPr>
                <w:p w14:paraId="2855DFB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highlight w:val="none"/>
                      <w:lang w:val="en-US" w:eastAsia="zh-CN"/>
                    </w:rPr>
                  </w:pPr>
                  <w:r>
                    <w:rPr>
                      <w:rFonts w:hint="default" w:ascii="Times New Roman" w:hAnsi="Times New Roman" w:cs="Times New Roman"/>
                      <w:color w:val="auto"/>
                      <w:spacing w:val="-1"/>
                      <w:sz w:val="21"/>
                      <w:szCs w:val="21"/>
                      <w:highlight w:val="none"/>
                      <w:lang w:val="en-US" w:eastAsia="zh-CN"/>
                    </w:rPr>
                    <w:t>颗粒物</w:t>
                  </w:r>
                </w:p>
              </w:tc>
              <w:tc>
                <w:tcPr>
                  <w:tcW w:w="2148" w:type="pct"/>
                  <w:gridSpan w:val="2"/>
                  <w:vMerge w:val="continue"/>
                  <w:tcBorders>
                    <w:tl2br w:val="nil"/>
                    <w:tr2bl w:val="nil"/>
                  </w:tcBorders>
                  <w:noWrap w:val="0"/>
                  <w:vAlign w:val="center"/>
                </w:tcPr>
                <w:p w14:paraId="2BF62C3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p>
              </w:tc>
            </w:tr>
            <w:tr w14:paraId="408DF7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71DA87F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422" w:type="pct"/>
                  <w:vMerge w:val="continue"/>
                  <w:tcBorders>
                    <w:tl2br w:val="nil"/>
                    <w:tr2bl w:val="nil"/>
                  </w:tcBorders>
                  <w:noWrap w:val="0"/>
                  <w:vAlign w:val="center"/>
                </w:tcPr>
                <w:p w14:paraId="5FC73B4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p>
              </w:tc>
              <w:tc>
                <w:tcPr>
                  <w:tcW w:w="723" w:type="pct"/>
                  <w:tcBorders>
                    <w:tl2br w:val="nil"/>
                    <w:tr2bl w:val="nil"/>
                  </w:tcBorders>
                  <w:noWrap w:val="0"/>
                  <w:vAlign w:val="center"/>
                </w:tcPr>
                <w:p w14:paraId="1189556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蒸发</w:t>
                  </w:r>
                </w:p>
              </w:tc>
              <w:tc>
                <w:tcPr>
                  <w:tcW w:w="1237" w:type="pct"/>
                  <w:tcBorders>
                    <w:tl2br w:val="nil"/>
                    <w:tr2bl w:val="nil"/>
                  </w:tcBorders>
                  <w:noWrap w:val="0"/>
                  <w:vAlign w:val="center"/>
                </w:tcPr>
                <w:p w14:paraId="56B2FC0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1"/>
                      <w:sz w:val="21"/>
                      <w:szCs w:val="21"/>
                      <w:lang w:val="en-US" w:eastAsia="zh-CN"/>
                    </w:rPr>
                  </w:pPr>
                  <w:r>
                    <w:rPr>
                      <w:rFonts w:hint="eastAsia" w:cs="Times New Roman"/>
                      <w:color w:val="auto"/>
                      <w:spacing w:val="-1"/>
                      <w:sz w:val="21"/>
                      <w:szCs w:val="21"/>
                      <w:lang w:val="en-US" w:eastAsia="zh-CN"/>
                    </w:rPr>
                    <w:t>VOCs</w:t>
                  </w:r>
                </w:p>
              </w:tc>
              <w:tc>
                <w:tcPr>
                  <w:tcW w:w="2148" w:type="pct"/>
                  <w:gridSpan w:val="2"/>
                  <w:tcBorders>
                    <w:tl2br w:val="nil"/>
                    <w:tr2bl w:val="nil"/>
                  </w:tcBorders>
                  <w:noWrap w:val="0"/>
                  <w:vAlign w:val="center"/>
                </w:tcPr>
                <w:p w14:paraId="05FFC71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1"/>
                      <w:sz w:val="21"/>
                      <w:szCs w:val="21"/>
                    </w:rPr>
                    <w:t>集气罩收集</w:t>
                  </w:r>
                  <w:r>
                    <w:rPr>
                      <w:rFonts w:hint="default" w:ascii="Times New Roman" w:hAnsi="Times New Roman" w:eastAsia="Times New Roman" w:cs="Times New Roman"/>
                      <w:color w:val="auto"/>
                      <w:spacing w:val="-1"/>
                      <w:sz w:val="21"/>
                      <w:szCs w:val="21"/>
                    </w:rPr>
                    <w:t>+</w:t>
                  </w:r>
                  <w:r>
                    <w:rPr>
                      <w:rFonts w:hint="eastAsia" w:cs="Times New Roman"/>
                      <w:color w:val="auto"/>
                      <w:sz w:val="21"/>
                      <w:szCs w:val="21"/>
                      <w:lang w:val="en-US" w:eastAsia="zh-CN"/>
                    </w:rPr>
                    <w:t>TA005</w:t>
                  </w:r>
                  <w:r>
                    <w:rPr>
                      <w:rFonts w:hint="default" w:ascii="Times New Roman" w:hAnsi="Times New Roman" w:cs="Times New Roman"/>
                      <w:color w:val="auto"/>
                      <w:sz w:val="21"/>
                      <w:szCs w:val="21"/>
                      <w:lang w:val="en-US" w:eastAsia="zh-CN"/>
                    </w:rPr>
                    <w:t>二级活性炭</w:t>
                  </w:r>
                  <w:r>
                    <w:rPr>
                      <w:rFonts w:hint="default" w:ascii="Times New Roman" w:hAnsi="Times New Roman" w:eastAsia="Times New Roman" w:cs="Times New Roman"/>
                      <w:color w:val="auto"/>
                      <w:sz w:val="21"/>
                      <w:szCs w:val="21"/>
                    </w:rPr>
                    <w:t>+15m</w:t>
                  </w:r>
                  <w:r>
                    <w:rPr>
                      <w:rFonts w:hint="default" w:ascii="Times New Roman" w:hAnsi="Times New Roman" w:eastAsia="宋体" w:cs="Times New Roman"/>
                      <w:color w:val="auto"/>
                      <w:sz w:val="21"/>
                      <w:szCs w:val="21"/>
                    </w:rPr>
                    <w:t>排气筒</w:t>
                  </w:r>
                  <w:r>
                    <w:rPr>
                      <w:rFonts w:hint="default" w:ascii="Times New Roman" w:hAnsi="Times New Roman" w:eastAsia="Times New Roman" w:cs="Times New Roman"/>
                      <w:color w:val="auto"/>
                      <w:sz w:val="21"/>
                      <w:szCs w:val="21"/>
                    </w:rPr>
                    <w:t>DA</w:t>
                  </w:r>
                  <w:r>
                    <w:rPr>
                      <w:rFonts w:hint="default" w:ascii="Times New Roman" w:hAnsi="Times New Roman" w:eastAsia="Times New Roman" w:cs="Times New Roman"/>
                      <w:color w:val="auto"/>
                      <w:spacing w:val="-1"/>
                      <w:sz w:val="21"/>
                      <w:szCs w:val="21"/>
                    </w:rPr>
                    <w:t>0</w:t>
                  </w:r>
                  <w:r>
                    <w:rPr>
                      <w:rFonts w:hint="default" w:ascii="Times New Roman" w:hAnsi="Times New Roman" w:eastAsia="Times New Roman" w:cs="Times New Roman"/>
                      <w:color w:val="auto"/>
                      <w:sz w:val="21"/>
                      <w:szCs w:val="21"/>
                    </w:rPr>
                    <w:t>0</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排放</w:t>
                  </w:r>
                </w:p>
              </w:tc>
            </w:tr>
            <w:tr w14:paraId="0B3DD8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tcBorders>
                    <w:tl2br w:val="nil"/>
                    <w:tr2bl w:val="nil"/>
                  </w:tcBorders>
                  <w:noWrap w:val="0"/>
                  <w:vAlign w:val="center"/>
                </w:tcPr>
                <w:p w14:paraId="3C057DC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废</w:t>
                  </w:r>
                  <w:r>
                    <w:rPr>
                      <w:rFonts w:hint="default" w:ascii="Times New Roman" w:hAnsi="Times New Roman" w:eastAsia="宋体" w:cs="Times New Roman"/>
                      <w:color w:val="auto"/>
                      <w:spacing w:val="-1"/>
                      <w:sz w:val="21"/>
                      <w:szCs w:val="21"/>
                    </w:rPr>
                    <w:t>水</w:t>
                  </w:r>
                </w:p>
              </w:tc>
              <w:tc>
                <w:tcPr>
                  <w:tcW w:w="1145" w:type="pct"/>
                  <w:gridSpan w:val="2"/>
                  <w:tcBorders>
                    <w:tl2br w:val="nil"/>
                    <w:tr2bl w:val="nil"/>
                  </w:tcBorders>
                  <w:noWrap w:val="0"/>
                  <w:vAlign w:val="center"/>
                </w:tcPr>
                <w:p w14:paraId="13B9847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w:t>
                  </w:r>
                </w:p>
              </w:tc>
              <w:tc>
                <w:tcPr>
                  <w:tcW w:w="1237" w:type="pct"/>
                  <w:tcBorders>
                    <w:tl2br w:val="nil"/>
                    <w:tr2bl w:val="nil"/>
                  </w:tcBorders>
                  <w:noWrap w:val="0"/>
                  <w:vAlign w:val="center"/>
                </w:tcPr>
                <w:p w14:paraId="2F22675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w:t>
                  </w:r>
                </w:p>
              </w:tc>
              <w:tc>
                <w:tcPr>
                  <w:tcW w:w="2148" w:type="pct"/>
                  <w:gridSpan w:val="2"/>
                  <w:tcBorders>
                    <w:tl2br w:val="nil"/>
                    <w:tr2bl w:val="nil"/>
                  </w:tcBorders>
                  <w:noWrap w:val="0"/>
                  <w:vAlign w:val="center"/>
                </w:tcPr>
                <w:p w14:paraId="4A702C2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0401B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tcBorders>
                    <w:tl2br w:val="nil"/>
                    <w:tr2bl w:val="nil"/>
                  </w:tcBorders>
                  <w:noWrap w:val="0"/>
                  <w:vAlign w:val="center"/>
                </w:tcPr>
                <w:p w14:paraId="1EFCE81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4"/>
                      <w:sz w:val="21"/>
                      <w:szCs w:val="21"/>
                    </w:rPr>
                    <w:t>噪声</w:t>
                  </w:r>
                </w:p>
              </w:tc>
              <w:tc>
                <w:tcPr>
                  <w:tcW w:w="1145" w:type="pct"/>
                  <w:gridSpan w:val="2"/>
                  <w:tcBorders>
                    <w:tl2br w:val="nil"/>
                    <w:tr2bl w:val="nil"/>
                  </w:tcBorders>
                  <w:noWrap w:val="0"/>
                  <w:vAlign w:val="center"/>
                </w:tcPr>
                <w:p w14:paraId="0F50F4E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rPr>
                    <w:t>生产设备</w:t>
                  </w:r>
                </w:p>
              </w:tc>
              <w:tc>
                <w:tcPr>
                  <w:tcW w:w="1237" w:type="pct"/>
                  <w:tcBorders>
                    <w:tl2br w:val="nil"/>
                    <w:tr2bl w:val="nil"/>
                  </w:tcBorders>
                  <w:noWrap w:val="0"/>
                  <w:vAlign w:val="center"/>
                </w:tcPr>
                <w:p w14:paraId="749685C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lang w:val="en-US" w:eastAsia="zh-CN"/>
                    </w:rPr>
                    <w:t>Leq</w:t>
                  </w:r>
                </w:p>
              </w:tc>
              <w:tc>
                <w:tcPr>
                  <w:tcW w:w="2148" w:type="pct"/>
                  <w:gridSpan w:val="2"/>
                  <w:tcBorders>
                    <w:tl2br w:val="nil"/>
                    <w:tr2bl w:val="nil"/>
                  </w:tcBorders>
                  <w:noWrap w:val="0"/>
                  <w:vAlign w:val="center"/>
                </w:tcPr>
                <w:p w14:paraId="7174C1C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采用低噪声设备，隔声、防震</w:t>
                  </w:r>
                </w:p>
              </w:tc>
            </w:tr>
            <w:tr w14:paraId="5F5769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restart"/>
                  <w:tcBorders>
                    <w:tl2br w:val="nil"/>
                    <w:tr2bl w:val="nil"/>
                  </w:tcBorders>
                  <w:noWrap w:val="0"/>
                  <w:vAlign w:val="center"/>
                </w:tcPr>
                <w:p w14:paraId="2D8EFC0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7"/>
                      <w:sz w:val="21"/>
                      <w:szCs w:val="21"/>
                    </w:rPr>
                    <w:t>固</w:t>
                  </w:r>
                  <w:r>
                    <w:rPr>
                      <w:rFonts w:hint="default" w:ascii="Times New Roman" w:hAnsi="Times New Roman" w:eastAsia="宋体" w:cs="Times New Roman"/>
                      <w:color w:val="auto"/>
                      <w:spacing w:val="-6"/>
                      <w:sz w:val="21"/>
                      <w:szCs w:val="21"/>
                    </w:rPr>
                    <w:t>废</w:t>
                  </w:r>
                </w:p>
              </w:tc>
              <w:tc>
                <w:tcPr>
                  <w:tcW w:w="1145" w:type="pct"/>
                  <w:gridSpan w:val="2"/>
                  <w:tcBorders>
                    <w:tl2br w:val="nil"/>
                    <w:tr2bl w:val="nil"/>
                  </w:tcBorders>
                  <w:noWrap w:val="0"/>
                  <w:vAlign w:val="center"/>
                </w:tcPr>
                <w:p w14:paraId="5A9D507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rPr>
                    <w:t>职工生活</w:t>
                  </w:r>
                </w:p>
              </w:tc>
              <w:tc>
                <w:tcPr>
                  <w:tcW w:w="1237" w:type="pct"/>
                  <w:tcBorders>
                    <w:tl2br w:val="nil"/>
                    <w:tr2bl w:val="nil"/>
                  </w:tcBorders>
                  <w:noWrap w:val="0"/>
                  <w:vAlign w:val="center"/>
                </w:tcPr>
                <w:p w14:paraId="4A2BF19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rPr>
                    <w:t>职工生活</w:t>
                  </w:r>
                </w:p>
              </w:tc>
              <w:tc>
                <w:tcPr>
                  <w:tcW w:w="2148" w:type="pct"/>
                  <w:gridSpan w:val="2"/>
                  <w:tcBorders>
                    <w:tl2br w:val="nil"/>
                    <w:tr2bl w:val="nil"/>
                  </w:tcBorders>
                  <w:noWrap w:val="0"/>
                  <w:vAlign w:val="center"/>
                </w:tcPr>
                <w:p w14:paraId="5195842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环卫部门定期清运</w:t>
                  </w:r>
                </w:p>
              </w:tc>
            </w:tr>
            <w:tr w14:paraId="77227A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0446070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1145" w:type="pct"/>
                  <w:gridSpan w:val="2"/>
                  <w:tcBorders>
                    <w:tl2br w:val="nil"/>
                    <w:tr2bl w:val="nil"/>
                  </w:tcBorders>
                  <w:noWrap w:val="0"/>
                  <w:vAlign w:val="center"/>
                </w:tcPr>
                <w:p w14:paraId="2D2F45D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rPr>
                    <w:t>布袋除尘器收集的粉尘</w:t>
                  </w:r>
                </w:p>
              </w:tc>
              <w:tc>
                <w:tcPr>
                  <w:tcW w:w="1237" w:type="pct"/>
                  <w:tcBorders>
                    <w:tl2br w:val="nil"/>
                    <w:tr2bl w:val="nil"/>
                  </w:tcBorders>
                  <w:noWrap w:val="0"/>
                  <w:vAlign w:val="center"/>
                </w:tcPr>
                <w:p w14:paraId="231414F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rPr>
                    <w:t>布袋除尘器收集的粉尘</w:t>
                  </w:r>
                </w:p>
              </w:tc>
              <w:tc>
                <w:tcPr>
                  <w:tcW w:w="2148" w:type="pct"/>
                  <w:gridSpan w:val="2"/>
                  <w:tcBorders>
                    <w:tl2br w:val="nil"/>
                    <w:tr2bl w:val="nil"/>
                  </w:tcBorders>
                  <w:noWrap w:val="0"/>
                  <w:vAlign w:val="center"/>
                </w:tcPr>
                <w:p w14:paraId="06044FC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作为原料回用于</w:t>
                  </w:r>
                  <w:r>
                    <w:rPr>
                      <w:rFonts w:hint="default" w:ascii="Times New Roman" w:hAnsi="Times New Roman" w:cs="Times New Roman"/>
                      <w:color w:val="auto"/>
                      <w:sz w:val="21"/>
                      <w:szCs w:val="21"/>
                      <w:highlight w:val="none"/>
                      <w:lang w:val="en-US" w:eastAsia="zh-CN"/>
                    </w:rPr>
                    <w:t>生产</w:t>
                  </w:r>
                  <w:r>
                    <w:rPr>
                      <w:rFonts w:hint="default" w:ascii="Times New Roman" w:hAnsi="Times New Roman" w:eastAsia="宋体" w:cs="Times New Roman"/>
                      <w:color w:val="auto"/>
                      <w:sz w:val="21"/>
                      <w:szCs w:val="21"/>
                      <w:highlight w:val="none"/>
                      <w:lang w:val="en-US" w:eastAsia="zh-CN"/>
                    </w:rPr>
                    <w:t>工序</w:t>
                  </w:r>
                </w:p>
              </w:tc>
            </w:tr>
            <w:tr w14:paraId="398476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02C042A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1145" w:type="pct"/>
                  <w:gridSpan w:val="2"/>
                  <w:tcBorders>
                    <w:tl2br w:val="nil"/>
                    <w:tr2bl w:val="nil"/>
                  </w:tcBorders>
                  <w:noWrap w:val="0"/>
                  <w:vAlign w:val="center"/>
                </w:tcPr>
                <w:p w14:paraId="3BE147D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废包装袋</w:t>
                  </w:r>
                </w:p>
              </w:tc>
              <w:tc>
                <w:tcPr>
                  <w:tcW w:w="1237" w:type="pct"/>
                  <w:tcBorders>
                    <w:tl2br w:val="nil"/>
                    <w:tr2bl w:val="nil"/>
                  </w:tcBorders>
                  <w:noWrap w:val="0"/>
                  <w:vAlign w:val="center"/>
                </w:tcPr>
                <w:p w14:paraId="3AA16A2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废包装袋</w:t>
                  </w:r>
                </w:p>
              </w:tc>
              <w:tc>
                <w:tcPr>
                  <w:tcW w:w="2148" w:type="pct"/>
                  <w:gridSpan w:val="2"/>
                  <w:tcBorders>
                    <w:tl2br w:val="nil"/>
                    <w:tr2bl w:val="nil"/>
                  </w:tcBorders>
                  <w:noWrap w:val="0"/>
                  <w:vAlign w:val="center"/>
                </w:tcPr>
                <w:p w14:paraId="13FD83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外售综合利用</w:t>
                  </w:r>
                </w:p>
              </w:tc>
            </w:tr>
            <w:tr w14:paraId="26DC5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7642EA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rPr>
                  </w:pPr>
                </w:p>
              </w:tc>
              <w:tc>
                <w:tcPr>
                  <w:tcW w:w="1145" w:type="pct"/>
                  <w:gridSpan w:val="2"/>
                  <w:tcBorders>
                    <w:tl2br w:val="nil"/>
                    <w:tr2bl w:val="nil"/>
                  </w:tcBorders>
                  <w:noWrap w:val="0"/>
                  <w:vAlign w:val="center"/>
                </w:tcPr>
                <w:p w14:paraId="3ED49D5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废包装桶</w:t>
                  </w:r>
                </w:p>
              </w:tc>
              <w:tc>
                <w:tcPr>
                  <w:tcW w:w="1237" w:type="pct"/>
                  <w:tcBorders>
                    <w:tl2br w:val="nil"/>
                    <w:tr2bl w:val="nil"/>
                  </w:tcBorders>
                  <w:noWrap w:val="0"/>
                  <w:vAlign w:val="center"/>
                </w:tcPr>
                <w:p w14:paraId="59DB34B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废包装桶</w:t>
                  </w:r>
                </w:p>
              </w:tc>
              <w:tc>
                <w:tcPr>
                  <w:tcW w:w="2148" w:type="pct"/>
                  <w:gridSpan w:val="2"/>
                  <w:tcBorders>
                    <w:tl2br w:val="nil"/>
                    <w:tr2bl w:val="nil"/>
                  </w:tcBorders>
                  <w:noWrap w:val="0"/>
                  <w:vAlign w:val="center"/>
                </w:tcPr>
                <w:p w14:paraId="16E98C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委托资质单位处理</w:t>
                  </w:r>
                </w:p>
              </w:tc>
            </w:tr>
            <w:tr w14:paraId="2D9D40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54918EA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1145" w:type="pct"/>
                  <w:gridSpan w:val="2"/>
                  <w:tcBorders>
                    <w:tl2br w:val="nil"/>
                    <w:tr2bl w:val="nil"/>
                  </w:tcBorders>
                  <w:noWrap w:val="0"/>
                  <w:vAlign w:val="center"/>
                </w:tcPr>
                <w:p w14:paraId="0DBDE47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lang w:eastAsia="zh-CN"/>
                    </w:rPr>
                    <w:t>废润滑油</w:t>
                  </w:r>
                </w:p>
              </w:tc>
              <w:tc>
                <w:tcPr>
                  <w:tcW w:w="1237" w:type="pct"/>
                  <w:tcBorders>
                    <w:tl2br w:val="nil"/>
                    <w:tr2bl w:val="nil"/>
                  </w:tcBorders>
                  <w:noWrap w:val="0"/>
                  <w:vAlign w:val="center"/>
                </w:tcPr>
                <w:p w14:paraId="6202A68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lang w:eastAsia="zh-CN"/>
                    </w:rPr>
                    <w:t>废润滑油</w:t>
                  </w:r>
                </w:p>
              </w:tc>
              <w:tc>
                <w:tcPr>
                  <w:tcW w:w="2148" w:type="pct"/>
                  <w:gridSpan w:val="2"/>
                  <w:tcBorders>
                    <w:tl2br w:val="nil"/>
                    <w:tr2bl w:val="nil"/>
                  </w:tcBorders>
                  <w:noWrap w:val="0"/>
                  <w:vAlign w:val="center"/>
                </w:tcPr>
                <w:p w14:paraId="490B1A4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委托资质单位处理</w:t>
                  </w:r>
                </w:p>
              </w:tc>
            </w:tr>
            <w:tr w14:paraId="1D6C77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39E1F6A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1145" w:type="pct"/>
                  <w:gridSpan w:val="2"/>
                  <w:tcBorders>
                    <w:tl2br w:val="nil"/>
                    <w:tr2bl w:val="nil"/>
                  </w:tcBorders>
                  <w:noWrap w:val="0"/>
                  <w:vAlign w:val="center"/>
                </w:tcPr>
                <w:p w14:paraId="012F242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rPr>
                    <w:t>废油桶</w:t>
                  </w:r>
                </w:p>
              </w:tc>
              <w:tc>
                <w:tcPr>
                  <w:tcW w:w="1237" w:type="pct"/>
                  <w:tcBorders>
                    <w:tl2br w:val="nil"/>
                    <w:tr2bl w:val="nil"/>
                  </w:tcBorders>
                  <w:noWrap w:val="0"/>
                  <w:vAlign w:val="center"/>
                </w:tcPr>
                <w:p w14:paraId="2CB536F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rPr>
                    <w:t>废油桶</w:t>
                  </w:r>
                </w:p>
              </w:tc>
              <w:tc>
                <w:tcPr>
                  <w:tcW w:w="2148" w:type="pct"/>
                  <w:gridSpan w:val="2"/>
                  <w:tcBorders>
                    <w:tl2br w:val="nil"/>
                    <w:tr2bl w:val="nil"/>
                  </w:tcBorders>
                  <w:noWrap w:val="0"/>
                  <w:vAlign w:val="center"/>
                </w:tcPr>
                <w:p w14:paraId="60D20B6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委托资质单位处理</w:t>
                  </w:r>
                </w:p>
              </w:tc>
            </w:tr>
            <w:tr w14:paraId="377FDB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28AD55D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1145" w:type="pct"/>
                  <w:gridSpan w:val="2"/>
                  <w:tcBorders>
                    <w:tl2br w:val="nil"/>
                    <w:tr2bl w:val="nil"/>
                  </w:tcBorders>
                  <w:noWrap w:val="0"/>
                  <w:vAlign w:val="center"/>
                </w:tcPr>
                <w:p w14:paraId="1A71DCA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过滤</w:t>
                  </w:r>
                </w:p>
              </w:tc>
              <w:tc>
                <w:tcPr>
                  <w:tcW w:w="1237" w:type="pct"/>
                  <w:tcBorders>
                    <w:tl2br w:val="nil"/>
                    <w:tr2bl w:val="nil"/>
                  </w:tcBorders>
                  <w:noWrap w:val="0"/>
                  <w:vAlign w:val="center"/>
                </w:tcPr>
                <w:p w14:paraId="60841A3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废滤芯</w:t>
                  </w:r>
                </w:p>
              </w:tc>
              <w:tc>
                <w:tcPr>
                  <w:tcW w:w="2148" w:type="pct"/>
                  <w:gridSpan w:val="2"/>
                  <w:tcBorders>
                    <w:tl2br w:val="nil"/>
                    <w:tr2bl w:val="nil"/>
                  </w:tcBorders>
                  <w:noWrap w:val="0"/>
                  <w:vAlign w:val="center"/>
                </w:tcPr>
                <w:p w14:paraId="775C99A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委托资质单位处理</w:t>
                  </w:r>
                </w:p>
              </w:tc>
            </w:tr>
            <w:tr w14:paraId="48F0C6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8" w:type="pct"/>
                  <w:vMerge w:val="continue"/>
                  <w:tcBorders>
                    <w:tl2br w:val="nil"/>
                    <w:tr2bl w:val="nil"/>
                  </w:tcBorders>
                  <w:noWrap w:val="0"/>
                  <w:vAlign w:val="center"/>
                </w:tcPr>
                <w:p w14:paraId="14B992A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eastAsia="zh-CN"/>
                    </w:rPr>
                  </w:pPr>
                </w:p>
              </w:tc>
              <w:tc>
                <w:tcPr>
                  <w:tcW w:w="1145" w:type="pct"/>
                  <w:gridSpan w:val="2"/>
                  <w:tcBorders>
                    <w:tl2br w:val="nil"/>
                    <w:tr2bl w:val="nil"/>
                  </w:tcBorders>
                  <w:noWrap w:val="0"/>
                  <w:vAlign w:val="center"/>
                </w:tcPr>
                <w:p w14:paraId="66DEA3F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废气治理</w:t>
                  </w:r>
                </w:p>
              </w:tc>
              <w:tc>
                <w:tcPr>
                  <w:tcW w:w="1237" w:type="pct"/>
                  <w:tcBorders>
                    <w:tl2br w:val="nil"/>
                    <w:tr2bl w:val="nil"/>
                  </w:tcBorders>
                  <w:noWrap w:val="0"/>
                  <w:vAlign w:val="center"/>
                </w:tcPr>
                <w:p w14:paraId="23FE119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废活性炭</w:t>
                  </w:r>
                </w:p>
              </w:tc>
              <w:tc>
                <w:tcPr>
                  <w:tcW w:w="2148" w:type="pct"/>
                  <w:gridSpan w:val="2"/>
                  <w:tcBorders>
                    <w:tl2br w:val="nil"/>
                    <w:tr2bl w:val="nil"/>
                  </w:tcBorders>
                  <w:noWrap w:val="0"/>
                  <w:vAlign w:val="center"/>
                </w:tcPr>
                <w:p w14:paraId="7DDCCBC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委托资质单位处理</w:t>
                  </w:r>
                </w:p>
              </w:tc>
            </w:tr>
          </w:tbl>
          <w:p w14:paraId="3C5BF623">
            <w:pPr>
              <w:keepNext w:val="0"/>
              <w:keepLines w:val="0"/>
              <w:pageBreakBefore w:val="0"/>
              <w:widowControl w:val="0"/>
              <w:shd w:val="clear"/>
              <w:kinsoku/>
              <w:wordWrap/>
              <w:overflowPunct/>
              <w:topLinePunct w:val="0"/>
              <w:autoSpaceDE/>
              <w:autoSpaceDN/>
              <w:bidi w:val="0"/>
              <w:adjustRightInd w:val="0"/>
              <w:snapToGrid w:val="0"/>
              <w:spacing w:line="480" w:lineRule="exact"/>
              <w:jc w:val="left"/>
              <w:textAlignment w:val="auto"/>
              <w:rPr>
                <w:rFonts w:hint="default" w:ascii="Times New Roman" w:hAnsi="Times New Roman" w:eastAsia="宋体" w:cs="Times New Roman"/>
                <w:bCs/>
                <w:color w:val="auto"/>
                <w:sz w:val="24"/>
                <w:szCs w:val="24"/>
                <w:highlight w:val="none"/>
                <w:lang w:val="en-US" w:eastAsia="zh-CN"/>
              </w:rPr>
            </w:pPr>
          </w:p>
        </w:tc>
      </w:tr>
      <w:tr w14:paraId="26D6FF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noWrap w:val="0"/>
            <w:vAlign w:val="center"/>
          </w:tcPr>
          <w:p w14:paraId="7BF5EE61">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bCs/>
                <w:color w:val="auto"/>
                <w:kern w:val="2"/>
                <w:sz w:val="24"/>
                <w:szCs w:val="24"/>
                <w:highlight w:val="none"/>
              </w:rPr>
              <w:t>与项目有关的原有环境污染问题</w:t>
            </w:r>
          </w:p>
        </w:tc>
        <w:tc>
          <w:tcPr>
            <w:tcW w:w="8091" w:type="dxa"/>
            <w:noWrap w:val="0"/>
            <w:vAlign w:val="top"/>
          </w:tcPr>
          <w:p w14:paraId="0AA3044C">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1.现有项目三同时情况</w:t>
            </w:r>
          </w:p>
          <w:p w14:paraId="6D9F69AB">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淄博锦明陶瓷材料有限公司现有项目为“年产500吨铝铁红项目”</w:t>
            </w:r>
            <w:r>
              <w:rPr>
                <w:rFonts w:hint="eastAsia" w:cs="Times New Roman"/>
                <w:bCs/>
                <w:color w:val="auto"/>
                <w:sz w:val="24"/>
                <w:szCs w:val="24"/>
                <w:highlight w:val="none"/>
                <w:lang w:val="en-US" w:eastAsia="zh-CN"/>
              </w:rPr>
              <w:t>、“新建废气治理设施SNCR脱硝装置项目”</w:t>
            </w:r>
            <w:r>
              <w:rPr>
                <w:rFonts w:hint="default" w:ascii="Times New Roman" w:hAnsi="Times New Roman" w:cs="Times New Roman"/>
                <w:bCs/>
                <w:color w:val="auto"/>
                <w:sz w:val="24"/>
                <w:szCs w:val="24"/>
                <w:highlight w:val="none"/>
                <w:lang w:val="en-US" w:eastAsia="zh-CN"/>
              </w:rPr>
              <w:t>。“年产500吨铝铁红项目”项目已于2014年3月建成投产，未履行环评手续，其违法行为已由原淄川环保分局以川环罚</w:t>
            </w:r>
            <w:r>
              <w:rPr>
                <w:rFonts w:hint="default" w:ascii="Times New Roman" w:hAnsi="Times New Roman" w:eastAsia="宋体" w:cs="Times New Roman"/>
                <w:bCs/>
                <w:color w:val="auto"/>
                <w:sz w:val="24"/>
                <w:szCs w:val="24"/>
                <w:highlight w:val="none"/>
                <w:lang w:val="en-US" w:eastAsia="zh-CN"/>
              </w:rPr>
              <w:t>字〔2015〕第</w:t>
            </w:r>
            <w:r>
              <w:rPr>
                <w:rFonts w:hint="default" w:ascii="Times New Roman" w:hAnsi="Times New Roman" w:cs="Times New Roman"/>
                <w:bCs/>
                <w:color w:val="auto"/>
                <w:sz w:val="24"/>
                <w:szCs w:val="24"/>
                <w:highlight w:val="none"/>
                <w:lang w:val="en-US" w:eastAsia="zh-CN"/>
              </w:rPr>
              <w:t>204</w:t>
            </w:r>
            <w:r>
              <w:rPr>
                <w:rFonts w:hint="default" w:ascii="Times New Roman" w:hAnsi="Times New Roman" w:eastAsia="宋体" w:cs="Times New Roman"/>
                <w:bCs/>
                <w:color w:val="auto"/>
                <w:sz w:val="24"/>
                <w:szCs w:val="24"/>
                <w:highlight w:val="none"/>
                <w:lang w:val="en-US" w:eastAsia="zh-CN"/>
              </w:rPr>
              <w:t>号文实施处罚。</w:t>
            </w:r>
            <w:r>
              <w:rPr>
                <w:rFonts w:hint="default" w:ascii="Times New Roman" w:hAnsi="Times New Roman" w:cs="Times New Roman"/>
                <w:bCs/>
                <w:color w:val="auto"/>
                <w:sz w:val="24"/>
                <w:szCs w:val="24"/>
                <w:highlight w:val="none"/>
                <w:lang w:val="en-US" w:eastAsia="zh-CN"/>
              </w:rPr>
              <w:t>按照山东省环保厅《关于认真做好全省清理整顿环保违规建设项目专项行动的通知》（鲁环函</w:t>
            </w:r>
            <w:r>
              <w:rPr>
                <w:rFonts w:hint="default" w:ascii="Times New Roman" w:hAnsi="Times New Roman" w:eastAsia="宋体" w:cs="Times New Roman"/>
                <w:bCs/>
                <w:color w:val="auto"/>
                <w:sz w:val="24"/>
                <w:szCs w:val="24"/>
                <w:highlight w:val="none"/>
                <w:lang w:val="en-US" w:eastAsia="zh-CN"/>
              </w:rPr>
              <w:t>〔201</w:t>
            </w:r>
            <w:r>
              <w:rPr>
                <w:rFonts w:hint="default" w:ascii="Times New Roman" w:hAnsi="Times New Roman"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cs="Times New Roman"/>
                <w:bCs/>
                <w:color w:val="auto"/>
                <w:sz w:val="24"/>
                <w:szCs w:val="24"/>
                <w:highlight w:val="none"/>
                <w:lang w:val="en-US" w:eastAsia="zh-CN"/>
              </w:rPr>
              <w:t>759</w:t>
            </w:r>
            <w:r>
              <w:rPr>
                <w:rFonts w:hint="default" w:ascii="Times New Roman" w:hAnsi="Times New Roman" w:eastAsia="宋体" w:cs="Times New Roman"/>
                <w:bCs/>
                <w:color w:val="auto"/>
                <w:sz w:val="24"/>
                <w:szCs w:val="24"/>
                <w:highlight w:val="none"/>
                <w:lang w:val="en-US" w:eastAsia="zh-CN"/>
              </w:rPr>
              <w:t>号</w:t>
            </w:r>
            <w:r>
              <w:rPr>
                <w:rFonts w:hint="default" w:ascii="Times New Roman" w:hAnsi="Times New Roman" w:cs="Times New Roman"/>
                <w:bCs/>
                <w:color w:val="auto"/>
                <w:sz w:val="24"/>
                <w:szCs w:val="24"/>
                <w:highlight w:val="none"/>
                <w:lang w:val="en-US" w:eastAsia="zh-CN"/>
              </w:rPr>
              <w:t>）要求，组织编制建设项目环境影响报告表（现状评价）。于2016年10月27日，</w:t>
            </w:r>
            <w:r>
              <w:rPr>
                <w:rFonts w:hint="default" w:ascii="Times New Roman" w:hAnsi="Times New Roman" w:eastAsia="宋体" w:cs="Times New Roman"/>
                <w:bCs/>
                <w:color w:val="auto"/>
                <w:sz w:val="24"/>
                <w:szCs w:val="24"/>
                <w:highlight w:val="none"/>
                <w:lang w:val="en-US" w:eastAsia="zh-CN"/>
              </w:rPr>
              <w:t>由原淄博市环境保护局淄川分局以《淄博市环境保护局淄川分局关于</w:t>
            </w:r>
            <w:r>
              <w:rPr>
                <w:rFonts w:hint="default" w:ascii="Times New Roman" w:hAnsi="Times New Roman" w:cs="Times New Roman"/>
                <w:bCs/>
                <w:color w:val="auto"/>
                <w:sz w:val="24"/>
                <w:szCs w:val="24"/>
                <w:highlight w:val="none"/>
                <w:lang w:val="en-US" w:eastAsia="zh-CN"/>
              </w:rPr>
              <w:t>淄博锦明陶瓷材料有限公司年产500吨铝铁红项目</w:t>
            </w:r>
            <w:r>
              <w:rPr>
                <w:rFonts w:hint="default" w:ascii="Times New Roman" w:hAnsi="Times New Roman" w:eastAsia="宋体" w:cs="Times New Roman"/>
                <w:bCs/>
                <w:color w:val="auto"/>
                <w:sz w:val="24"/>
                <w:szCs w:val="24"/>
                <w:highlight w:val="none"/>
                <w:lang w:val="en-US" w:eastAsia="zh-CN"/>
              </w:rPr>
              <w:t>备案意见》（</w:t>
            </w:r>
            <w:r>
              <w:rPr>
                <w:rFonts w:hint="default" w:ascii="Times New Roman" w:hAnsi="Times New Roman" w:cs="Times New Roman"/>
                <w:bCs/>
                <w:color w:val="auto"/>
                <w:sz w:val="24"/>
                <w:szCs w:val="24"/>
                <w:highlight w:val="none"/>
                <w:lang w:val="en-US" w:eastAsia="zh-CN"/>
              </w:rPr>
              <w:t>川环许可〔2016〕82号</w:t>
            </w:r>
            <w:r>
              <w:rPr>
                <w:rFonts w:hint="default" w:ascii="Times New Roman" w:hAnsi="Times New Roman" w:eastAsia="宋体" w:cs="Times New Roman"/>
                <w:bCs/>
                <w:color w:val="auto"/>
                <w:sz w:val="24"/>
                <w:szCs w:val="24"/>
                <w:highlight w:val="none"/>
                <w:lang w:val="en-US" w:eastAsia="zh-CN"/>
              </w:rPr>
              <w:t>）出具了备案意见。</w:t>
            </w:r>
            <w:r>
              <w:rPr>
                <w:rFonts w:hint="eastAsia" w:cs="Times New Roman"/>
                <w:bCs/>
                <w:color w:val="auto"/>
                <w:sz w:val="24"/>
                <w:szCs w:val="24"/>
                <w:highlight w:val="none"/>
                <w:lang w:val="en-US" w:eastAsia="zh-CN"/>
              </w:rPr>
              <w:t>“新建废气治理设施SNCR脱硝装置项目”于2026年1月27日申报建设项目环境影响登记表，备案编号：202637030200000134。</w:t>
            </w:r>
            <w:r>
              <w:rPr>
                <w:rFonts w:hint="default" w:ascii="Times New Roman" w:hAnsi="Times New Roman" w:cs="Times New Roman"/>
                <w:color w:val="auto"/>
                <w:sz w:val="24"/>
                <w:szCs w:val="24"/>
                <w:highlight w:val="none"/>
                <w:lang w:val="en-US" w:eastAsia="zh-CN"/>
              </w:rPr>
              <w:t>现有项目</w:t>
            </w:r>
            <w:r>
              <w:rPr>
                <w:rFonts w:hint="default" w:ascii="Times New Roman" w:hAnsi="Times New Roman" w:cs="Times New Roman"/>
                <w:color w:val="auto"/>
                <w:sz w:val="24"/>
                <w:szCs w:val="24"/>
                <w:highlight w:val="none"/>
                <w:lang w:eastAsia="zh-CN"/>
              </w:rPr>
              <w:t>环境保护“三同时”执行具体情况详见下表。</w:t>
            </w:r>
          </w:p>
          <w:p w14:paraId="06632F10">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表2-7  企业现有项目环境保护“三同时”执行情况一览表</w:t>
            </w:r>
          </w:p>
          <w:tbl>
            <w:tblPr>
              <w:tblStyle w:val="25"/>
              <w:tblW w:w="4996"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980"/>
              <w:gridCol w:w="1703"/>
              <w:gridCol w:w="917"/>
              <w:gridCol w:w="863"/>
              <w:gridCol w:w="1024"/>
            </w:tblGrid>
            <w:tr w14:paraId="1D5413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1" w:type="pct"/>
                  <w:tcBorders>
                    <w:tl2br w:val="nil"/>
                    <w:tr2bl w:val="nil"/>
                  </w:tcBorders>
                  <w:noWrap w:val="0"/>
                  <w:vAlign w:val="center"/>
                </w:tcPr>
                <w:p w14:paraId="39F556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项目名称</w:t>
                  </w:r>
                </w:p>
              </w:tc>
              <w:tc>
                <w:tcPr>
                  <w:tcW w:w="941" w:type="pct"/>
                  <w:tcBorders>
                    <w:tl2br w:val="nil"/>
                    <w:tr2bl w:val="nil"/>
                  </w:tcBorders>
                  <w:noWrap w:val="0"/>
                  <w:vAlign w:val="center"/>
                </w:tcPr>
                <w:p w14:paraId="079F2E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环评批复</w:t>
                  </w:r>
                </w:p>
              </w:tc>
              <w:tc>
                <w:tcPr>
                  <w:tcW w:w="1145" w:type="pct"/>
                  <w:tcBorders>
                    <w:tl2br w:val="nil"/>
                    <w:tr2bl w:val="nil"/>
                  </w:tcBorders>
                  <w:noWrap w:val="0"/>
                  <w:vAlign w:val="center"/>
                </w:tcPr>
                <w:p w14:paraId="627816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建设内容</w:t>
                  </w:r>
                </w:p>
              </w:tc>
              <w:tc>
                <w:tcPr>
                  <w:tcW w:w="646" w:type="pct"/>
                  <w:tcBorders>
                    <w:tl2br w:val="nil"/>
                    <w:tr2bl w:val="nil"/>
                  </w:tcBorders>
                  <w:noWrap w:val="0"/>
                  <w:vAlign w:val="center"/>
                </w:tcPr>
                <w:p w14:paraId="2FAEA2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验收</w:t>
                  </w:r>
                </w:p>
                <w:p w14:paraId="217DAC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文号</w:t>
                  </w:r>
                </w:p>
              </w:tc>
              <w:tc>
                <w:tcPr>
                  <w:tcW w:w="611" w:type="pct"/>
                  <w:tcBorders>
                    <w:tl2br w:val="nil"/>
                    <w:tr2bl w:val="nil"/>
                  </w:tcBorders>
                  <w:noWrap w:val="0"/>
                  <w:vAlign w:val="center"/>
                </w:tcPr>
                <w:p w14:paraId="0D357D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验收</w:t>
                  </w:r>
                </w:p>
                <w:p w14:paraId="10E339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时间</w:t>
                  </w:r>
                </w:p>
              </w:tc>
              <w:tc>
                <w:tcPr>
                  <w:tcW w:w="713" w:type="pct"/>
                  <w:tcBorders>
                    <w:tl2br w:val="nil"/>
                    <w:tr2bl w:val="nil"/>
                  </w:tcBorders>
                  <w:noWrap w:val="0"/>
                  <w:vAlign w:val="center"/>
                </w:tcPr>
                <w:p w14:paraId="00F851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生产情况</w:t>
                  </w:r>
                </w:p>
              </w:tc>
            </w:tr>
            <w:tr w14:paraId="5C980F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1" w:type="pct"/>
                  <w:tcBorders>
                    <w:tl2br w:val="nil"/>
                    <w:tr2bl w:val="nil"/>
                  </w:tcBorders>
                  <w:noWrap w:val="0"/>
                  <w:vAlign w:val="center"/>
                </w:tcPr>
                <w:p w14:paraId="1E2FB5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10"/>
                      <w:sz w:val="21"/>
                      <w:szCs w:val="21"/>
                      <w:lang w:val="en-US" w:eastAsia="zh-CN"/>
                    </w:rPr>
                    <w:t>年产500吨铝铁红</w:t>
                  </w:r>
                </w:p>
              </w:tc>
              <w:tc>
                <w:tcPr>
                  <w:tcW w:w="941" w:type="pct"/>
                  <w:tcBorders>
                    <w:tl2br w:val="nil"/>
                    <w:tr2bl w:val="nil"/>
                  </w:tcBorders>
                  <w:noWrap w:val="0"/>
                  <w:vAlign w:val="center"/>
                </w:tcPr>
                <w:p w14:paraId="41C7A3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7"/>
                      <w:sz w:val="21"/>
                      <w:szCs w:val="21"/>
                    </w:rPr>
                    <w:t>川环许可〔2016〕82号</w:t>
                  </w:r>
                </w:p>
              </w:tc>
              <w:tc>
                <w:tcPr>
                  <w:tcW w:w="1145" w:type="pct"/>
                  <w:tcBorders>
                    <w:tl2br w:val="nil"/>
                    <w:tr2bl w:val="nil"/>
                  </w:tcBorders>
                  <w:noWrap w:val="0"/>
                  <w:vAlign w:val="center"/>
                </w:tcPr>
                <w:p w14:paraId="561187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5"/>
                      <w:sz w:val="21"/>
                      <w:szCs w:val="21"/>
                      <w:lang w:val="en-US" w:eastAsia="zh-CN"/>
                    </w:rPr>
                    <w:t>年产铝铁红500吨</w:t>
                  </w:r>
                </w:p>
              </w:tc>
              <w:tc>
                <w:tcPr>
                  <w:tcW w:w="646" w:type="pct"/>
                  <w:tcBorders>
                    <w:tl2br w:val="nil"/>
                    <w:tr2bl w:val="nil"/>
                  </w:tcBorders>
                  <w:noWrap w:val="0"/>
                  <w:vAlign w:val="center"/>
                </w:tcPr>
                <w:p w14:paraId="604A0B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611" w:type="pct"/>
                  <w:tcBorders>
                    <w:tl2br w:val="nil"/>
                    <w:tr2bl w:val="nil"/>
                  </w:tcBorders>
                  <w:noWrap w:val="0"/>
                  <w:vAlign w:val="center"/>
                </w:tcPr>
                <w:p w14:paraId="0064BD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713" w:type="pct"/>
                  <w:tcBorders>
                    <w:tl2br w:val="nil"/>
                    <w:tr2bl w:val="nil"/>
                  </w:tcBorders>
                  <w:noWrap w:val="0"/>
                  <w:vAlign w:val="center"/>
                </w:tcPr>
                <w:p w14:paraId="4A3ECD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正常运营</w:t>
                  </w:r>
                </w:p>
              </w:tc>
            </w:tr>
            <w:tr w14:paraId="714C44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1" w:type="pct"/>
                  <w:tcBorders>
                    <w:tl2br w:val="nil"/>
                    <w:tr2bl w:val="nil"/>
                  </w:tcBorders>
                  <w:noWrap w:val="0"/>
                  <w:vAlign w:val="center"/>
                </w:tcPr>
                <w:p w14:paraId="4DDC00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10"/>
                      <w:sz w:val="21"/>
                      <w:szCs w:val="21"/>
                      <w:lang w:val="en-US" w:eastAsia="zh-CN"/>
                    </w:rPr>
                  </w:pPr>
                  <w:r>
                    <w:rPr>
                      <w:rFonts w:hint="eastAsia" w:cs="Times New Roman"/>
                      <w:color w:val="auto"/>
                      <w:spacing w:val="-10"/>
                      <w:sz w:val="21"/>
                      <w:szCs w:val="21"/>
                      <w:lang w:val="en-US" w:eastAsia="zh-CN"/>
                    </w:rPr>
                    <w:t>新建废气治理设施SNCR脱硝装置项目</w:t>
                  </w:r>
                </w:p>
              </w:tc>
              <w:tc>
                <w:tcPr>
                  <w:tcW w:w="941" w:type="pct"/>
                  <w:tcBorders>
                    <w:tl2br w:val="nil"/>
                    <w:tr2bl w:val="nil"/>
                  </w:tcBorders>
                  <w:noWrap w:val="0"/>
                  <w:vAlign w:val="center"/>
                </w:tcPr>
                <w:p w14:paraId="016745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7"/>
                      <w:sz w:val="21"/>
                      <w:szCs w:val="21"/>
                      <w:lang w:val="en-US" w:eastAsia="zh-CN"/>
                    </w:rPr>
                  </w:pPr>
                  <w:r>
                    <w:rPr>
                      <w:rFonts w:hint="eastAsia" w:cs="Times New Roman"/>
                      <w:color w:val="auto"/>
                      <w:spacing w:val="-7"/>
                      <w:sz w:val="21"/>
                      <w:szCs w:val="21"/>
                      <w:lang w:val="en-US" w:eastAsia="zh-CN"/>
                    </w:rPr>
                    <w:t>备案号：202637030200000134</w:t>
                  </w:r>
                </w:p>
              </w:tc>
              <w:tc>
                <w:tcPr>
                  <w:tcW w:w="1145" w:type="pct"/>
                  <w:tcBorders>
                    <w:tl2br w:val="nil"/>
                    <w:tr2bl w:val="nil"/>
                  </w:tcBorders>
                  <w:noWrap w:val="0"/>
                  <w:vAlign w:val="center"/>
                </w:tcPr>
                <w:p w14:paraId="3FBC76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5"/>
                      <w:sz w:val="21"/>
                      <w:szCs w:val="21"/>
                      <w:lang w:val="en-US" w:eastAsia="zh-CN"/>
                    </w:rPr>
                  </w:pPr>
                  <w:r>
                    <w:rPr>
                      <w:rFonts w:hint="eastAsia" w:cs="Times New Roman"/>
                      <w:color w:val="auto"/>
                      <w:spacing w:val="-10"/>
                      <w:sz w:val="21"/>
                      <w:szCs w:val="21"/>
                      <w:lang w:val="en-US" w:eastAsia="zh-CN"/>
                    </w:rPr>
                    <w:t>SNCR脱硝装置项目</w:t>
                  </w:r>
                </w:p>
              </w:tc>
              <w:tc>
                <w:tcPr>
                  <w:tcW w:w="646" w:type="pct"/>
                  <w:tcBorders>
                    <w:tl2br w:val="nil"/>
                    <w:tr2bl w:val="nil"/>
                  </w:tcBorders>
                  <w:noWrap w:val="0"/>
                  <w:vAlign w:val="center"/>
                </w:tcPr>
                <w:p w14:paraId="576BB6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611" w:type="pct"/>
                  <w:tcBorders>
                    <w:tl2br w:val="nil"/>
                    <w:tr2bl w:val="nil"/>
                  </w:tcBorders>
                  <w:noWrap w:val="0"/>
                  <w:vAlign w:val="center"/>
                </w:tcPr>
                <w:p w14:paraId="4C87D8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713" w:type="pct"/>
                  <w:tcBorders>
                    <w:tl2br w:val="nil"/>
                    <w:tr2bl w:val="nil"/>
                  </w:tcBorders>
                  <w:noWrap w:val="0"/>
                  <w:vAlign w:val="center"/>
                </w:tcPr>
                <w:p w14:paraId="4EFF9A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正常运营</w:t>
                  </w:r>
                </w:p>
              </w:tc>
            </w:tr>
          </w:tbl>
          <w:p w14:paraId="23031C16">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2、现有工程排污许可情况</w:t>
            </w:r>
          </w:p>
          <w:p w14:paraId="2E1CD7DE">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根据《固定污染源排污许可分类管理名录》（2019年版），</w:t>
            </w:r>
            <w:r>
              <w:rPr>
                <w:rFonts w:hint="eastAsia" w:cs="Times New Roman"/>
                <w:color w:val="auto"/>
                <w:sz w:val="24"/>
                <w:szCs w:val="24"/>
                <w:highlight w:val="none"/>
                <w:lang w:val="en-US" w:eastAsia="zh-CN"/>
              </w:rPr>
              <w:t>现有</w:t>
            </w:r>
            <w:r>
              <w:rPr>
                <w:rFonts w:hint="default" w:ascii="Times New Roman" w:hAnsi="Times New Roman" w:cs="Times New Roman"/>
                <w:color w:val="auto"/>
                <w:sz w:val="24"/>
                <w:szCs w:val="24"/>
                <w:highlight w:val="none"/>
                <w:lang w:eastAsia="zh-CN"/>
              </w:rPr>
              <w:t>项目</w:t>
            </w:r>
            <w:r>
              <w:rPr>
                <w:rFonts w:hint="eastAsia" w:cs="Times New Roman"/>
                <w:color w:val="auto"/>
                <w:sz w:val="24"/>
                <w:szCs w:val="24"/>
                <w:highlight w:val="none"/>
                <w:lang w:val="en-US" w:eastAsia="zh-CN"/>
              </w:rPr>
              <w:t>国民经济行业代码为</w:t>
            </w:r>
            <w:r>
              <w:rPr>
                <w:rFonts w:hint="eastAsia" w:ascii="宋体" w:hAnsi="宋体"/>
                <w:color w:val="auto"/>
                <w:sz w:val="24"/>
              </w:rPr>
              <w:t>C2643</w:t>
            </w:r>
            <w:r>
              <w:rPr>
                <w:rFonts w:hint="eastAsia" w:ascii="宋体" w:hAnsi="宋体"/>
                <w:color w:val="auto"/>
                <w:sz w:val="24"/>
                <w:lang w:val="en-US" w:eastAsia="zh-CN"/>
              </w:rPr>
              <w:t>工业颜料制造，</w:t>
            </w:r>
            <w:r>
              <w:rPr>
                <w:rFonts w:hint="default" w:ascii="Times New Roman" w:hAnsi="Times New Roman" w:cs="Times New Roman"/>
                <w:color w:val="auto"/>
                <w:sz w:val="24"/>
                <w:szCs w:val="24"/>
                <w:highlight w:val="none"/>
                <w:lang w:eastAsia="zh-CN"/>
              </w:rPr>
              <w:t>属于“二十一、化学原料和化学制品制造业 26”中“48、涂料、油墨、颜料及类似产品制造 264”中“</w:t>
            </w:r>
            <w:r>
              <w:rPr>
                <w:rFonts w:hint="default" w:ascii="Times New Roman" w:hAnsi="Times New Roman" w:cs="Times New Roman"/>
                <w:color w:val="auto"/>
                <w:sz w:val="24"/>
                <w:szCs w:val="24"/>
                <w:highlight w:val="none"/>
                <w:lang w:val="en-US" w:eastAsia="zh-CN"/>
              </w:rPr>
              <w:t>其他</w:t>
            </w:r>
            <w:r>
              <w:rPr>
                <w:rFonts w:hint="default" w:ascii="Times New Roman" w:hAnsi="Times New Roman" w:cs="Times New Roman"/>
                <w:color w:val="auto"/>
                <w:sz w:val="24"/>
                <w:szCs w:val="24"/>
                <w:highlight w:val="none"/>
                <w:lang w:eastAsia="zh-CN"/>
              </w:rPr>
              <w:t>”，故实行排污许可</w:t>
            </w:r>
            <w:r>
              <w:rPr>
                <w:rFonts w:hint="default" w:ascii="Times New Roman" w:hAnsi="Times New Roman" w:cs="Times New Roman"/>
                <w:color w:val="auto"/>
                <w:sz w:val="24"/>
                <w:szCs w:val="24"/>
                <w:highlight w:val="none"/>
                <w:lang w:val="en-US" w:eastAsia="zh-CN"/>
              </w:rPr>
              <w:t>登记</w:t>
            </w:r>
            <w:r>
              <w:rPr>
                <w:rFonts w:hint="default" w:ascii="Times New Roman" w:hAnsi="Times New Roman" w:cs="Times New Roman"/>
                <w:color w:val="auto"/>
                <w:sz w:val="24"/>
                <w:szCs w:val="24"/>
                <w:highlight w:val="none"/>
                <w:lang w:eastAsia="zh-CN"/>
              </w:rPr>
              <w:t>管理。淄博锦明陶瓷材料有限公司现有工程</w:t>
            </w:r>
            <w:r>
              <w:rPr>
                <w:rFonts w:hint="default" w:ascii="Times New Roman" w:hAnsi="Times New Roman" w:cs="Times New Roman"/>
                <w:color w:val="auto"/>
                <w:sz w:val="24"/>
                <w:szCs w:val="24"/>
                <w:highlight w:val="none"/>
                <w:lang w:val="en-US" w:eastAsia="zh-CN"/>
              </w:rPr>
              <w:t>已</w:t>
            </w:r>
            <w:r>
              <w:rPr>
                <w:rFonts w:hint="default" w:ascii="Times New Roman" w:hAnsi="Times New Roman" w:cs="Times New Roman"/>
                <w:color w:val="auto"/>
                <w:sz w:val="24"/>
                <w:szCs w:val="24"/>
                <w:highlight w:val="none"/>
              </w:rPr>
              <w:t>于202</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12</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val="en-US" w:eastAsia="zh-CN"/>
              </w:rPr>
              <w:t>21</w:t>
            </w:r>
            <w:r>
              <w:rPr>
                <w:rFonts w:hint="default" w:ascii="Times New Roman" w:hAnsi="Times New Roman" w:cs="Times New Roman"/>
                <w:color w:val="auto"/>
                <w:sz w:val="24"/>
                <w:szCs w:val="24"/>
                <w:highlight w:val="none"/>
              </w:rPr>
              <w:t>日</w:t>
            </w:r>
            <w:r>
              <w:rPr>
                <w:rFonts w:hint="default" w:ascii="Times New Roman" w:hAnsi="Times New Roman" w:cs="Times New Roman"/>
                <w:color w:val="auto"/>
                <w:sz w:val="24"/>
                <w:szCs w:val="24"/>
                <w:highlight w:val="none"/>
                <w:lang w:val="en-US" w:eastAsia="zh-CN"/>
              </w:rPr>
              <w:t>取得排污许可登记回执</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登记</w:t>
            </w:r>
            <w:r>
              <w:rPr>
                <w:rFonts w:hint="default" w:ascii="Times New Roman" w:hAnsi="Times New Roman" w:cs="Times New Roman"/>
                <w:color w:val="auto"/>
                <w:sz w:val="24"/>
                <w:szCs w:val="24"/>
                <w:highlight w:val="none"/>
              </w:rPr>
              <w:t>编号：</w:t>
            </w:r>
            <w:r>
              <w:rPr>
                <w:rFonts w:hint="default" w:ascii="Times New Roman" w:hAnsi="Times New Roman" w:cs="Times New Roman"/>
                <w:color w:val="auto"/>
                <w:sz w:val="24"/>
                <w:szCs w:val="24"/>
                <w:highlight w:val="none"/>
                <w:lang w:eastAsia="zh-CN"/>
              </w:rPr>
              <w:t>91370302570475542K001Y</w:t>
            </w:r>
            <w:r>
              <w:rPr>
                <w:rFonts w:hint="default" w:ascii="Times New Roman" w:hAnsi="Times New Roman" w:cs="Times New Roman"/>
                <w:color w:val="auto"/>
                <w:sz w:val="24"/>
                <w:szCs w:val="24"/>
                <w:highlight w:val="none"/>
              </w:rPr>
              <w:t>，有效期为</w:t>
            </w:r>
            <w:r>
              <w:rPr>
                <w:rFonts w:hint="default" w:ascii="Times New Roman" w:hAnsi="Times New Roman" w:cs="Times New Roman"/>
                <w:color w:val="auto"/>
                <w:sz w:val="24"/>
                <w:szCs w:val="24"/>
                <w:highlight w:val="none"/>
                <w:lang w:eastAsia="zh-CN"/>
              </w:rPr>
              <w:t>2021年12月21日至2026年12月20日</w:t>
            </w:r>
            <w:r>
              <w:rPr>
                <w:rFonts w:hint="default" w:ascii="Times New Roman" w:hAnsi="Times New Roman" w:cs="Times New Roman"/>
                <w:color w:val="auto"/>
                <w:sz w:val="24"/>
                <w:szCs w:val="24"/>
                <w:highlight w:val="none"/>
              </w:rPr>
              <w:t>止</w:t>
            </w:r>
            <w:r>
              <w:rPr>
                <w:rFonts w:hint="default" w:ascii="Times New Roman" w:hAnsi="Times New Roman" w:cs="Times New Roman"/>
                <w:color w:val="auto"/>
                <w:sz w:val="24"/>
                <w:szCs w:val="24"/>
                <w:highlight w:val="none"/>
                <w:lang w:eastAsia="zh-CN"/>
              </w:rPr>
              <w:t>。</w:t>
            </w:r>
          </w:p>
          <w:p w14:paraId="18440F67">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3、现有工程污染物产排情况</w:t>
            </w:r>
          </w:p>
          <w:p w14:paraId="13161F56">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现有工程污染物产生环节及治理情况见下表。</w:t>
            </w:r>
          </w:p>
          <w:p w14:paraId="33A03CA1">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表2-8  主要污染物产生情况一览表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2"/>
              <w:gridCol w:w="1966"/>
              <w:gridCol w:w="2276"/>
              <w:gridCol w:w="1343"/>
              <w:gridCol w:w="1655"/>
            </w:tblGrid>
            <w:tr w14:paraId="063D77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tcBorders>
                    <w:tl2br w:val="nil"/>
                    <w:tr2bl w:val="nil"/>
                  </w:tcBorders>
                  <w:noWrap w:val="0"/>
                  <w:vAlign w:val="center"/>
                </w:tcPr>
                <w:p w14:paraId="28F8B7F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类别</w:t>
                  </w:r>
                </w:p>
              </w:tc>
              <w:tc>
                <w:tcPr>
                  <w:tcW w:w="1248" w:type="pct"/>
                  <w:tcBorders>
                    <w:tl2br w:val="nil"/>
                    <w:tr2bl w:val="nil"/>
                  </w:tcBorders>
                  <w:noWrap w:val="0"/>
                  <w:vAlign w:val="center"/>
                </w:tcPr>
                <w:p w14:paraId="7378C82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污染源</w:t>
                  </w:r>
                </w:p>
              </w:tc>
              <w:tc>
                <w:tcPr>
                  <w:tcW w:w="1445" w:type="pct"/>
                  <w:tcBorders>
                    <w:tl2br w:val="nil"/>
                    <w:tr2bl w:val="nil"/>
                  </w:tcBorders>
                  <w:noWrap w:val="0"/>
                  <w:vAlign w:val="center"/>
                </w:tcPr>
                <w:p w14:paraId="0B46B64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污染物</w:t>
                  </w:r>
                </w:p>
              </w:tc>
              <w:tc>
                <w:tcPr>
                  <w:tcW w:w="853" w:type="pct"/>
                  <w:tcBorders>
                    <w:tl2br w:val="nil"/>
                    <w:tr2bl w:val="nil"/>
                  </w:tcBorders>
                  <w:noWrap w:val="0"/>
                  <w:vAlign w:val="center"/>
                </w:tcPr>
                <w:p w14:paraId="6704369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治理设施</w:t>
                  </w:r>
                </w:p>
              </w:tc>
              <w:tc>
                <w:tcPr>
                  <w:tcW w:w="1051" w:type="pct"/>
                  <w:tcBorders>
                    <w:tl2br w:val="nil"/>
                    <w:tr2bl w:val="nil"/>
                  </w:tcBorders>
                  <w:noWrap w:val="0"/>
                  <w:vAlign w:val="center"/>
                </w:tcPr>
                <w:p w14:paraId="1841003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排放去向</w:t>
                  </w:r>
                </w:p>
              </w:tc>
            </w:tr>
            <w:tr w14:paraId="735C15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401" w:type="pct"/>
                  <w:vMerge w:val="restart"/>
                  <w:tcBorders>
                    <w:tl2br w:val="nil"/>
                    <w:tr2bl w:val="nil"/>
                  </w:tcBorders>
                  <w:noWrap w:val="0"/>
                  <w:vAlign w:val="center"/>
                </w:tcPr>
                <w:p w14:paraId="64A1246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废气</w:t>
                  </w:r>
                </w:p>
              </w:tc>
              <w:tc>
                <w:tcPr>
                  <w:tcW w:w="1248" w:type="pct"/>
                  <w:tcBorders>
                    <w:tl2br w:val="nil"/>
                    <w:tr2bl w:val="nil"/>
                  </w:tcBorders>
                  <w:noWrap w:val="0"/>
                  <w:vAlign w:val="center"/>
                </w:tcPr>
                <w:p w14:paraId="2AD8841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cs="Times New Roman"/>
                      <w:b w:val="0"/>
                      <w:bCs w:val="0"/>
                      <w:i w:val="0"/>
                      <w:caps w:val="0"/>
                      <w:color w:val="auto"/>
                      <w:spacing w:val="0"/>
                      <w:sz w:val="21"/>
                      <w:szCs w:val="21"/>
                      <w:highlight w:val="none"/>
                      <w:shd w:val="clear" w:color="auto" w:fill="FFFFFF"/>
                      <w:vertAlign w:val="baseline"/>
                      <w:lang w:val="en-US" w:eastAsia="zh-CN"/>
                    </w:rPr>
                    <w:t>配料、球磨、微粉过筛</w:t>
                  </w:r>
                </w:p>
              </w:tc>
              <w:tc>
                <w:tcPr>
                  <w:tcW w:w="1445" w:type="pct"/>
                  <w:tcBorders>
                    <w:tl2br w:val="nil"/>
                    <w:tr2bl w:val="nil"/>
                  </w:tcBorders>
                  <w:noWrap w:val="0"/>
                  <w:vAlign w:val="center"/>
                </w:tcPr>
                <w:p w14:paraId="1FFEB255">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cs="Times New Roman"/>
                      <w:b w:val="0"/>
                      <w:bCs w:val="0"/>
                      <w:i w:val="0"/>
                      <w:caps w:val="0"/>
                      <w:color w:val="auto"/>
                      <w:spacing w:val="0"/>
                      <w:sz w:val="21"/>
                      <w:szCs w:val="21"/>
                      <w:highlight w:val="none"/>
                      <w:shd w:val="clear" w:color="auto" w:fill="FFFFFF"/>
                      <w:vertAlign w:val="baseline"/>
                      <w:lang w:val="en-US" w:eastAsia="zh-CN"/>
                    </w:rPr>
                    <w:t>颗粒物</w:t>
                  </w:r>
                </w:p>
              </w:tc>
              <w:tc>
                <w:tcPr>
                  <w:tcW w:w="853" w:type="pct"/>
                  <w:tcBorders>
                    <w:tl2br w:val="nil"/>
                    <w:tr2bl w:val="nil"/>
                  </w:tcBorders>
                  <w:noWrap w:val="0"/>
                  <w:vAlign w:val="center"/>
                </w:tcPr>
                <w:p w14:paraId="7FA1667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cs="Times New Roman"/>
                      <w:color w:val="auto"/>
                      <w:sz w:val="21"/>
                      <w:szCs w:val="21"/>
                      <w:highlight w:val="none"/>
                      <w:lang w:eastAsia="zh-CN"/>
                    </w:rPr>
                    <w:t>TA001袋式除尘器</w:t>
                  </w:r>
                </w:p>
              </w:tc>
              <w:tc>
                <w:tcPr>
                  <w:tcW w:w="1051" w:type="pct"/>
                  <w:tcBorders>
                    <w:tl2br w:val="nil"/>
                    <w:tr2bl w:val="nil"/>
                  </w:tcBorders>
                  <w:noWrap w:val="0"/>
                  <w:vAlign w:val="center"/>
                </w:tcPr>
                <w:p w14:paraId="0D17223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Times New Roman" w:cs="Times New Roman"/>
                      <w:color w:val="auto"/>
                      <w:sz w:val="21"/>
                      <w:szCs w:val="21"/>
                      <w:highlight w:val="none"/>
                    </w:rPr>
                    <w:t>15m</w:t>
                  </w:r>
                  <w:r>
                    <w:rPr>
                      <w:rFonts w:hint="default" w:ascii="Times New Roman" w:hAnsi="Times New Roman" w:eastAsia="宋体" w:cs="Times New Roman"/>
                      <w:color w:val="auto"/>
                      <w:sz w:val="21"/>
                      <w:szCs w:val="21"/>
                      <w:highlight w:val="none"/>
                    </w:rPr>
                    <w:t>排气筒</w:t>
                  </w:r>
                  <w:r>
                    <w:rPr>
                      <w:rFonts w:hint="default" w:ascii="Times New Roman" w:hAnsi="Times New Roman" w:eastAsia="Times New Roman" w:cs="Times New Roman"/>
                      <w:color w:val="auto"/>
                      <w:sz w:val="21"/>
                      <w:szCs w:val="21"/>
                      <w:highlight w:val="none"/>
                    </w:rPr>
                    <w:t>DA</w:t>
                  </w:r>
                  <w:r>
                    <w:rPr>
                      <w:rFonts w:hint="default" w:ascii="Times New Roman" w:hAnsi="Times New Roman" w:eastAsia="Times New Roman" w:cs="Times New Roman"/>
                      <w:color w:val="auto"/>
                      <w:spacing w:val="-1"/>
                      <w:sz w:val="21"/>
                      <w:szCs w:val="21"/>
                      <w:highlight w:val="none"/>
                    </w:rPr>
                    <w:t>0</w:t>
                  </w:r>
                  <w:r>
                    <w:rPr>
                      <w:rFonts w:hint="default" w:ascii="Times New Roman" w:hAnsi="Times New Roman" w:eastAsia="Times New Roman" w:cs="Times New Roman"/>
                      <w:color w:val="auto"/>
                      <w:sz w:val="21"/>
                      <w:szCs w:val="21"/>
                      <w:highlight w:val="none"/>
                    </w:rPr>
                    <w:t>01</w:t>
                  </w:r>
                  <w:r>
                    <w:rPr>
                      <w:rFonts w:hint="default" w:ascii="Times New Roman" w:hAnsi="Times New Roman" w:eastAsia="宋体" w:cs="Times New Roman"/>
                      <w:color w:val="auto"/>
                      <w:sz w:val="21"/>
                      <w:szCs w:val="21"/>
                      <w:highlight w:val="none"/>
                    </w:rPr>
                    <w:t>排放</w:t>
                  </w:r>
                </w:p>
              </w:tc>
            </w:tr>
            <w:tr w14:paraId="2D6BC6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1" w:type="pct"/>
                  <w:vMerge w:val="continue"/>
                  <w:tcBorders>
                    <w:tl2br w:val="nil"/>
                    <w:tr2bl w:val="nil"/>
                  </w:tcBorders>
                  <w:noWrap w:val="0"/>
                  <w:vAlign w:val="center"/>
                </w:tcPr>
                <w:p w14:paraId="7554C45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p>
              </w:tc>
              <w:tc>
                <w:tcPr>
                  <w:tcW w:w="1248" w:type="pct"/>
                  <w:tcBorders>
                    <w:tl2br w:val="nil"/>
                    <w:tr2bl w:val="nil"/>
                  </w:tcBorders>
                  <w:noWrap w:val="0"/>
                  <w:vAlign w:val="center"/>
                </w:tcPr>
                <w:p w14:paraId="14F5CFE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cs="Times New Roman"/>
                      <w:b w:val="0"/>
                      <w:bCs w:val="0"/>
                      <w:i w:val="0"/>
                      <w:caps w:val="0"/>
                      <w:color w:val="auto"/>
                      <w:spacing w:val="0"/>
                      <w:sz w:val="21"/>
                      <w:szCs w:val="21"/>
                      <w:highlight w:val="none"/>
                      <w:shd w:val="clear" w:color="auto" w:fill="FFFFFF"/>
                      <w:vertAlign w:val="baseline"/>
                      <w:lang w:val="en-US" w:eastAsia="zh-CN"/>
                    </w:rPr>
                    <w:t>烘干</w:t>
                  </w:r>
                </w:p>
              </w:tc>
              <w:tc>
                <w:tcPr>
                  <w:tcW w:w="1445" w:type="pct"/>
                  <w:tcBorders>
                    <w:tl2br w:val="nil"/>
                    <w:tr2bl w:val="nil"/>
                  </w:tcBorders>
                  <w:noWrap w:val="0"/>
                  <w:vAlign w:val="center"/>
                </w:tcPr>
                <w:p w14:paraId="7B86108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color w:val="auto"/>
                      <w:spacing w:val="-1"/>
                      <w:sz w:val="21"/>
                      <w:szCs w:val="21"/>
                      <w:highlight w:val="none"/>
                    </w:rPr>
                    <w:t>二氧化硫、氮氧化物、颗粒物</w:t>
                  </w:r>
                  <w:r>
                    <w:rPr>
                      <w:rFonts w:hint="eastAsia" w:cs="Times New Roman"/>
                      <w:color w:val="auto"/>
                      <w:spacing w:val="-1"/>
                      <w:sz w:val="21"/>
                      <w:szCs w:val="21"/>
                      <w:highlight w:val="none"/>
                      <w:lang w:eastAsia="zh-CN"/>
                    </w:rPr>
                    <w:t>、</w:t>
                  </w:r>
                  <w:r>
                    <w:rPr>
                      <w:rFonts w:hint="eastAsia" w:cs="Times New Roman"/>
                      <w:color w:val="auto"/>
                      <w:spacing w:val="-1"/>
                      <w:sz w:val="21"/>
                      <w:szCs w:val="21"/>
                      <w:highlight w:val="none"/>
                      <w:lang w:val="en-US" w:eastAsia="zh-CN"/>
                    </w:rPr>
                    <w:t>氨</w:t>
                  </w:r>
                </w:p>
              </w:tc>
              <w:tc>
                <w:tcPr>
                  <w:tcW w:w="853" w:type="pct"/>
                  <w:tcBorders>
                    <w:tl2br w:val="nil"/>
                    <w:tr2bl w:val="nil"/>
                  </w:tcBorders>
                  <w:noWrap w:val="0"/>
                  <w:vAlign w:val="center"/>
                </w:tcPr>
                <w:p w14:paraId="32FA2EE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TA004SNCR脱硝装置</w:t>
                  </w:r>
                </w:p>
              </w:tc>
              <w:tc>
                <w:tcPr>
                  <w:tcW w:w="1051" w:type="pct"/>
                  <w:tcBorders>
                    <w:tl2br w:val="nil"/>
                    <w:tr2bl w:val="nil"/>
                  </w:tcBorders>
                  <w:noWrap w:val="0"/>
                  <w:vAlign w:val="center"/>
                </w:tcPr>
                <w:p w14:paraId="5323926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15m</w:t>
                  </w:r>
                  <w:r>
                    <w:rPr>
                      <w:rFonts w:hint="default" w:ascii="Times New Roman" w:hAnsi="Times New Roman" w:eastAsia="宋体" w:cs="Times New Roman"/>
                      <w:color w:val="auto"/>
                      <w:sz w:val="21"/>
                      <w:szCs w:val="21"/>
                      <w:highlight w:val="none"/>
                    </w:rPr>
                    <w:t>排气筒</w:t>
                  </w:r>
                  <w:r>
                    <w:rPr>
                      <w:rFonts w:hint="default" w:ascii="Times New Roman" w:hAnsi="Times New Roman" w:eastAsia="Times New Roman" w:cs="Times New Roman"/>
                      <w:color w:val="auto"/>
                      <w:sz w:val="21"/>
                      <w:szCs w:val="21"/>
                      <w:highlight w:val="none"/>
                    </w:rPr>
                    <w:t>DA</w:t>
                  </w:r>
                  <w:r>
                    <w:rPr>
                      <w:rFonts w:hint="default" w:ascii="Times New Roman" w:hAnsi="Times New Roman" w:eastAsia="Times New Roman" w:cs="Times New Roman"/>
                      <w:color w:val="auto"/>
                      <w:spacing w:val="-1"/>
                      <w:sz w:val="21"/>
                      <w:szCs w:val="21"/>
                      <w:highlight w:val="none"/>
                    </w:rPr>
                    <w:t>0</w:t>
                  </w:r>
                  <w:r>
                    <w:rPr>
                      <w:rFonts w:hint="default" w:ascii="Times New Roman" w:hAnsi="Times New Roman" w:eastAsia="Times New Roman"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排放</w:t>
                  </w:r>
                </w:p>
              </w:tc>
            </w:tr>
            <w:tr w14:paraId="08758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401" w:type="pct"/>
                  <w:vMerge w:val="restart"/>
                  <w:tcBorders>
                    <w:tl2br w:val="nil"/>
                    <w:tr2bl w:val="nil"/>
                  </w:tcBorders>
                  <w:noWrap w:val="0"/>
                  <w:vAlign w:val="center"/>
                </w:tcPr>
                <w:p w14:paraId="164ED5A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固废</w:t>
                  </w:r>
                </w:p>
              </w:tc>
              <w:tc>
                <w:tcPr>
                  <w:tcW w:w="1248" w:type="pct"/>
                  <w:tcBorders>
                    <w:tl2br w:val="nil"/>
                    <w:tr2bl w:val="nil"/>
                  </w:tcBorders>
                  <w:noWrap w:val="0"/>
                  <w:vAlign w:val="center"/>
                </w:tcPr>
                <w:p w14:paraId="08064DF8">
                  <w:pPr>
                    <w:spacing w:line="400" w:lineRule="exact"/>
                    <w:jc w:val="center"/>
                    <w:rPr>
                      <w:rFonts w:hint="default" w:ascii="Times New Roman" w:hAnsi="Times New Roman" w:eastAsia="宋体" w:cs="Times New Roman"/>
                      <w:color w:val="auto"/>
                      <w:kern w:val="2"/>
                      <w:sz w:val="22"/>
                      <w:szCs w:val="24"/>
                      <w:highlight w:val="none"/>
                      <w:lang w:val="en-US" w:eastAsia="zh-CN" w:bidi="ar-SA"/>
                    </w:rPr>
                  </w:pPr>
                  <w:r>
                    <w:rPr>
                      <w:rFonts w:hint="default" w:ascii="Times New Roman" w:hAnsi="Times New Roman" w:cs="Times New Roman"/>
                      <w:color w:val="auto"/>
                      <w:sz w:val="22"/>
                      <w:highlight w:val="none"/>
                    </w:rPr>
                    <w:t>职工生活</w:t>
                  </w:r>
                </w:p>
              </w:tc>
              <w:tc>
                <w:tcPr>
                  <w:tcW w:w="1445" w:type="pct"/>
                  <w:tcBorders>
                    <w:tl2br w:val="nil"/>
                    <w:tr2bl w:val="nil"/>
                  </w:tcBorders>
                  <w:noWrap w:val="0"/>
                  <w:vAlign w:val="center"/>
                </w:tcPr>
                <w:p w14:paraId="58142048">
                  <w:pPr>
                    <w:spacing w:line="400" w:lineRule="exact"/>
                    <w:jc w:val="center"/>
                    <w:rPr>
                      <w:rFonts w:hint="default" w:ascii="Times New Roman" w:hAnsi="Times New Roman" w:eastAsia="宋体" w:cs="Times New Roman"/>
                      <w:color w:val="auto"/>
                      <w:kern w:val="2"/>
                      <w:sz w:val="22"/>
                      <w:szCs w:val="24"/>
                      <w:highlight w:val="none"/>
                      <w:lang w:val="en-US" w:eastAsia="zh-CN" w:bidi="ar-SA"/>
                    </w:rPr>
                  </w:pPr>
                  <w:r>
                    <w:rPr>
                      <w:rFonts w:hint="default" w:ascii="Times New Roman" w:hAnsi="Times New Roman" w:cs="Times New Roman"/>
                      <w:color w:val="auto"/>
                      <w:sz w:val="22"/>
                      <w:highlight w:val="none"/>
                    </w:rPr>
                    <w:t>生活垃圾</w:t>
                  </w:r>
                </w:p>
              </w:tc>
              <w:tc>
                <w:tcPr>
                  <w:tcW w:w="853" w:type="pct"/>
                  <w:tcBorders>
                    <w:tl2br w:val="nil"/>
                    <w:tr2bl w:val="nil"/>
                  </w:tcBorders>
                  <w:noWrap w:val="0"/>
                  <w:vAlign w:val="center"/>
                </w:tcPr>
                <w:p w14:paraId="1758364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w:t>
                  </w:r>
                </w:p>
              </w:tc>
              <w:tc>
                <w:tcPr>
                  <w:tcW w:w="1051" w:type="pct"/>
                  <w:tcBorders>
                    <w:tl2br w:val="nil"/>
                    <w:tr2bl w:val="nil"/>
                  </w:tcBorders>
                  <w:noWrap w:val="0"/>
                  <w:vAlign w:val="center"/>
                </w:tcPr>
                <w:p w14:paraId="1EC3FF5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环卫部门清运</w:t>
                  </w:r>
                </w:p>
              </w:tc>
            </w:tr>
            <w:tr w14:paraId="3BFC2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401" w:type="pct"/>
                  <w:vMerge w:val="continue"/>
                  <w:tcBorders>
                    <w:tl2br w:val="nil"/>
                    <w:tr2bl w:val="nil"/>
                  </w:tcBorders>
                  <w:noWrap w:val="0"/>
                  <w:vAlign w:val="center"/>
                </w:tcPr>
                <w:p w14:paraId="662B8D4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p>
              </w:tc>
              <w:tc>
                <w:tcPr>
                  <w:tcW w:w="1248" w:type="pct"/>
                  <w:tcBorders>
                    <w:tl2br w:val="nil"/>
                    <w:tr2bl w:val="nil"/>
                  </w:tcBorders>
                  <w:noWrap w:val="0"/>
                  <w:vAlign w:val="center"/>
                </w:tcPr>
                <w:p w14:paraId="0C56BB42">
                  <w:pPr>
                    <w:spacing w:line="400" w:lineRule="exact"/>
                    <w:ind w:firstLine="110" w:firstLineChars="50"/>
                    <w:jc w:val="center"/>
                    <w:rPr>
                      <w:rFonts w:hint="default" w:ascii="Times New Roman" w:hAnsi="Times New Roman" w:eastAsia="宋体" w:cs="Times New Roman"/>
                      <w:color w:val="auto"/>
                      <w:kern w:val="2"/>
                      <w:sz w:val="22"/>
                      <w:szCs w:val="24"/>
                      <w:highlight w:val="none"/>
                      <w:lang w:val="en-US" w:eastAsia="zh-CN" w:bidi="ar-SA"/>
                    </w:rPr>
                  </w:pPr>
                  <w:r>
                    <w:rPr>
                      <w:rFonts w:hint="default" w:ascii="Times New Roman" w:hAnsi="Times New Roman" w:cs="Times New Roman"/>
                      <w:color w:val="auto"/>
                      <w:sz w:val="22"/>
                      <w:highlight w:val="none"/>
                    </w:rPr>
                    <w:t>生产过程</w:t>
                  </w:r>
                </w:p>
              </w:tc>
              <w:tc>
                <w:tcPr>
                  <w:tcW w:w="1445" w:type="pct"/>
                  <w:tcBorders>
                    <w:tl2br w:val="nil"/>
                    <w:tr2bl w:val="nil"/>
                  </w:tcBorders>
                  <w:noWrap w:val="0"/>
                  <w:vAlign w:val="center"/>
                </w:tcPr>
                <w:p w14:paraId="43D2C821">
                  <w:pPr>
                    <w:spacing w:line="400" w:lineRule="exact"/>
                    <w:jc w:val="center"/>
                    <w:rPr>
                      <w:rFonts w:hint="default" w:ascii="Times New Roman" w:hAnsi="Times New Roman" w:eastAsia="宋体" w:cs="Times New Roman"/>
                      <w:color w:val="auto"/>
                      <w:kern w:val="2"/>
                      <w:sz w:val="22"/>
                      <w:szCs w:val="24"/>
                      <w:highlight w:val="none"/>
                      <w:lang w:val="en-US" w:eastAsia="zh-CN" w:bidi="ar-SA"/>
                    </w:rPr>
                  </w:pPr>
                  <w:r>
                    <w:rPr>
                      <w:rFonts w:hint="default" w:ascii="Times New Roman" w:hAnsi="Times New Roman" w:cs="Times New Roman"/>
                      <w:color w:val="auto"/>
                      <w:sz w:val="22"/>
                      <w:highlight w:val="none"/>
                    </w:rPr>
                    <w:t>收集粉尘</w:t>
                  </w:r>
                </w:p>
              </w:tc>
              <w:tc>
                <w:tcPr>
                  <w:tcW w:w="853" w:type="pct"/>
                  <w:tcBorders>
                    <w:tl2br w:val="nil"/>
                    <w:tr2bl w:val="nil"/>
                  </w:tcBorders>
                  <w:noWrap w:val="0"/>
                  <w:vAlign w:val="center"/>
                </w:tcPr>
                <w:p w14:paraId="2CA6446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w:t>
                  </w:r>
                </w:p>
              </w:tc>
              <w:tc>
                <w:tcPr>
                  <w:tcW w:w="1051" w:type="pct"/>
                  <w:tcBorders>
                    <w:tl2br w:val="nil"/>
                    <w:tr2bl w:val="nil"/>
                  </w:tcBorders>
                  <w:noWrap w:val="0"/>
                  <w:vAlign w:val="center"/>
                </w:tcPr>
                <w:p w14:paraId="14C6CEB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cs="Times New Roman"/>
                      <w:b w:val="0"/>
                      <w:bCs w:val="0"/>
                      <w:i w:val="0"/>
                      <w:caps w:val="0"/>
                      <w:color w:val="auto"/>
                      <w:spacing w:val="0"/>
                      <w:sz w:val="21"/>
                      <w:szCs w:val="21"/>
                      <w:highlight w:val="none"/>
                      <w:shd w:val="clear" w:color="auto" w:fill="FFFFFF"/>
                      <w:vertAlign w:val="baseline"/>
                      <w:lang w:val="en-US" w:eastAsia="zh-CN"/>
                    </w:rPr>
                    <w:t>回用于生产</w:t>
                  </w:r>
                </w:p>
              </w:tc>
            </w:tr>
            <w:tr w14:paraId="7DC83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401" w:type="pct"/>
                  <w:vMerge w:val="continue"/>
                  <w:tcBorders>
                    <w:tl2br w:val="nil"/>
                    <w:tr2bl w:val="nil"/>
                  </w:tcBorders>
                  <w:noWrap w:val="0"/>
                  <w:vAlign w:val="center"/>
                </w:tcPr>
                <w:p w14:paraId="274019B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p>
              </w:tc>
              <w:tc>
                <w:tcPr>
                  <w:tcW w:w="1248" w:type="pct"/>
                  <w:tcBorders>
                    <w:tl2br w:val="nil"/>
                    <w:tr2bl w:val="nil"/>
                  </w:tcBorders>
                  <w:noWrap w:val="0"/>
                  <w:vAlign w:val="center"/>
                </w:tcPr>
                <w:p w14:paraId="39823D36">
                  <w:pPr>
                    <w:spacing w:line="400" w:lineRule="exact"/>
                    <w:ind w:firstLine="110" w:firstLineChars="50"/>
                    <w:jc w:val="center"/>
                    <w:rPr>
                      <w:rFonts w:hint="default" w:ascii="Times New Roman" w:hAnsi="Times New Roman" w:eastAsia="宋体" w:cs="Times New Roman"/>
                      <w:color w:val="auto"/>
                      <w:kern w:val="2"/>
                      <w:sz w:val="22"/>
                      <w:szCs w:val="24"/>
                      <w:highlight w:val="none"/>
                      <w:lang w:val="en-US" w:eastAsia="zh-CN" w:bidi="ar-SA"/>
                    </w:rPr>
                  </w:pPr>
                  <w:r>
                    <w:rPr>
                      <w:rFonts w:hint="default" w:ascii="Times New Roman" w:hAnsi="Times New Roman" w:cs="Times New Roman"/>
                      <w:color w:val="auto"/>
                      <w:sz w:val="22"/>
                      <w:highlight w:val="none"/>
                    </w:rPr>
                    <w:t>原辅材料包装</w:t>
                  </w:r>
                </w:p>
              </w:tc>
              <w:tc>
                <w:tcPr>
                  <w:tcW w:w="1445" w:type="pct"/>
                  <w:tcBorders>
                    <w:tl2br w:val="nil"/>
                    <w:tr2bl w:val="nil"/>
                  </w:tcBorders>
                  <w:noWrap w:val="0"/>
                  <w:vAlign w:val="center"/>
                </w:tcPr>
                <w:p w14:paraId="498EFBBE">
                  <w:pPr>
                    <w:spacing w:line="400" w:lineRule="exact"/>
                    <w:jc w:val="center"/>
                    <w:rPr>
                      <w:rFonts w:hint="default" w:ascii="Times New Roman" w:hAnsi="Times New Roman" w:eastAsia="宋体" w:cs="Times New Roman"/>
                      <w:color w:val="auto"/>
                      <w:kern w:val="2"/>
                      <w:sz w:val="22"/>
                      <w:szCs w:val="24"/>
                      <w:highlight w:val="none"/>
                      <w:lang w:val="en-US" w:eastAsia="zh-CN" w:bidi="ar-SA"/>
                    </w:rPr>
                  </w:pPr>
                  <w:r>
                    <w:rPr>
                      <w:rFonts w:hint="default" w:ascii="Times New Roman" w:hAnsi="Times New Roman" w:cs="Times New Roman"/>
                      <w:color w:val="auto"/>
                      <w:sz w:val="22"/>
                      <w:highlight w:val="none"/>
                    </w:rPr>
                    <w:t>废包装袋</w:t>
                  </w:r>
                </w:p>
              </w:tc>
              <w:tc>
                <w:tcPr>
                  <w:tcW w:w="853" w:type="pct"/>
                  <w:tcBorders>
                    <w:tl2br w:val="nil"/>
                    <w:tr2bl w:val="nil"/>
                  </w:tcBorders>
                  <w:noWrap w:val="0"/>
                  <w:vAlign w:val="center"/>
                </w:tcPr>
                <w:p w14:paraId="659112C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w:t>
                  </w:r>
                </w:p>
              </w:tc>
              <w:tc>
                <w:tcPr>
                  <w:tcW w:w="1051" w:type="pct"/>
                  <w:tcBorders>
                    <w:tl2br w:val="nil"/>
                    <w:tr2bl w:val="nil"/>
                  </w:tcBorders>
                  <w:noWrap w:val="0"/>
                  <w:vAlign w:val="center"/>
                </w:tcPr>
                <w:p w14:paraId="62745F7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cs="Times New Roman"/>
                      <w:b w:val="0"/>
                      <w:bCs w:val="0"/>
                      <w:i w:val="0"/>
                      <w:caps w:val="0"/>
                      <w:color w:val="auto"/>
                      <w:spacing w:val="0"/>
                      <w:sz w:val="21"/>
                      <w:szCs w:val="21"/>
                      <w:highlight w:val="none"/>
                      <w:shd w:val="clear" w:color="auto" w:fill="FFFFFF"/>
                      <w:vertAlign w:val="baseline"/>
                      <w:lang w:val="en-US" w:eastAsia="zh-CN"/>
                    </w:rPr>
                    <w:t>外卖综合利用</w:t>
                  </w:r>
                </w:p>
              </w:tc>
            </w:tr>
            <w:tr w14:paraId="78E38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tcBorders>
                    <w:tl2br w:val="nil"/>
                    <w:tr2bl w:val="nil"/>
                  </w:tcBorders>
                  <w:noWrap w:val="0"/>
                  <w:vAlign w:val="center"/>
                </w:tcPr>
                <w:p w14:paraId="05161A8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噪声</w:t>
                  </w:r>
                </w:p>
              </w:tc>
              <w:tc>
                <w:tcPr>
                  <w:tcW w:w="1248" w:type="pct"/>
                  <w:tcBorders>
                    <w:tl2br w:val="nil"/>
                    <w:tr2bl w:val="nil"/>
                  </w:tcBorders>
                  <w:noWrap w:val="0"/>
                  <w:vAlign w:val="center"/>
                </w:tcPr>
                <w:p w14:paraId="2C9E1EB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设备运转</w:t>
                  </w:r>
                </w:p>
              </w:tc>
              <w:tc>
                <w:tcPr>
                  <w:tcW w:w="1445" w:type="pct"/>
                  <w:tcBorders>
                    <w:tl2br w:val="nil"/>
                    <w:tr2bl w:val="nil"/>
                  </w:tcBorders>
                  <w:noWrap w:val="0"/>
                  <w:vAlign w:val="center"/>
                </w:tcPr>
                <w:p w14:paraId="748D551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L</w:t>
                  </w:r>
                  <w:r>
                    <w:rPr>
                      <w:rFonts w:hint="default" w:ascii="Times New Roman" w:hAnsi="Times New Roman" w:eastAsia="宋体" w:cs="Times New Roman"/>
                      <w:b w:val="0"/>
                      <w:bCs w:val="0"/>
                      <w:i w:val="0"/>
                      <w:caps w:val="0"/>
                      <w:color w:val="auto"/>
                      <w:spacing w:val="0"/>
                      <w:sz w:val="21"/>
                      <w:szCs w:val="21"/>
                      <w:highlight w:val="none"/>
                      <w:shd w:val="clear" w:color="auto" w:fill="FFFFFF"/>
                      <w:vertAlign w:val="subscript"/>
                      <w:lang w:val="en-US" w:eastAsia="zh-CN"/>
                    </w:rPr>
                    <w:t>eq</w:t>
                  </w:r>
                </w:p>
              </w:tc>
              <w:tc>
                <w:tcPr>
                  <w:tcW w:w="853" w:type="pct"/>
                  <w:tcBorders>
                    <w:tl2br w:val="nil"/>
                    <w:tr2bl w:val="nil"/>
                  </w:tcBorders>
                  <w:noWrap w:val="0"/>
                  <w:vAlign w:val="center"/>
                </w:tcPr>
                <w:p w14:paraId="45CB51B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减震、隔声</w:t>
                  </w:r>
                </w:p>
              </w:tc>
              <w:tc>
                <w:tcPr>
                  <w:tcW w:w="1051" w:type="pct"/>
                  <w:tcBorders>
                    <w:tl2br w:val="nil"/>
                    <w:tr2bl w:val="nil"/>
                  </w:tcBorders>
                  <w:noWrap w:val="0"/>
                  <w:vAlign w:val="center"/>
                </w:tcPr>
                <w:p w14:paraId="15EA980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w:t>
                  </w:r>
                </w:p>
              </w:tc>
            </w:tr>
            <w:tr w14:paraId="406265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1" w:type="pct"/>
                  <w:tcBorders>
                    <w:tl2br w:val="nil"/>
                    <w:tr2bl w:val="nil"/>
                  </w:tcBorders>
                  <w:noWrap w:val="0"/>
                  <w:vAlign w:val="center"/>
                </w:tcPr>
                <w:p w14:paraId="345F495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废水</w:t>
                  </w:r>
                </w:p>
              </w:tc>
              <w:tc>
                <w:tcPr>
                  <w:tcW w:w="1248" w:type="pct"/>
                  <w:tcBorders>
                    <w:tl2br w:val="nil"/>
                    <w:tr2bl w:val="nil"/>
                  </w:tcBorders>
                  <w:noWrap w:val="0"/>
                  <w:vAlign w:val="center"/>
                </w:tcPr>
                <w:p w14:paraId="7F8A941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生活污水</w:t>
                  </w:r>
                </w:p>
              </w:tc>
              <w:tc>
                <w:tcPr>
                  <w:tcW w:w="1445" w:type="pct"/>
                  <w:tcBorders>
                    <w:tl2br w:val="nil"/>
                    <w:tr2bl w:val="nil"/>
                  </w:tcBorders>
                  <w:noWrap w:val="0"/>
                  <w:vAlign w:val="center"/>
                </w:tcPr>
                <w:p w14:paraId="7F7DE23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新宋体" w:cs="Times New Roman"/>
                      <w:b w:val="0"/>
                      <w:bCs w:val="0"/>
                      <w:color w:val="auto"/>
                      <w:spacing w:val="0"/>
                      <w:sz w:val="21"/>
                      <w:szCs w:val="21"/>
                      <w:highlight w:val="none"/>
                      <w:vertAlign w:val="baseline"/>
                      <w:lang w:val="en-US" w:eastAsia="zh-CN"/>
                    </w:rPr>
                    <w:t>pH、SS、COD、氨氮、总氮、总磷、石油类</w:t>
                  </w:r>
                </w:p>
              </w:tc>
              <w:tc>
                <w:tcPr>
                  <w:tcW w:w="853" w:type="pct"/>
                  <w:tcBorders>
                    <w:tl2br w:val="nil"/>
                    <w:tr2bl w:val="nil"/>
                  </w:tcBorders>
                  <w:noWrap w:val="0"/>
                  <w:vAlign w:val="center"/>
                </w:tcPr>
                <w:p w14:paraId="1C600CC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t>化粪池</w:t>
                  </w:r>
                </w:p>
              </w:tc>
              <w:tc>
                <w:tcPr>
                  <w:tcW w:w="1051" w:type="pct"/>
                  <w:tcBorders>
                    <w:tl2br w:val="nil"/>
                    <w:tr2bl w:val="nil"/>
                  </w:tcBorders>
                  <w:noWrap w:val="0"/>
                  <w:vAlign w:val="center"/>
                </w:tcPr>
                <w:p w14:paraId="12AFCE4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val="0"/>
                      <w:bCs w:val="0"/>
                      <w:i w:val="0"/>
                      <w:caps w:val="0"/>
                      <w:color w:val="auto"/>
                      <w:spacing w:val="0"/>
                      <w:sz w:val="21"/>
                      <w:szCs w:val="21"/>
                      <w:highlight w:val="none"/>
                      <w:shd w:val="clear" w:color="auto" w:fill="FFFFFF"/>
                      <w:vertAlign w:val="baseline"/>
                      <w:lang w:val="en-US" w:eastAsia="zh-CN"/>
                    </w:rPr>
                  </w:pPr>
                  <w:r>
                    <w:rPr>
                      <w:rFonts w:hint="default" w:ascii="Times New Roman" w:hAnsi="Times New Roman" w:cs="Times New Roman"/>
                      <w:b w:val="0"/>
                      <w:bCs w:val="0"/>
                      <w:i w:val="0"/>
                      <w:caps w:val="0"/>
                      <w:color w:val="auto"/>
                      <w:spacing w:val="0"/>
                      <w:sz w:val="21"/>
                      <w:szCs w:val="21"/>
                      <w:highlight w:val="none"/>
                      <w:shd w:val="clear" w:color="auto" w:fill="FFFFFF"/>
                      <w:vertAlign w:val="baseline"/>
                      <w:lang w:val="en-US" w:eastAsia="zh-CN"/>
                    </w:rPr>
                    <w:t>清挖堆肥</w:t>
                  </w:r>
                </w:p>
              </w:tc>
            </w:tr>
          </w:tbl>
          <w:p w14:paraId="306C037F">
            <w:pPr>
              <w:pStyle w:val="17"/>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根据</w:t>
            </w:r>
            <w:r>
              <w:rPr>
                <w:rFonts w:hint="eastAsia" w:cs="Times New Roman"/>
                <w:color w:val="auto"/>
                <w:kern w:val="2"/>
                <w:sz w:val="24"/>
                <w:szCs w:val="24"/>
                <w:highlight w:val="none"/>
                <w:lang w:val="en-US" w:eastAsia="zh-CN" w:bidi="ar-SA"/>
              </w:rPr>
              <w:t>山东齐晟环境检测有限公司2026年2月</w:t>
            </w:r>
            <w:r>
              <w:rPr>
                <w:rFonts w:hint="default" w:ascii="Times New Roman" w:hAnsi="Times New Roman" w:cs="Times New Roman"/>
                <w:color w:val="auto"/>
                <w:kern w:val="2"/>
                <w:sz w:val="24"/>
                <w:szCs w:val="24"/>
                <w:highlight w:val="none"/>
                <w:lang w:val="en-US" w:eastAsia="zh-CN" w:bidi="ar-SA"/>
              </w:rPr>
              <w:t>出具的淄博锦明陶瓷材料有限公司例行检测报告（编号：</w:t>
            </w:r>
            <w:r>
              <w:rPr>
                <w:rFonts w:hint="eastAsia" w:cs="Times New Roman"/>
                <w:color w:val="auto"/>
                <w:kern w:val="2"/>
                <w:sz w:val="24"/>
                <w:szCs w:val="24"/>
                <w:highlight w:val="none"/>
                <w:lang w:val="en-US" w:eastAsia="zh-CN" w:bidi="ar-SA"/>
              </w:rPr>
              <w:t>SDQS2601083</w:t>
            </w:r>
            <w:r>
              <w:rPr>
                <w:rFonts w:hint="default" w:ascii="Times New Roman" w:hAnsi="Times New Roman" w:cs="Times New Roman"/>
                <w:color w:val="auto"/>
                <w:kern w:val="2"/>
                <w:sz w:val="24"/>
                <w:szCs w:val="24"/>
                <w:highlight w:val="none"/>
                <w:lang w:val="en-US" w:eastAsia="zh-CN" w:bidi="ar-SA"/>
              </w:rPr>
              <w:t>），项目污染物排放情况如下。</w:t>
            </w:r>
          </w:p>
          <w:p w14:paraId="5A5DE92C">
            <w:pPr>
              <w:pStyle w:val="17"/>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（1）废气</w:t>
            </w:r>
          </w:p>
          <w:p w14:paraId="37D5709D">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表2-9 项目有组织废气检测结果表</w:t>
            </w:r>
          </w:p>
          <w:tbl>
            <w:tblPr>
              <w:tblStyle w:val="24"/>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2372"/>
              <w:gridCol w:w="1830"/>
              <w:gridCol w:w="1830"/>
              <w:gridCol w:w="1841"/>
            </w:tblGrid>
            <w:tr w14:paraId="1FC94B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7DE4D0F0">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检测点位</w:t>
                  </w:r>
                </w:p>
              </w:tc>
              <w:tc>
                <w:tcPr>
                  <w:tcW w:w="3493" w:type="pct"/>
                  <w:gridSpan w:val="3"/>
                  <w:tcBorders>
                    <w:tl2br w:val="nil"/>
                    <w:tr2bl w:val="nil"/>
                  </w:tcBorders>
                  <w:vAlign w:val="center"/>
                </w:tcPr>
                <w:p w14:paraId="61F8E2DE">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DA001 排气筒</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出口</w:t>
                  </w:r>
                  <w:r>
                    <w:rPr>
                      <w:rFonts w:hint="eastAsia" w:ascii="Times New Roman" w:hAnsi="Times New Roman" w:eastAsia="宋体" w:cs="Times New Roman"/>
                      <w:color w:val="auto"/>
                      <w:sz w:val="21"/>
                      <w:szCs w:val="21"/>
                      <w:lang w:eastAsia="zh-CN"/>
                    </w:rPr>
                    <w:t>）</w:t>
                  </w:r>
                </w:p>
              </w:tc>
            </w:tr>
            <w:tr w14:paraId="03325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320BD201">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检测日期</w:t>
                  </w:r>
                </w:p>
              </w:tc>
              <w:tc>
                <w:tcPr>
                  <w:tcW w:w="3493" w:type="pct"/>
                  <w:gridSpan w:val="3"/>
                  <w:tcBorders>
                    <w:tl2br w:val="nil"/>
                    <w:tr2bl w:val="nil"/>
                  </w:tcBorders>
                  <w:vAlign w:val="center"/>
                </w:tcPr>
                <w:p w14:paraId="16E7F13A">
                  <w:pPr>
                    <w:keepNext w:val="0"/>
                    <w:keepLines w:val="0"/>
                    <w:pageBreakBefore w:val="0"/>
                    <w:widowControl/>
                    <w:kinsoku/>
                    <w:wordWrap/>
                    <w:overflowPunct/>
                    <w:topLinePunct w:val="0"/>
                    <w:autoSpaceDE/>
                    <w:autoSpaceDN/>
                    <w:bidi w:val="0"/>
                    <w:adjustRightInd/>
                    <w:snapToGrid/>
                    <w:spacing w:after="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eastAsiaTheme="minorEastAsia"/>
                      <w:color w:val="auto"/>
                      <w:sz w:val="21"/>
                      <w:szCs w:val="21"/>
                      <w:lang w:eastAsia="zh-CN"/>
                    </w:rPr>
                    <w:t>2026年01月30日</w:t>
                  </w:r>
                </w:p>
              </w:tc>
            </w:tr>
            <w:tr w14:paraId="49C4CE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50B6CA5F">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高度/</w:t>
                  </w:r>
                  <w:r>
                    <w:rPr>
                      <w:rFonts w:hint="eastAsia" w:ascii="Times New Roman" w:hAnsi="Times New Roman" w:eastAsia="宋体" w:cs="Times New Roman"/>
                      <w:color w:val="auto"/>
                      <w:sz w:val="21"/>
                      <w:szCs w:val="21"/>
                      <w:lang w:eastAsia="zh-CN"/>
                    </w:rPr>
                    <w:t>内径</w:t>
                  </w:r>
                  <w:r>
                    <w:rPr>
                      <w:rFonts w:ascii="Times New Roman" w:hAnsi="Times New Roman" w:eastAsia="宋体" w:cs="Times New Roman"/>
                      <w:color w:val="auto"/>
                      <w:sz w:val="21"/>
                      <w:szCs w:val="21"/>
                    </w:rPr>
                    <w:t>（m）</w:t>
                  </w:r>
                </w:p>
              </w:tc>
              <w:tc>
                <w:tcPr>
                  <w:tcW w:w="3493" w:type="pct"/>
                  <w:gridSpan w:val="3"/>
                  <w:tcBorders>
                    <w:tl2br w:val="nil"/>
                    <w:tr2bl w:val="nil"/>
                  </w:tcBorders>
                  <w:vAlign w:val="center"/>
                </w:tcPr>
                <w:p w14:paraId="4C49396E">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eastAsia="宋体" w:cs="Times New Roman"/>
                      <w:color w:val="auto"/>
                      <w:sz w:val="21"/>
                      <w:szCs w:val="21"/>
                      <w:lang w:val="en-US" w:eastAsia="zh-CN" w:bidi="ar-SA"/>
                    </w:rPr>
                    <w:t>15/0.75</w:t>
                  </w:r>
                </w:p>
              </w:tc>
            </w:tr>
            <w:tr w14:paraId="186F2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04C438E3">
                  <w:pPr>
                    <w:keepNext w:val="0"/>
                    <w:keepLines w:val="0"/>
                    <w:pageBreakBefore w:val="0"/>
                    <w:widowControl/>
                    <w:kinsoku/>
                    <w:wordWrap/>
                    <w:overflowPunct/>
                    <w:topLinePunct w:val="0"/>
                    <w:autoSpaceDE/>
                    <w:autoSpaceDN/>
                    <w:bidi w:val="0"/>
                    <w:spacing w:after="0"/>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eastAsiaTheme="minorEastAsia"/>
                      <w:color w:val="auto"/>
                      <w:sz w:val="21"/>
                      <w:szCs w:val="21"/>
                      <w:lang w:eastAsia="zh-CN"/>
                    </w:rPr>
                    <w:t>检测频次</w:t>
                  </w:r>
                </w:p>
              </w:tc>
              <w:tc>
                <w:tcPr>
                  <w:tcW w:w="1162" w:type="pct"/>
                  <w:tcBorders>
                    <w:tl2br w:val="nil"/>
                    <w:tr2bl w:val="nil"/>
                  </w:tcBorders>
                  <w:vAlign w:val="center"/>
                </w:tcPr>
                <w:p w14:paraId="0C670C38">
                  <w:pPr>
                    <w:keepNext w:val="0"/>
                    <w:keepLines w:val="0"/>
                    <w:pageBreakBefore w:val="0"/>
                    <w:widowControl/>
                    <w:kinsoku/>
                    <w:wordWrap/>
                    <w:overflowPunct/>
                    <w:topLinePunct w:val="0"/>
                    <w:autoSpaceDE/>
                    <w:autoSpaceDN/>
                    <w:bidi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第一次</w:t>
                  </w:r>
                </w:p>
              </w:tc>
              <w:tc>
                <w:tcPr>
                  <w:tcW w:w="1162" w:type="pct"/>
                  <w:tcBorders>
                    <w:tl2br w:val="nil"/>
                    <w:tr2bl w:val="nil"/>
                  </w:tcBorders>
                  <w:vAlign w:val="center"/>
                </w:tcPr>
                <w:p w14:paraId="750EA05C">
                  <w:pPr>
                    <w:keepNext w:val="0"/>
                    <w:keepLines w:val="0"/>
                    <w:pageBreakBefore w:val="0"/>
                    <w:widowControl/>
                    <w:kinsoku/>
                    <w:wordWrap/>
                    <w:overflowPunct/>
                    <w:topLinePunct w:val="0"/>
                    <w:autoSpaceDE/>
                    <w:autoSpaceDN/>
                    <w:bidi w:val="0"/>
                    <w:spacing w:after="0"/>
                    <w:jc w:val="center"/>
                    <w:textAlignment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第二次</w:t>
                  </w:r>
                </w:p>
              </w:tc>
              <w:tc>
                <w:tcPr>
                  <w:tcW w:w="1167" w:type="pct"/>
                  <w:tcBorders>
                    <w:tl2br w:val="nil"/>
                    <w:tr2bl w:val="nil"/>
                  </w:tcBorders>
                  <w:vAlign w:val="center"/>
                </w:tcPr>
                <w:p w14:paraId="51127ADF">
                  <w:pPr>
                    <w:keepNext w:val="0"/>
                    <w:keepLines w:val="0"/>
                    <w:pageBreakBefore w:val="0"/>
                    <w:widowControl/>
                    <w:kinsoku/>
                    <w:wordWrap/>
                    <w:overflowPunct/>
                    <w:topLinePunct w:val="0"/>
                    <w:autoSpaceDE/>
                    <w:autoSpaceDN/>
                    <w:bidi w:val="0"/>
                    <w:spacing w:after="0"/>
                    <w:jc w:val="center"/>
                    <w:textAlignment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第三次</w:t>
                  </w:r>
                </w:p>
              </w:tc>
            </w:tr>
            <w:tr w14:paraId="553691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5DCD3D60">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烟气流速（m/s）</w:t>
                  </w:r>
                </w:p>
              </w:tc>
              <w:tc>
                <w:tcPr>
                  <w:tcW w:w="1162" w:type="pct"/>
                  <w:tcBorders>
                    <w:tl2br w:val="nil"/>
                    <w:tr2bl w:val="nil"/>
                  </w:tcBorders>
                  <w:vAlign w:val="center"/>
                </w:tcPr>
                <w:p w14:paraId="2FFA256E">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7.7</w:t>
                  </w:r>
                </w:p>
              </w:tc>
              <w:tc>
                <w:tcPr>
                  <w:tcW w:w="1162" w:type="pct"/>
                  <w:tcBorders>
                    <w:tl2br w:val="nil"/>
                    <w:tr2bl w:val="nil"/>
                  </w:tcBorders>
                  <w:vAlign w:val="center"/>
                </w:tcPr>
                <w:p w14:paraId="5BC05754">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8.3</w:t>
                  </w:r>
                </w:p>
              </w:tc>
              <w:tc>
                <w:tcPr>
                  <w:tcW w:w="1167" w:type="pct"/>
                  <w:tcBorders>
                    <w:tl2br w:val="nil"/>
                    <w:tr2bl w:val="nil"/>
                  </w:tcBorders>
                  <w:vAlign w:val="center"/>
                </w:tcPr>
                <w:p w14:paraId="20DCB291">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8.2</w:t>
                  </w:r>
                </w:p>
              </w:tc>
            </w:tr>
            <w:tr w14:paraId="294F41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38A185BB">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烟温（℃）</w:t>
                  </w:r>
                </w:p>
              </w:tc>
              <w:tc>
                <w:tcPr>
                  <w:tcW w:w="1162" w:type="pct"/>
                  <w:tcBorders>
                    <w:tl2br w:val="nil"/>
                    <w:tr2bl w:val="nil"/>
                  </w:tcBorders>
                  <w:vAlign w:val="center"/>
                </w:tcPr>
                <w:p w14:paraId="1A4F5DA0">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8.7</w:t>
                  </w:r>
                </w:p>
              </w:tc>
              <w:tc>
                <w:tcPr>
                  <w:tcW w:w="1162" w:type="pct"/>
                  <w:tcBorders>
                    <w:tl2br w:val="nil"/>
                    <w:tr2bl w:val="nil"/>
                  </w:tcBorders>
                  <w:vAlign w:val="center"/>
                </w:tcPr>
                <w:p w14:paraId="72512D06">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8.9</w:t>
                  </w:r>
                </w:p>
              </w:tc>
              <w:tc>
                <w:tcPr>
                  <w:tcW w:w="1167" w:type="pct"/>
                  <w:tcBorders>
                    <w:tl2br w:val="nil"/>
                    <w:tr2bl w:val="nil"/>
                  </w:tcBorders>
                  <w:vAlign w:val="center"/>
                </w:tcPr>
                <w:p w14:paraId="2329B807">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r>
            <w:tr w14:paraId="132761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63EF1517">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标干流量（Nm</w:t>
                  </w:r>
                  <w:r>
                    <w:rPr>
                      <w:rFonts w:ascii="Times New Roman" w:hAnsi="Times New Roman" w:eastAsia="宋体" w:cs="Times New Roman"/>
                      <w:color w:val="auto"/>
                      <w:sz w:val="21"/>
                      <w:szCs w:val="21"/>
                      <w:vertAlign w:val="superscript"/>
                    </w:rPr>
                    <w:t>3</w:t>
                  </w:r>
                  <w:r>
                    <w:rPr>
                      <w:rFonts w:ascii="Times New Roman" w:hAnsi="Times New Roman" w:eastAsia="宋体" w:cs="Times New Roman"/>
                      <w:color w:val="auto"/>
                      <w:sz w:val="21"/>
                      <w:szCs w:val="21"/>
                    </w:rPr>
                    <w:t>/h）</w:t>
                  </w:r>
                </w:p>
              </w:tc>
              <w:tc>
                <w:tcPr>
                  <w:tcW w:w="1162" w:type="pct"/>
                  <w:tcBorders>
                    <w:tl2br w:val="nil"/>
                    <w:tr2bl w:val="nil"/>
                  </w:tcBorders>
                  <w:vAlign w:val="center"/>
                </w:tcPr>
                <w:p w14:paraId="725394A9">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11876</w:t>
                  </w:r>
                </w:p>
              </w:tc>
              <w:tc>
                <w:tcPr>
                  <w:tcW w:w="1162" w:type="pct"/>
                  <w:tcBorders>
                    <w:tl2br w:val="nil"/>
                    <w:tr2bl w:val="nil"/>
                  </w:tcBorders>
                  <w:vAlign w:val="center"/>
                </w:tcPr>
                <w:p w14:paraId="40EB9E48">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12633</w:t>
                  </w:r>
                </w:p>
              </w:tc>
              <w:tc>
                <w:tcPr>
                  <w:tcW w:w="1167" w:type="pct"/>
                  <w:tcBorders>
                    <w:tl2br w:val="nil"/>
                    <w:tr2bl w:val="nil"/>
                  </w:tcBorders>
                  <w:vAlign w:val="center"/>
                </w:tcPr>
                <w:p w14:paraId="0431DA21">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12557</w:t>
                  </w:r>
                </w:p>
              </w:tc>
            </w:tr>
            <w:tr w14:paraId="78C45A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0FF45FE4">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样品编号</w:t>
                  </w:r>
                </w:p>
              </w:tc>
              <w:tc>
                <w:tcPr>
                  <w:tcW w:w="1162" w:type="pct"/>
                  <w:tcBorders>
                    <w:tl2br w:val="nil"/>
                    <w:tr2bl w:val="nil"/>
                  </w:tcBorders>
                  <w:vAlign w:val="center"/>
                </w:tcPr>
                <w:p w14:paraId="2872AB12">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Q2601083025</w:t>
                  </w:r>
                </w:p>
              </w:tc>
              <w:tc>
                <w:tcPr>
                  <w:tcW w:w="1162" w:type="pct"/>
                  <w:tcBorders>
                    <w:tl2br w:val="nil"/>
                    <w:tr2bl w:val="nil"/>
                  </w:tcBorders>
                  <w:vAlign w:val="center"/>
                </w:tcPr>
                <w:p w14:paraId="704997EE">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Q2601083026</w:t>
                  </w:r>
                </w:p>
              </w:tc>
              <w:tc>
                <w:tcPr>
                  <w:tcW w:w="1167" w:type="pct"/>
                  <w:tcBorders>
                    <w:tl2br w:val="nil"/>
                    <w:tr2bl w:val="nil"/>
                  </w:tcBorders>
                  <w:vAlign w:val="center"/>
                </w:tcPr>
                <w:p w14:paraId="01CF39AB">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Q2601083027</w:t>
                  </w:r>
                </w:p>
              </w:tc>
            </w:tr>
            <w:tr w14:paraId="0C2F68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4893EE4F">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颗粒物</w:t>
                  </w:r>
                  <w:r>
                    <w:rPr>
                      <w:rFonts w:ascii="Times New Roman" w:hAnsi="Times New Roman" w:eastAsia="宋体" w:cs="Times New Roman"/>
                      <w:color w:val="auto"/>
                      <w:sz w:val="21"/>
                      <w:szCs w:val="21"/>
                    </w:rPr>
                    <w:t>排放浓度（mg/m</w:t>
                  </w:r>
                  <w:r>
                    <w:rPr>
                      <w:rFonts w:ascii="Times New Roman" w:hAnsi="Times New Roman" w:eastAsia="宋体" w:cs="Times New Roman"/>
                      <w:color w:val="auto"/>
                      <w:sz w:val="21"/>
                      <w:szCs w:val="21"/>
                      <w:vertAlign w:val="superscript"/>
                    </w:rPr>
                    <w:t>3</w:t>
                  </w:r>
                  <w:r>
                    <w:rPr>
                      <w:rFonts w:ascii="Times New Roman" w:hAnsi="Times New Roman" w:eastAsia="宋体" w:cs="Times New Roman"/>
                      <w:color w:val="auto"/>
                      <w:sz w:val="21"/>
                      <w:szCs w:val="21"/>
                    </w:rPr>
                    <w:t>）</w:t>
                  </w:r>
                </w:p>
              </w:tc>
              <w:tc>
                <w:tcPr>
                  <w:tcW w:w="1162" w:type="pct"/>
                  <w:tcBorders>
                    <w:tl2br w:val="nil"/>
                    <w:tr2bl w:val="nil"/>
                  </w:tcBorders>
                  <w:vAlign w:val="center"/>
                </w:tcPr>
                <w:p w14:paraId="1994A6F0">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w:t>
                  </w:r>
                </w:p>
              </w:tc>
              <w:tc>
                <w:tcPr>
                  <w:tcW w:w="1162" w:type="pct"/>
                  <w:tcBorders>
                    <w:tl2br w:val="nil"/>
                    <w:tr2bl w:val="nil"/>
                  </w:tcBorders>
                  <w:vAlign w:val="center"/>
                </w:tcPr>
                <w:p w14:paraId="68714314">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w:t>
                  </w:r>
                </w:p>
              </w:tc>
              <w:tc>
                <w:tcPr>
                  <w:tcW w:w="1167" w:type="pct"/>
                  <w:tcBorders>
                    <w:tl2br w:val="nil"/>
                    <w:tr2bl w:val="nil"/>
                  </w:tcBorders>
                  <w:vAlign w:val="center"/>
                </w:tcPr>
                <w:p w14:paraId="4FA50593">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w:t>
                  </w:r>
                </w:p>
              </w:tc>
            </w:tr>
            <w:tr w14:paraId="29ED20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1475AE88">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颗粒物</w:t>
                  </w:r>
                  <w:r>
                    <w:rPr>
                      <w:rFonts w:ascii="Times New Roman" w:hAnsi="Times New Roman" w:eastAsia="宋体" w:cs="Times New Roman"/>
                      <w:color w:val="auto"/>
                      <w:sz w:val="21"/>
                      <w:szCs w:val="21"/>
                    </w:rPr>
                    <w:t>排放速率（kg/h）</w:t>
                  </w:r>
                </w:p>
              </w:tc>
              <w:tc>
                <w:tcPr>
                  <w:tcW w:w="1162" w:type="pct"/>
                  <w:tcBorders>
                    <w:tl2br w:val="nil"/>
                    <w:tr2bl w:val="nil"/>
                  </w:tcBorders>
                  <w:vAlign w:val="center"/>
                </w:tcPr>
                <w:p w14:paraId="63C3E11A">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0.043 </w:t>
                  </w:r>
                </w:p>
              </w:tc>
              <w:tc>
                <w:tcPr>
                  <w:tcW w:w="1162" w:type="pct"/>
                  <w:tcBorders>
                    <w:tl2br w:val="nil"/>
                    <w:tr2bl w:val="nil"/>
                  </w:tcBorders>
                  <w:vAlign w:val="center"/>
                </w:tcPr>
                <w:p w14:paraId="595FBCF4">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0.049 </w:t>
                  </w:r>
                </w:p>
              </w:tc>
              <w:tc>
                <w:tcPr>
                  <w:tcW w:w="1167" w:type="pct"/>
                  <w:tcBorders>
                    <w:tl2br w:val="nil"/>
                    <w:tr2bl w:val="nil"/>
                  </w:tcBorders>
                  <w:vAlign w:val="center"/>
                </w:tcPr>
                <w:p w14:paraId="56956E90">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0.040 </w:t>
                  </w:r>
                </w:p>
              </w:tc>
            </w:tr>
            <w:tr w14:paraId="46C4C8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7EE15C0F">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检测点位</w:t>
                  </w:r>
                </w:p>
              </w:tc>
              <w:tc>
                <w:tcPr>
                  <w:tcW w:w="3493" w:type="pct"/>
                  <w:gridSpan w:val="3"/>
                  <w:tcBorders>
                    <w:tl2br w:val="nil"/>
                    <w:tr2bl w:val="nil"/>
                  </w:tcBorders>
                  <w:vAlign w:val="center"/>
                </w:tcPr>
                <w:p w14:paraId="0E7FD9B4">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DA00</w:t>
                  </w:r>
                  <w:r>
                    <w:rPr>
                      <w:rFonts w:hint="eastAsia" w:ascii="Times New Roman" w:hAnsi="Times New Roman" w:eastAsia="宋体" w:cs="Times New Roman"/>
                      <w:color w:val="auto"/>
                      <w:sz w:val="21"/>
                      <w:szCs w:val="21"/>
                      <w:lang w:val="en-US" w:eastAsia="zh-CN"/>
                    </w:rPr>
                    <w:t>2</w:t>
                  </w:r>
                  <w:r>
                    <w:rPr>
                      <w:rFonts w:ascii="Times New Roman" w:hAnsi="Times New Roman" w:eastAsia="宋体" w:cs="Times New Roman"/>
                      <w:color w:val="auto"/>
                      <w:sz w:val="21"/>
                      <w:szCs w:val="21"/>
                    </w:rPr>
                    <w:t xml:space="preserve"> 排气筒</w:t>
                  </w:r>
                  <w:r>
                    <w:rPr>
                      <w:rFonts w:hint="eastAsia" w:ascii="Times New Roman" w:hAnsi="Times New Roman" w:eastAsia="宋体" w:cs="Times New Roman"/>
                      <w:color w:val="auto"/>
                      <w:sz w:val="21"/>
                      <w:szCs w:val="21"/>
                      <w:lang w:eastAsia="zh-CN"/>
                    </w:rPr>
                    <w:t>（</w:t>
                  </w:r>
                  <w:r>
                    <w:rPr>
                      <w:rFonts w:ascii="Times New Roman" w:hAnsi="Times New Roman" w:eastAsia="宋体" w:cs="Times New Roman"/>
                      <w:color w:val="auto"/>
                      <w:sz w:val="21"/>
                      <w:szCs w:val="21"/>
                    </w:rPr>
                    <w:t>出口</w:t>
                  </w:r>
                  <w:r>
                    <w:rPr>
                      <w:rFonts w:hint="eastAsia" w:ascii="Times New Roman" w:hAnsi="Times New Roman" w:eastAsia="宋体" w:cs="Times New Roman"/>
                      <w:color w:val="auto"/>
                      <w:sz w:val="21"/>
                      <w:szCs w:val="21"/>
                      <w:lang w:eastAsia="zh-CN"/>
                    </w:rPr>
                    <w:t>）</w:t>
                  </w:r>
                </w:p>
              </w:tc>
            </w:tr>
            <w:tr w14:paraId="5EC05C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05186D03">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检测日期</w:t>
                  </w:r>
                </w:p>
              </w:tc>
              <w:tc>
                <w:tcPr>
                  <w:tcW w:w="3493" w:type="pct"/>
                  <w:gridSpan w:val="3"/>
                  <w:tcBorders>
                    <w:tl2br w:val="nil"/>
                    <w:tr2bl w:val="nil"/>
                  </w:tcBorders>
                  <w:vAlign w:val="center"/>
                </w:tcPr>
                <w:p w14:paraId="3098F1D6">
                  <w:pPr>
                    <w:keepNext w:val="0"/>
                    <w:keepLines w:val="0"/>
                    <w:pageBreakBefore w:val="0"/>
                    <w:widowControl/>
                    <w:kinsoku/>
                    <w:wordWrap/>
                    <w:overflowPunct/>
                    <w:topLinePunct w:val="0"/>
                    <w:autoSpaceDE/>
                    <w:autoSpaceDN/>
                    <w:bidi w:val="0"/>
                    <w:adjustRightInd/>
                    <w:snapToGrid/>
                    <w:spacing w:after="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eastAsiaTheme="minorEastAsia"/>
                      <w:color w:val="auto"/>
                      <w:sz w:val="21"/>
                      <w:szCs w:val="21"/>
                      <w:lang w:eastAsia="zh-CN"/>
                    </w:rPr>
                    <w:t>2026年01月</w:t>
                  </w:r>
                  <w:r>
                    <w:rPr>
                      <w:rFonts w:hint="eastAsia" w:ascii="Times New Roman" w:hAnsi="Times New Roman" w:cs="Times New Roman" w:eastAsiaTheme="minorEastAsia"/>
                      <w:color w:val="auto"/>
                      <w:sz w:val="21"/>
                      <w:szCs w:val="21"/>
                      <w:lang w:val="en-US" w:eastAsia="zh-CN"/>
                    </w:rPr>
                    <w:t>30</w:t>
                  </w:r>
                  <w:r>
                    <w:rPr>
                      <w:rFonts w:hint="eastAsia" w:ascii="Times New Roman" w:hAnsi="Times New Roman" w:cs="Times New Roman" w:eastAsiaTheme="minorEastAsia"/>
                      <w:color w:val="auto"/>
                      <w:sz w:val="21"/>
                      <w:szCs w:val="21"/>
                      <w:lang w:eastAsia="zh-CN"/>
                    </w:rPr>
                    <w:t>日</w:t>
                  </w:r>
                </w:p>
              </w:tc>
            </w:tr>
            <w:tr w14:paraId="2D0596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0DEC0300">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高度/</w:t>
                  </w:r>
                  <w:r>
                    <w:rPr>
                      <w:rFonts w:hint="eastAsia" w:ascii="Times New Roman" w:hAnsi="Times New Roman" w:eastAsia="宋体" w:cs="Times New Roman"/>
                      <w:color w:val="auto"/>
                      <w:sz w:val="21"/>
                      <w:szCs w:val="21"/>
                      <w:lang w:eastAsia="zh-CN"/>
                    </w:rPr>
                    <w:t>内径</w:t>
                  </w:r>
                  <w:r>
                    <w:rPr>
                      <w:rFonts w:ascii="Times New Roman" w:hAnsi="Times New Roman" w:eastAsia="宋体" w:cs="Times New Roman"/>
                      <w:color w:val="auto"/>
                      <w:sz w:val="21"/>
                      <w:szCs w:val="21"/>
                    </w:rPr>
                    <w:t>（m）</w:t>
                  </w:r>
                </w:p>
              </w:tc>
              <w:tc>
                <w:tcPr>
                  <w:tcW w:w="3493" w:type="pct"/>
                  <w:gridSpan w:val="3"/>
                  <w:tcBorders>
                    <w:tl2br w:val="nil"/>
                    <w:tr2bl w:val="nil"/>
                  </w:tcBorders>
                  <w:vAlign w:val="center"/>
                </w:tcPr>
                <w:p w14:paraId="27065440">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eastAsia="宋体" w:cs="Times New Roman"/>
                      <w:color w:val="auto"/>
                      <w:sz w:val="21"/>
                      <w:szCs w:val="21"/>
                      <w:lang w:val="en-US" w:eastAsia="zh-CN" w:bidi="ar-SA"/>
                    </w:rPr>
                    <w:t>15/0.35</w:t>
                  </w:r>
                </w:p>
              </w:tc>
            </w:tr>
            <w:tr w14:paraId="00653D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58AB8C4C">
                  <w:pPr>
                    <w:keepNext w:val="0"/>
                    <w:keepLines w:val="0"/>
                    <w:pageBreakBefore w:val="0"/>
                    <w:widowControl/>
                    <w:kinsoku/>
                    <w:wordWrap/>
                    <w:overflowPunct/>
                    <w:topLinePunct w:val="0"/>
                    <w:autoSpaceDE/>
                    <w:autoSpaceDN/>
                    <w:bidi w:val="0"/>
                    <w:spacing w:after="0"/>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eastAsiaTheme="minorEastAsia"/>
                      <w:color w:val="auto"/>
                      <w:sz w:val="21"/>
                      <w:szCs w:val="21"/>
                      <w:lang w:eastAsia="zh-CN"/>
                    </w:rPr>
                    <w:t>检测频次</w:t>
                  </w:r>
                </w:p>
              </w:tc>
              <w:tc>
                <w:tcPr>
                  <w:tcW w:w="1162" w:type="pct"/>
                  <w:tcBorders>
                    <w:tl2br w:val="nil"/>
                    <w:tr2bl w:val="nil"/>
                  </w:tcBorders>
                  <w:vAlign w:val="center"/>
                </w:tcPr>
                <w:p w14:paraId="3D22577C">
                  <w:pPr>
                    <w:keepNext w:val="0"/>
                    <w:keepLines w:val="0"/>
                    <w:pageBreakBefore w:val="0"/>
                    <w:widowControl/>
                    <w:kinsoku/>
                    <w:wordWrap/>
                    <w:overflowPunct/>
                    <w:topLinePunct w:val="0"/>
                    <w:autoSpaceDE/>
                    <w:autoSpaceDN/>
                    <w:bidi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第一次</w:t>
                  </w:r>
                </w:p>
              </w:tc>
              <w:tc>
                <w:tcPr>
                  <w:tcW w:w="1162" w:type="pct"/>
                  <w:tcBorders>
                    <w:tl2br w:val="nil"/>
                    <w:tr2bl w:val="nil"/>
                  </w:tcBorders>
                  <w:vAlign w:val="center"/>
                </w:tcPr>
                <w:p w14:paraId="5F05A1BC">
                  <w:pPr>
                    <w:keepNext w:val="0"/>
                    <w:keepLines w:val="0"/>
                    <w:pageBreakBefore w:val="0"/>
                    <w:widowControl/>
                    <w:kinsoku/>
                    <w:wordWrap/>
                    <w:overflowPunct/>
                    <w:topLinePunct w:val="0"/>
                    <w:autoSpaceDE/>
                    <w:autoSpaceDN/>
                    <w:bidi w:val="0"/>
                    <w:spacing w:after="0"/>
                    <w:jc w:val="center"/>
                    <w:textAlignment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第二次</w:t>
                  </w:r>
                </w:p>
              </w:tc>
              <w:tc>
                <w:tcPr>
                  <w:tcW w:w="1167" w:type="pct"/>
                  <w:tcBorders>
                    <w:tl2br w:val="nil"/>
                    <w:tr2bl w:val="nil"/>
                  </w:tcBorders>
                  <w:vAlign w:val="center"/>
                </w:tcPr>
                <w:p w14:paraId="12D9D07D">
                  <w:pPr>
                    <w:keepNext w:val="0"/>
                    <w:keepLines w:val="0"/>
                    <w:pageBreakBefore w:val="0"/>
                    <w:widowControl/>
                    <w:kinsoku/>
                    <w:wordWrap/>
                    <w:overflowPunct/>
                    <w:topLinePunct w:val="0"/>
                    <w:autoSpaceDE/>
                    <w:autoSpaceDN/>
                    <w:bidi w:val="0"/>
                    <w:spacing w:after="0"/>
                    <w:jc w:val="center"/>
                    <w:textAlignment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第三次</w:t>
                  </w:r>
                </w:p>
              </w:tc>
            </w:tr>
            <w:tr w14:paraId="48506E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0FDA1C0F">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烟气流速（m/s）</w:t>
                  </w:r>
                </w:p>
              </w:tc>
              <w:tc>
                <w:tcPr>
                  <w:tcW w:w="1162" w:type="pct"/>
                  <w:tcBorders>
                    <w:tl2br w:val="nil"/>
                    <w:tr2bl w:val="nil"/>
                  </w:tcBorders>
                  <w:vAlign w:val="center"/>
                </w:tcPr>
                <w:p w14:paraId="19600B2E">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1162" w:type="pct"/>
                  <w:tcBorders>
                    <w:tl2br w:val="nil"/>
                    <w:tr2bl w:val="nil"/>
                  </w:tcBorders>
                  <w:vAlign w:val="center"/>
                </w:tcPr>
                <w:p w14:paraId="7FCEF596">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10.3</w:t>
                  </w:r>
                </w:p>
              </w:tc>
              <w:tc>
                <w:tcPr>
                  <w:tcW w:w="1167" w:type="pct"/>
                  <w:tcBorders>
                    <w:tl2br w:val="nil"/>
                    <w:tr2bl w:val="nil"/>
                  </w:tcBorders>
                  <w:vAlign w:val="center"/>
                </w:tcPr>
                <w:p w14:paraId="6D98A83E">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10.5</w:t>
                  </w:r>
                </w:p>
              </w:tc>
            </w:tr>
            <w:tr w14:paraId="36773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0A5DC7FF">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烟温（℃）</w:t>
                  </w:r>
                </w:p>
              </w:tc>
              <w:tc>
                <w:tcPr>
                  <w:tcW w:w="1162" w:type="pct"/>
                  <w:tcBorders>
                    <w:tl2br w:val="nil"/>
                    <w:tr2bl w:val="nil"/>
                  </w:tcBorders>
                  <w:vAlign w:val="center"/>
                </w:tcPr>
                <w:p w14:paraId="0049FC07">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54.7</w:t>
                  </w:r>
                </w:p>
              </w:tc>
              <w:tc>
                <w:tcPr>
                  <w:tcW w:w="1162" w:type="pct"/>
                  <w:tcBorders>
                    <w:tl2br w:val="nil"/>
                    <w:tr2bl w:val="nil"/>
                  </w:tcBorders>
                  <w:vAlign w:val="center"/>
                </w:tcPr>
                <w:p w14:paraId="37B5E2DB">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55.1</w:t>
                  </w:r>
                </w:p>
              </w:tc>
              <w:tc>
                <w:tcPr>
                  <w:tcW w:w="1167" w:type="pct"/>
                  <w:tcBorders>
                    <w:tl2br w:val="nil"/>
                    <w:tr2bl w:val="nil"/>
                  </w:tcBorders>
                  <w:vAlign w:val="center"/>
                </w:tcPr>
                <w:p w14:paraId="3B33746E">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55.6</w:t>
                  </w:r>
                </w:p>
              </w:tc>
            </w:tr>
            <w:tr w14:paraId="620DA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57404D2C">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含</w:t>
                  </w:r>
                  <w:r>
                    <w:rPr>
                      <w:rFonts w:hint="eastAsia" w:ascii="Times New Roman" w:hAnsi="Times New Roman" w:eastAsia="宋体" w:cs="Times New Roman"/>
                      <w:color w:val="auto"/>
                      <w:sz w:val="21"/>
                      <w:szCs w:val="21"/>
                      <w:lang w:val="en-US" w:eastAsia="zh-CN"/>
                    </w:rPr>
                    <w:t>氧</w:t>
                  </w:r>
                  <w:r>
                    <w:rPr>
                      <w:rFonts w:hint="eastAsia" w:ascii="Times New Roman" w:hAnsi="Times New Roman" w:eastAsia="宋体" w:cs="Times New Roman"/>
                      <w:color w:val="auto"/>
                      <w:sz w:val="21"/>
                      <w:szCs w:val="21"/>
                      <w:lang w:eastAsia="zh-CN"/>
                    </w:rPr>
                    <w:t>量（</w:t>
                  </w: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eastAsia="zh-CN"/>
                    </w:rPr>
                    <w:t>）</w:t>
                  </w:r>
                </w:p>
              </w:tc>
              <w:tc>
                <w:tcPr>
                  <w:tcW w:w="1162" w:type="pct"/>
                  <w:tcBorders>
                    <w:tl2br w:val="nil"/>
                    <w:tr2bl w:val="nil"/>
                  </w:tcBorders>
                  <w:vAlign w:val="center"/>
                </w:tcPr>
                <w:p w14:paraId="52EB6C9B">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19.0</w:t>
                  </w:r>
                </w:p>
              </w:tc>
              <w:tc>
                <w:tcPr>
                  <w:tcW w:w="1162" w:type="pct"/>
                  <w:tcBorders>
                    <w:tl2br w:val="nil"/>
                    <w:tr2bl w:val="nil"/>
                  </w:tcBorders>
                  <w:vAlign w:val="center"/>
                </w:tcPr>
                <w:p w14:paraId="655CB28D">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19.2</w:t>
                  </w:r>
                </w:p>
              </w:tc>
              <w:tc>
                <w:tcPr>
                  <w:tcW w:w="1167" w:type="pct"/>
                  <w:tcBorders>
                    <w:tl2br w:val="nil"/>
                    <w:tr2bl w:val="nil"/>
                  </w:tcBorders>
                  <w:vAlign w:val="center"/>
                </w:tcPr>
                <w:p w14:paraId="543A1774">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19.2</w:t>
                  </w:r>
                </w:p>
              </w:tc>
            </w:tr>
            <w:tr w14:paraId="63D12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3AB193FC">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标干流量（Nm</w:t>
                  </w:r>
                  <w:r>
                    <w:rPr>
                      <w:rFonts w:ascii="Times New Roman" w:hAnsi="Times New Roman" w:eastAsia="宋体" w:cs="Times New Roman"/>
                      <w:color w:val="auto"/>
                      <w:sz w:val="21"/>
                      <w:szCs w:val="21"/>
                      <w:vertAlign w:val="superscript"/>
                    </w:rPr>
                    <w:t>3</w:t>
                  </w:r>
                  <w:r>
                    <w:rPr>
                      <w:rFonts w:ascii="Times New Roman" w:hAnsi="Times New Roman" w:eastAsia="宋体" w:cs="Times New Roman"/>
                      <w:color w:val="auto"/>
                      <w:sz w:val="21"/>
                      <w:szCs w:val="21"/>
                    </w:rPr>
                    <w:t>/h）</w:t>
                  </w:r>
                </w:p>
              </w:tc>
              <w:tc>
                <w:tcPr>
                  <w:tcW w:w="1162" w:type="pct"/>
                  <w:tcBorders>
                    <w:tl2br w:val="nil"/>
                    <w:tr2bl w:val="nil"/>
                  </w:tcBorders>
                  <w:vAlign w:val="center"/>
                </w:tcPr>
                <w:p w14:paraId="021100FA">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2851</w:t>
                  </w:r>
                </w:p>
              </w:tc>
              <w:tc>
                <w:tcPr>
                  <w:tcW w:w="1162" w:type="pct"/>
                  <w:tcBorders>
                    <w:tl2br w:val="nil"/>
                    <w:tr2bl w:val="nil"/>
                  </w:tcBorders>
                  <w:vAlign w:val="center"/>
                </w:tcPr>
                <w:p w14:paraId="5FC0A55F">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2926</w:t>
                  </w:r>
                </w:p>
              </w:tc>
              <w:tc>
                <w:tcPr>
                  <w:tcW w:w="1167" w:type="pct"/>
                  <w:tcBorders>
                    <w:tl2br w:val="nil"/>
                    <w:tr2bl w:val="nil"/>
                  </w:tcBorders>
                  <w:vAlign w:val="center"/>
                </w:tcPr>
                <w:p w14:paraId="4B93660C">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2988</w:t>
                  </w:r>
                </w:p>
              </w:tc>
            </w:tr>
            <w:tr w14:paraId="3108D5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7A3FA0BE">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样品编号</w:t>
                  </w:r>
                </w:p>
              </w:tc>
              <w:tc>
                <w:tcPr>
                  <w:tcW w:w="1162" w:type="pct"/>
                  <w:tcBorders>
                    <w:tl2br w:val="nil"/>
                    <w:tr2bl w:val="nil"/>
                  </w:tcBorders>
                  <w:vAlign w:val="center"/>
                </w:tcPr>
                <w:p w14:paraId="79EC05AC">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Q2601083028</w:t>
                  </w:r>
                </w:p>
              </w:tc>
              <w:tc>
                <w:tcPr>
                  <w:tcW w:w="1162" w:type="pct"/>
                  <w:tcBorders>
                    <w:tl2br w:val="nil"/>
                    <w:tr2bl w:val="nil"/>
                  </w:tcBorders>
                  <w:vAlign w:val="center"/>
                </w:tcPr>
                <w:p w14:paraId="1FB6DC56">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Q2601083029</w:t>
                  </w:r>
                </w:p>
              </w:tc>
              <w:tc>
                <w:tcPr>
                  <w:tcW w:w="1167" w:type="pct"/>
                  <w:tcBorders>
                    <w:tl2br w:val="nil"/>
                    <w:tr2bl w:val="nil"/>
                  </w:tcBorders>
                  <w:vAlign w:val="center"/>
                </w:tcPr>
                <w:p w14:paraId="0A396F86">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Q2601083030</w:t>
                  </w:r>
                </w:p>
              </w:tc>
            </w:tr>
            <w:tr w14:paraId="702737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05CF4E8E">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颗粒物</w:t>
                  </w:r>
                  <w:r>
                    <w:rPr>
                      <w:rFonts w:ascii="Times New Roman" w:hAnsi="Times New Roman" w:eastAsia="宋体" w:cs="Times New Roman"/>
                      <w:color w:val="auto"/>
                      <w:sz w:val="21"/>
                      <w:szCs w:val="21"/>
                    </w:rPr>
                    <w:t>排放浓度（mg/m</w:t>
                  </w:r>
                  <w:r>
                    <w:rPr>
                      <w:rFonts w:ascii="Times New Roman" w:hAnsi="Times New Roman" w:eastAsia="宋体" w:cs="Times New Roman"/>
                      <w:color w:val="auto"/>
                      <w:sz w:val="21"/>
                      <w:szCs w:val="21"/>
                      <w:vertAlign w:val="superscript"/>
                    </w:rPr>
                    <w:t>3</w:t>
                  </w:r>
                  <w:r>
                    <w:rPr>
                      <w:rFonts w:ascii="Times New Roman" w:hAnsi="Times New Roman" w:eastAsia="宋体" w:cs="Times New Roman"/>
                      <w:color w:val="auto"/>
                      <w:sz w:val="21"/>
                      <w:szCs w:val="21"/>
                    </w:rPr>
                    <w:t>）</w:t>
                  </w:r>
                </w:p>
              </w:tc>
              <w:tc>
                <w:tcPr>
                  <w:tcW w:w="1162" w:type="pct"/>
                  <w:tcBorders>
                    <w:tl2br w:val="nil"/>
                    <w:tr2bl w:val="nil"/>
                  </w:tcBorders>
                  <w:vAlign w:val="center"/>
                </w:tcPr>
                <w:p w14:paraId="4BB48BD6">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p>
              </w:tc>
              <w:tc>
                <w:tcPr>
                  <w:tcW w:w="1162" w:type="pct"/>
                  <w:tcBorders>
                    <w:tl2br w:val="nil"/>
                    <w:tr2bl w:val="nil"/>
                  </w:tcBorders>
                  <w:vAlign w:val="center"/>
                </w:tcPr>
                <w:p w14:paraId="6D715ABA">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w:t>
                  </w:r>
                </w:p>
              </w:tc>
              <w:tc>
                <w:tcPr>
                  <w:tcW w:w="1167" w:type="pct"/>
                  <w:tcBorders>
                    <w:tl2br w:val="nil"/>
                    <w:tr2bl w:val="nil"/>
                  </w:tcBorders>
                  <w:vAlign w:val="center"/>
                </w:tcPr>
                <w:p w14:paraId="321F26B7">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w:t>
                  </w:r>
                </w:p>
              </w:tc>
            </w:tr>
            <w:tr w14:paraId="57DDB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4A9C88F3">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颗粒物折算</w:t>
                  </w:r>
                  <w:r>
                    <w:rPr>
                      <w:rFonts w:ascii="Times New Roman" w:hAnsi="Times New Roman" w:eastAsia="宋体" w:cs="Times New Roman"/>
                      <w:color w:val="auto"/>
                      <w:sz w:val="21"/>
                      <w:szCs w:val="21"/>
                    </w:rPr>
                    <w:t>浓度（mg/m</w:t>
                  </w:r>
                  <w:r>
                    <w:rPr>
                      <w:rFonts w:ascii="Times New Roman" w:hAnsi="Times New Roman" w:eastAsia="宋体" w:cs="Times New Roman"/>
                      <w:color w:val="auto"/>
                      <w:sz w:val="21"/>
                      <w:szCs w:val="21"/>
                      <w:vertAlign w:val="superscript"/>
                    </w:rPr>
                    <w:t>3</w:t>
                  </w:r>
                  <w:r>
                    <w:rPr>
                      <w:rFonts w:ascii="Times New Roman" w:hAnsi="Times New Roman" w:eastAsia="宋体" w:cs="Times New Roman"/>
                      <w:color w:val="auto"/>
                      <w:sz w:val="21"/>
                      <w:szCs w:val="21"/>
                    </w:rPr>
                    <w:t>）</w:t>
                  </w:r>
                </w:p>
              </w:tc>
              <w:tc>
                <w:tcPr>
                  <w:tcW w:w="1162" w:type="pct"/>
                  <w:tcBorders>
                    <w:tl2br w:val="nil"/>
                    <w:tr2bl w:val="nil"/>
                  </w:tcBorders>
                  <w:vAlign w:val="center"/>
                </w:tcPr>
                <w:p w14:paraId="24D9B047">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3.6 </w:t>
                  </w:r>
                </w:p>
              </w:tc>
              <w:tc>
                <w:tcPr>
                  <w:tcW w:w="1162" w:type="pct"/>
                  <w:tcBorders>
                    <w:tl2br w:val="nil"/>
                    <w:tr2bl w:val="nil"/>
                  </w:tcBorders>
                  <w:vAlign w:val="center"/>
                </w:tcPr>
                <w:p w14:paraId="7A571A1D">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4.3 </w:t>
                  </w:r>
                </w:p>
              </w:tc>
              <w:tc>
                <w:tcPr>
                  <w:tcW w:w="1167" w:type="pct"/>
                  <w:tcBorders>
                    <w:tl2br w:val="nil"/>
                    <w:tr2bl w:val="nil"/>
                  </w:tcBorders>
                  <w:vAlign w:val="center"/>
                </w:tcPr>
                <w:p w14:paraId="6C23C135">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3.7 </w:t>
                  </w:r>
                </w:p>
              </w:tc>
            </w:tr>
            <w:tr w14:paraId="2F00CA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2A379985">
                  <w:pPr>
                    <w:keepNext w:val="0"/>
                    <w:keepLines w:val="0"/>
                    <w:pageBreakBefore w:val="0"/>
                    <w:widowControl/>
                    <w:tabs>
                      <w:tab w:val="left" w:pos="7020"/>
                    </w:tabs>
                    <w:kinsoku/>
                    <w:wordWrap/>
                    <w:overflowPunct/>
                    <w:topLinePunct w:val="0"/>
                    <w:autoSpaceDE/>
                    <w:autoSpaceDN/>
                    <w:bidi w:val="0"/>
                    <w:spacing w:after="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颗粒物</w:t>
                  </w:r>
                  <w:r>
                    <w:rPr>
                      <w:rFonts w:ascii="Times New Roman" w:hAnsi="Times New Roman" w:eastAsia="宋体" w:cs="Times New Roman"/>
                      <w:color w:val="auto"/>
                      <w:sz w:val="21"/>
                      <w:szCs w:val="21"/>
                      <w:highlight w:val="none"/>
                    </w:rPr>
                    <w:t>排放速率（kg/h）</w:t>
                  </w:r>
                </w:p>
              </w:tc>
              <w:tc>
                <w:tcPr>
                  <w:tcW w:w="1162" w:type="pct"/>
                  <w:tcBorders>
                    <w:tl2br w:val="nil"/>
                    <w:tr2bl w:val="nil"/>
                  </w:tcBorders>
                  <w:vAlign w:val="center"/>
                </w:tcPr>
                <w:p w14:paraId="49528773">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0.007 </w:t>
                  </w:r>
                </w:p>
              </w:tc>
              <w:tc>
                <w:tcPr>
                  <w:tcW w:w="1162" w:type="pct"/>
                  <w:tcBorders>
                    <w:tl2br w:val="nil"/>
                    <w:tr2bl w:val="nil"/>
                  </w:tcBorders>
                  <w:vAlign w:val="center"/>
                </w:tcPr>
                <w:p w14:paraId="67797BE5">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0.008 </w:t>
                  </w:r>
                </w:p>
              </w:tc>
              <w:tc>
                <w:tcPr>
                  <w:tcW w:w="1167" w:type="pct"/>
                  <w:tcBorders>
                    <w:tl2br w:val="nil"/>
                    <w:tr2bl w:val="nil"/>
                  </w:tcBorders>
                  <w:vAlign w:val="center"/>
                </w:tcPr>
                <w:p w14:paraId="08543BEC">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0.007 </w:t>
                  </w:r>
                </w:p>
              </w:tc>
            </w:tr>
            <w:tr w14:paraId="332DB1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4DBBEEB6">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二氧化硫</w:t>
                  </w:r>
                  <w:r>
                    <w:rPr>
                      <w:rFonts w:ascii="Times New Roman" w:hAnsi="Times New Roman" w:eastAsia="宋体" w:cs="Times New Roman"/>
                      <w:color w:val="auto"/>
                      <w:sz w:val="21"/>
                      <w:szCs w:val="21"/>
                    </w:rPr>
                    <w:t>排放浓度（mg/m</w:t>
                  </w:r>
                  <w:r>
                    <w:rPr>
                      <w:rFonts w:ascii="Times New Roman" w:hAnsi="Times New Roman" w:eastAsia="宋体" w:cs="Times New Roman"/>
                      <w:color w:val="auto"/>
                      <w:sz w:val="21"/>
                      <w:szCs w:val="21"/>
                      <w:vertAlign w:val="superscript"/>
                    </w:rPr>
                    <w:t>3</w:t>
                  </w:r>
                  <w:r>
                    <w:rPr>
                      <w:rFonts w:ascii="Times New Roman" w:hAnsi="Times New Roman" w:eastAsia="宋体" w:cs="Times New Roman"/>
                      <w:color w:val="auto"/>
                      <w:sz w:val="21"/>
                      <w:szCs w:val="21"/>
                    </w:rPr>
                    <w:t>）</w:t>
                  </w:r>
                </w:p>
              </w:tc>
              <w:tc>
                <w:tcPr>
                  <w:tcW w:w="1162" w:type="pct"/>
                  <w:tcBorders>
                    <w:tl2br w:val="nil"/>
                    <w:tr2bl w:val="nil"/>
                  </w:tcBorders>
                  <w:vAlign w:val="center"/>
                </w:tcPr>
                <w:p w14:paraId="7E760778">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162" w:type="pct"/>
                  <w:tcBorders>
                    <w:tl2br w:val="nil"/>
                    <w:tr2bl w:val="nil"/>
                  </w:tcBorders>
                  <w:vAlign w:val="center"/>
                </w:tcPr>
                <w:p w14:paraId="2949FC7F">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167" w:type="pct"/>
                  <w:tcBorders>
                    <w:tl2br w:val="nil"/>
                    <w:tr2bl w:val="nil"/>
                  </w:tcBorders>
                  <w:vAlign w:val="center"/>
                </w:tcPr>
                <w:p w14:paraId="4B2F51C4">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r>
            <w:tr w14:paraId="715E2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21E2E837">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二氧化硫折算</w:t>
                  </w:r>
                  <w:r>
                    <w:rPr>
                      <w:rFonts w:ascii="Times New Roman" w:hAnsi="Times New Roman" w:eastAsia="宋体" w:cs="Times New Roman"/>
                      <w:color w:val="auto"/>
                      <w:sz w:val="21"/>
                      <w:szCs w:val="21"/>
                    </w:rPr>
                    <w:t>浓度（mg/m</w:t>
                  </w:r>
                  <w:r>
                    <w:rPr>
                      <w:rFonts w:ascii="Times New Roman" w:hAnsi="Times New Roman" w:eastAsia="宋体" w:cs="Times New Roman"/>
                      <w:color w:val="auto"/>
                      <w:sz w:val="21"/>
                      <w:szCs w:val="21"/>
                      <w:vertAlign w:val="superscript"/>
                    </w:rPr>
                    <w:t>3</w:t>
                  </w:r>
                  <w:r>
                    <w:rPr>
                      <w:rFonts w:ascii="Times New Roman" w:hAnsi="Times New Roman" w:eastAsia="宋体" w:cs="Times New Roman"/>
                      <w:color w:val="auto"/>
                      <w:sz w:val="21"/>
                      <w:szCs w:val="21"/>
                    </w:rPr>
                    <w:t>）</w:t>
                  </w:r>
                </w:p>
              </w:tc>
              <w:tc>
                <w:tcPr>
                  <w:tcW w:w="1162" w:type="pct"/>
                  <w:tcBorders>
                    <w:tl2br w:val="nil"/>
                    <w:tr2bl w:val="nil"/>
                  </w:tcBorders>
                  <w:vAlign w:val="center"/>
                </w:tcPr>
                <w:p w14:paraId="65DB69A7">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162" w:type="pct"/>
                  <w:tcBorders>
                    <w:tl2br w:val="nil"/>
                    <w:tr2bl w:val="nil"/>
                  </w:tcBorders>
                  <w:vAlign w:val="center"/>
                </w:tcPr>
                <w:p w14:paraId="4F248500">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c>
                <w:tcPr>
                  <w:tcW w:w="1167" w:type="pct"/>
                  <w:tcBorders>
                    <w:tl2br w:val="nil"/>
                    <w:tr2bl w:val="nil"/>
                  </w:tcBorders>
                  <w:vAlign w:val="center"/>
                </w:tcPr>
                <w:p w14:paraId="2DFB88A6">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ND</w:t>
                  </w:r>
                </w:p>
              </w:tc>
            </w:tr>
            <w:tr w14:paraId="57896E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4981C218">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二氧化硫</w:t>
                  </w:r>
                  <w:r>
                    <w:rPr>
                      <w:rFonts w:ascii="Times New Roman" w:hAnsi="Times New Roman" w:eastAsia="宋体" w:cs="Times New Roman"/>
                      <w:color w:val="auto"/>
                      <w:sz w:val="21"/>
                      <w:szCs w:val="21"/>
                      <w:highlight w:val="none"/>
                    </w:rPr>
                    <w:t>排放速率（kg/h）</w:t>
                  </w:r>
                </w:p>
              </w:tc>
              <w:tc>
                <w:tcPr>
                  <w:tcW w:w="1162" w:type="pct"/>
                  <w:tcBorders>
                    <w:tl2br w:val="nil"/>
                    <w:tr2bl w:val="nil"/>
                  </w:tcBorders>
                  <w:vAlign w:val="center"/>
                </w:tcPr>
                <w:p w14:paraId="368749FF">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162" w:type="pct"/>
                  <w:tcBorders>
                    <w:tl2br w:val="nil"/>
                    <w:tr2bl w:val="nil"/>
                  </w:tcBorders>
                  <w:vAlign w:val="center"/>
                </w:tcPr>
                <w:p w14:paraId="21A078FA">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167" w:type="pct"/>
                  <w:tcBorders>
                    <w:tl2br w:val="nil"/>
                    <w:tr2bl w:val="nil"/>
                  </w:tcBorders>
                  <w:vAlign w:val="center"/>
                </w:tcPr>
                <w:p w14:paraId="33FEBD1B">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0FC8C7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779738A4">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氮氧化物</w:t>
                  </w:r>
                  <w:r>
                    <w:rPr>
                      <w:rFonts w:ascii="Times New Roman" w:hAnsi="Times New Roman" w:eastAsia="宋体" w:cs="Times New Roman"/>
                      <w:color w:val="auto"/>
                      <w:sz w:val="21"/>
                      <w:szCs w:val="21"/>
                    </w:rPr>
                    <w:t>排放浓度（mg/m</w:t>
                  </w:r>
                  <w:r>
                    <w:rPr>
                      <w:rFonts w:ascii="Times New Roman" w:hAnsi="Times New Roman" w:eastAsia="宋体" w:cs="Times New Roman"/>
                      <w:color w:val="auto"/>
                      <w:sz w:val="21"/>
                      <w:szCs w:val="21"/>
                      <w:vertAlign w:val="superscript"/>
                    </w:rPr>
                    <w:t>3</w:t>
                  </w:r>
                  <w:r>
                    <w:rPr>
                      <w:rFonts w:ascii="Times New Roman" w:hAnsi="Times New Roman" w:eastAsia="宋体" w:cs="Times New Roman"/>
                      <w:color w:val="auto"/>
                      <w:sz w:val="21"/>
                      <w:szCs w:val="21"/>
                    </w:rPr>
                    <w:t>）</w:t>
                  </w:r>
                </w:p>
              </w:tc>
              <w:tc>
                <w:tcPr>
                  <w:tcW w:w="1162" w:type="pct"/>
                  <w:tcBorders>
                    <w:tl2br w:val="nil"/>
                    <w:tr2bl w:val="nil"/>
                  </w:tcBorders>
                  <w:vAlign w:val="center"/>
                </w:tcPr>
                <w:p w14:paraId="232025AA">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w:t>
                  </w:r>
                </w:p>
              </w:tc>
              <w:tc>
                <w:tcPr>
                  <w:tcW w:w="1162" w:type="pct"/>
                  <w:tcBorders>
                    <w:tl2br w:val="nil"/>
                    <w:tr2bl w:val="nil"/>
                  </w:tcBorders>
                  <w:vAlign w:val="center"/>
                </w:tcPr>
                <w:p w14:paraId="22042BD1">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w:t>
                  </w:r>
                </w:p>
              </w:tc>
              <w:tc>
                <w:tcPr>
                  <w:tcW w:w="1167" w:type="pct"/>
                  <w:tcBorders>
                    <w:tl2br w:val="nil"/>
                    <w:tr2bl w:val="nil"/>
                  </w:tcBorders>
                  <w:vAlign w:val="center"/>
                </w:tcPr>
                <w:p w14:paraId="28E02828">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p>
              </w:tc>
            </w:tr>
            <w:tr w14:paraId="71B7BB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304D4652">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氮氧化物折算</w:t>
                  </w:r>
                  <w:r>
                    <w:rPr>
                      <w:rFonts w:ascii="Times New Roman" w:hAnsi="Times New Roman" w:eastAsia="宋体" w:cs="Times New Roman"/>
                      <w:color w:val="auto"/>
                      <w:sz w:val="21"/>
                      <w:szCs w:val="21"/>
                    </w:rPr>
                    <w:t>浓度（mg/m</w:t>
                  </w:r>
                  <w:r>
                    <w:rPr>
                      <w:rFonts w:ascii="Times New Roman" w:hAnsi="Times New Roman" w:eastAsia="宋体" w:cs="Times New Roman"/>
                      <w:color w:val="auto"/>
                      <w:sz w:val="21"/>
                      <w:szCs w:val="21"/>
                      <w:vertAlign w:val="superscript"/>
                    </w:rPr>
                    <w:t>3</w:t>
                  </w:r>
                  <w:r>
                    <w:rPr>
                      <w:rFonts w:ascii="Times New Roman" w:hAnsi="Times New Roman" w:eastAsia="宋体" w:cs="Times New Roman"/>
                      <w:color w:val="auto"/>
                      <w:sz w:val="21"/>
                      <w:szCs w:val="21"/>
                    </w:rPr>
                    <w:t>）</w:t>
                  </w:r>
                </w:p>
              </w:tc>
              <w:tc>
                <w:tcPr>
                  <w:tcW w:w="1162" w:type="pct"/>
                  <w:tcBorders>
                    <w:tl2br w:val="nil"/>
                    <w:tr2bl w:val="nil"/>
                  </w:tcBorders>
                  <w:vAlign w:val="center"/>
                </w:tcPr>
                <w:p w14:paraId="502BFB3F">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21 </w:t>
                  </w:r>
                </w:p>
              </w:tc>
              <w:tc>
                <w:tcPr>
                  <w:tcW w:w="1162" w:type="pct"/>
                  <w:tcBorders>
                    <w:tl2br w:val="nil"/>
                    <w:tr2bl w:val="nil"/>
                  </w:tcBorders>
                  <w:vAlign w:val="center"/>
                </w:tcPr>
                <w:p w14:paraId="4D64BEA3">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27 </w:t>
                  </w:r>
                </w:p>
              </w:tc>
              <w:tc>
                <w:tcPr>
                  <w:tcW w:w="1167" w:type="pct"/>
                  <w:tcBorders>
                    <w:tl2br w:val="nil"/>
                    <w:tr2bl w:val="nil"/>
                  </w:tcBorders>
                  <w:vAlign w:val="center"/>
                </w:tcPr>
                <w:p w14:paraId="4311758E">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22 </w:t>
                  </w:r>
                </w:p>
              </w:tc>
            </w:tr>
            <w:tr w14:paraId="222BC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188FA134">
                  <w:pPr>
                    <w:keepNext w:val="0"/>
                    <w:keepLines w:val="0"/>
                    <w:pageBreakBefore w:val="0"/>
                    <w:widowControl/>
                    <w:tabs>
                      <w:tab w:val="left" w:pos="7020"/>
                    </w:tabs>
                    <w:kinsoku/>
                    <w:wordWrap/>
                    <w:overflowPunct/>
                    <w:topLinePunct w:val="0"/>
                    <w:autoSpaceDE/>
                    <w:autoSpaceDN/>
                    <w:bidi w:val="0"/>
                    <w:spacing w:after="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氮氧化物</w:t>
                  </w:r>
                  <w:r>
                    <w:rPr>
                      <w:rFonts w:ascii="Times New Roman" w:hAnsi="Times New Roman" w:eastAsia="宋体" w:cs="Times New Roman"/>
                      <w:color w:val="auto"/>
                      <w:sz w:val="21"/>
                      <w:szCs w:val="21"/>
                      <w:highlight w:val="none"/>
                    </w:rPr>
                    <w:t>排放速率（kg/h）</w:t>
                  </w:r>
                </w:p>
              </w:tc>
              <w:tc>
                <w:tcPr>
                  <w:tcW w:w="1162" w:type="pct"/>
                  <w:tcBorders>
                    <w:tl2br w:val="nil"/>
                    <w:tr2bl w:val="nil"/>
                  </w:tcBorders>
                  <w:vAlign w:val="center"/>
                </w:tcPr>
                <w:p w14:paraId="25F82FED">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0.040 </w:t>
                  </w:r>
                </w:p>
              </w:tc>
              <w:tc>
                <w:tcPr>
                  <w:tcW w:w="1162" w:type="pct"/>
                  <w:tcBorders>
                    <w:tl2br w:val="nil"/>
                    <w:tr2bl w:val="nil"/>
                  </w:tcBorders>
                  <w:vAlign w:val="center"/>
                </w:tcPr>
                <w:p w14:paraId="0224C8CC">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0.047 </w:t>
                  </w:r>
                </w:p>
              </w:tc>
              <w:tc>
                <w:tcPr>
                  <w:tcW w:w="1167" w:type="pct"/>
                  <w:tcBorders>
                    <w:tl2br w:val="nil"/>
                    <w:tr2bl w:val="nil"/>
                  </w:tcBorders>
                  <w:vAlign w:val="center"/>
                </w:tcPr>
                <w:p w14:paraId="3F1A5CE1">
                  <w:pPr>
                    <w:keepNext w:val="0"/>
                    <w:keepLines w:val="0"/>
                    <w:pageBreakBefore w:val="0"/>
                    <w:widowControl/>
                    <w:tabs>
                      <w:tab w:val="left" w:pos="7020"/>
                    </w:tabs>
                    <w:kinsoku/>
                    <w:wordWrap/>
                    <w:overflowPunct/>
                    <w:topLinePunct w:val="0"/>
                    <w:autoSpaceDE/>
                    <w:autoSpaceDN/>
                    <w:bidi w:val="0"/>
                    <w:spacing w:after="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0.039 </w:t>
                  </w:r>
                </w:p>
              </w:tc>
            </w:tr>
            <w:tr w14:paraId="4BCAB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506" w:type="pct"/>
                  <w:tcBorders>
                    <w:tl2br w:val="nil"/>
                    <w:tr2bl w:val="nil"/>
                  </w:tcBorders>
                  <w:vAlign w:val="center"/>
                </w:tcPr>
                <w:p w14:paraId="1064B93C">
                  <w:pPr>
                    <w:keepNext w:val="0"/>
                    <w:keepLines w:val="0"/>
                    <w:pageBreakBefore w:val="0"/>
                    <w:widowControl/>
                    <w:kinsoku/>
                    <w:wordWrap/>
                    <w:overflowPunct/>
                    <w:topLinePunct w:val="0"/>
                    <w:autoSpaceDE/>
                    <w:autoSpaceDN/>
                    <w:bidi w:val="0"/>
                    <w:spacing w:after="0"/>
                    <w:jc w:val="center"/>
                    <w:textAlignment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烟气黑度（级）</w:t>
                  </w:r>
                </w:p>
              </w:tc>
              <w:tc>
                <w:tcPr>
                  <w:tcW w:w="1162" w:type="pct"/>
                  <w:tcBorders>
                    <w:tl2br w:val="nil"/>
                    <w:tr2bl w:val="nil"/>
                  </w:tcBorders>
                  <w:vAlign w:val="center"/>
                </w:tcPr>
                <w:p w14:paraId="18CEBF91">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&lt;1</w:t>
                  </w:r>
                </w:p>
              </w:tc>
              <w:tc>
                <w:tcPr>
                  <w:tcW w:w="1162" w:type="pct"/>
                  <w:tcBorders>
                    <w:tl2br w:val="nil"/>
                    <w:tr2bl w:val="nil"/>
                  </w:tcBorders>
                  <w:vAlign w:val="center"/>
                </w:tcPr>
                <w:p w14:paraId="08EA723C">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&lt;1</w:t>
                  </w:r>
                </w:p>
              </w:tc>
              <w:tc>
                <w:tcPr>
                  <w:tcW w:w="1167" w:type="pct"/>
                  <w:tcBorders>
                    <w:tl2br w:val="nil"/>
                    <w:tr2bl w:val="nil"/>
                  </w:tcBorders>
                  <w:vAlign w:val="center"/>
                </w:tcPr>
                <w:p w14:paraId="13C70017">
                  <w:pPr>
                    <w:keepNext w:val="0"/>
                    <w:keepLines w:val="0"/>
                    <w:pageBreakBefore w:val="0"/>
                    <w:widowControl/>
                    <w:kinsoku/>
                    <w:wordWrap/>
                    <w:overflowPunct/>
                    <w:topLinePunct w:val="0"/>
                    <w:autoSpaceDE/>
                    <w:autoSpaceDN/>
                    <w:bidi w:val="0"/>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&lt;1</w:t>
                  </w:r>
                </w:p>
              </w:tc>
            </w:tr>
          </w:tbl>
          <w:p w14:paraId="3745C7DF">
            <w:pPr>
              <w:widowControl/>
              <w:adjustRightInd w:val="0"/>
              <w:snapToGrid w:val="0"/>
              <w:spacing w:line="360" w:lineRule="auto"/>
              <w:ind w:firstLine="480" w:firstLineChars="200"/>
              <w:rPr>
                <w:rFonts w:hint="eastAsia" w:ascii="Times New Roman" w:hAnsi="Times New Roman" w:eastAsia="宋体" w:cs="Times New Roman"/>
                <w:color w:val="auto"/>
                <w:sz w:val="21"/>
                <w:szCs w:val="21"/>
                <w:highlight w:val="yellow"/>
                <w:lang w:eastAsia="zh-CN"/>
              </w:rPr>
            </w:pPr>
            <w:r>
              <w:rPr>
                <w:rFonts w:hint="default" w:ascii="Times New Roman" w:hAnsi="Times New Roman" w:eastAsia="宋体" w:cs="Times New Roman"/>
                <w:b w:val="0"/>
                <w:bCs w:val="0"/>
                <w:color w:val="auto"/>
                <w:sz w:val="24"/>
                <w:szCs w:val="24"/>
                <w:highlight w:val="none"/>
                <w:lang w:val="en-US" w:eastAsia="zh-CN"/>
              </w:rPr>
              <w:t>上表可知：</w:t>
            </w:r>
            <w:r>
              <w:rPr>
                <w:rFonts w:hint="default" w:ascii="Times New Roman" w:hAnsi="Times New Roman" w:cs="Times New Roman"/>
                <w:b w:val="0"/>
                <w:bCs w:val="0"/>
                <w:color w:val="auto"/>
                <w:sz w:val="24"/>
                <w:szCs w:val="24"/>
                <w:highlight w:val="none"/>
                <w:lang w:val="en-US" w:eastAsia="zh-CN"/>
              </w:rPr>
              <w:t>有</w:t>
            </w:r>
            <w:r>
              <w:rPr>
                <w:rFonts w:hint="default" w:ascii="Times New Roman" w:hAnsi="Times New Roman" w:eastAsia="宋体" w:cs="Times New Roman"/>
                <w:b w:val="0"/>
                <w:bCs w:val="0"/>
                <w:color w:val="auto"/>
                <w:sz w:val="24"/>
                <w:szCs w:val="24"/>
                <w:highlight w:val="none"/>
                <w:lang w:val="en-US" w:eastAsia="zh-CN"/>
              </w:rPr>
              <w:t>组织</w:t>
            </w:r>
            <w:r>
              <w:rPr>
                <w:rFonts w:hint="default" w:ascii="Times New Roman" w:hAnsi="Times New Roman" w:cs="Times New Roman"/>
                <w:b w:val="0"/>
                <w:bCs w:val="0"/>
                <w:color w:val="auto"/>
                <w:sz w:val="24"/>
                <w:szCs w:val="24"/>
                <w:highlight w:val="none"/>
                <w:lang w:val="en-US" w:eastAsia="zh-CN"/>
              </w:rPr>
              <w:t>颗粒物、二氧化硫、氮氧化物排放浓度满足《区域性大气污染物综合排放标准》（DB37/2376-2019）中表1</w:t>
            </w:r>
            <w:r>
              <w:rPr>
                <w:rFonts w:hint="default" w:ascii="Times New Roman" w:hAnsi="Times New Roman" w:cs="Times New Roman"/>
                <w:color w:val="auto"/>
                <w:sz w:val="24"/>
                <w:szCs w:val="24"/>
                <w:highlight w:val="none"/>
              </w:rPr>
              <w:t>“重点控制区”大气污染物排放浓度限值（颗粒物10mg/m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、二氧化硫50mg/m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、氮氧化物100mg/m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烟气黑度</w:t>
            </w:r>
            <w:r>
              <w:rPr>
                <w:rFonts w:hint="eastAsia" w:ascii="Times New Roman" w:hAnsi="Times New Roman" w:cs="Times New Roman"/>
                <w:color w:val="auto"/>
                <w:sz w:val="24"/>
                <w:szCs w:val="24"/>
                <w:highlight w:val="none"/>
                <w:lang w:val="en-US" w:eastAsia="zh-CN"/>
              </w:rPr>
              <w:t>满足</w:t>
            </w:r>
            <w:r>
              <w:rPr>
                <w:rFonts w:hint="default" w:ascii="Times New Roman" w:hAnsi="Times New Roman" w:cs="Times New Roman"/>
                <w:color w:val="auto"/>
                <w:sz w:val="24"/>
                <w:szCs w:val="24"/>
                <w:highlight w:val="none"/>
              </w:rPr>
              <w:t>《工业炉窑大气污染物排放标准》(DB37/2375-2019)标准要求(烟气黑度：1.0级)</w:t>
            </w:r>
            <w:r>
              <w:rPr>
                <w:rFonts w:hint="eastAsia" w:ascii="Times New Roman" w:hAnsi="Times New Roman" w:cs="Times New Roman"/>
                <w:color w:val="auto"/>
                <w:sz w:val="24"/>
                <w:szCs w:val="24"/>
                <w:highlight w:val="none"/>
                <w:lang w:eastAsia="zh-CN"/>
              </w:rPr>
              <w:t>。</w:t>
            </w:r>
          </w:p>
          <w:p w14:paraId="5A57F00B">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表2-10 项目无组织废气检测结果表</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2"/>
              <w:gridCol w:w="1292"/>
              <w:gridCol w:w="1385"/>
              <w:gridCol w:w="1735"/>
              <w:gridCol w:w="2108"/>
            </w:tblGrid>
            <w:tr w14:paraId="19C370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tcBorders>
                    <w:tl2br w:val="nil"/>
                    <w:tr2bl w:val="nil"/>
                  </w:tcBorders>
                  <w:vAlign w:val="center"/>
                </w:tcPr>
                <w:p w14:paraId="1EF97AA4">
                  <w:pPr>
                    <w:widowControl w:val="0"/>
                    <w:spacing w:after="0" w:line="22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检测日期</w:t>
                  </w:r>
                </w:p>
              </w:tc>
              <w:tc>
                <w:tcPr>
                  <w:tcW w:w="820" w:type="pct"/>
                  <w:tcBorders>
                    <w:tl2br w:val="nil"/>
                    <w:tr2bl w:val="nil"/>
                  </w:tcBorders>
                  <w:vAlign w:val="center"/>
                </w:tcPr>
                <w:p w14:paraId="3A35CE8B">
                  <w:pPr>
                    <w:widowControl w:val="0"/>
                    <w:spacing w:after="0" w:line="22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检测项目</w:t>
                  </w:r>
                </w:p>
              </w:tc>
              <w:tc>
                <w:tcPr>
                  <w:tcW w:w="879" w:type="pct"/>
                  <w:tcBorders>
                    <w:tl2br w:val="nil"/>
                    <w:tr2bl w:val="nil"/>
                  </w:tcBorders>
                  <w:vAlign w:val="center"/>
                </w:tcPr>
                <w:p w14:paraId="3AED8C89">
                  <w:pPr>
                    <w:widowControl w:val="0"/>
                    <w:spacing w:after="0" w:line="220" w:lineRule="atLeast"/>
                    <w:jc w:val="center"/>
                    <w:rPr>
                      <w:rFonts w:hint="default" w:ascii="Times New Roman" w:hAnsi="Times New Roman" w:eastAsia="宋体" w:cs="Times New Roman"/>
                      <w:color w:val="auto"/>
                      <w:sz w:val="21"/>
                      <w:szCs w:val="21"/>
                    </w:rPr>
                  </w:pPr>
                  <w:r>
                    <w:rPr>
                      <w:rFonts w:hint="eastAsia" w:ascii="Times New Roman" w:hAnsi="Times New Roman" w:cs="Times New Roman" w:eastAsiaTheme="minorEastAsia"/>
                      <w:color w:val="auto"/>
                      <w:sz w:val="21"/>
                      <w:szCs w:val="21"/>
                      <w:lang w:val="en-US" w:eastAsia="zh-CN"/>
                    </w:rPr>
                    <w:t>检测频次</w:t>
                  </w:r>
                </w:p>
              </w:tc>
              <w:tc>
                <w:tcPr>
                  <w:tcW w:w="1101" w:type="pct"/>
                  <w:tcBorders>
                    <w:tl2br w:val="nil"/>
                    <w:tr2bl w:val="nil"/>
                  </w:tcBorders>
                  <w:vAlign w:val="center"/>
                </w:tcPr>
                <w:p w14:paraId="771F69F6">
                  <w:pPr>
                    <w:widowControl w:val="0"/>
                    <w:spacing w:after="0" w:line="22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检测点位</w:t>
                  </w:r>
                </w:p>
              </w:tc>
              <w:tc>
                <w:tcPr>
                  <w:tcW w:w="1338" w:type="pct"/>
                  <w:tcBorders>
                    <w:tl2br w:val="nil"/>
                    <w:tr2bl w:val="nil"/>
                  </w:tcBorders>
                  <w:vAlign w:val="center"/>
                </w:tcPr>
                <w:p w14:paraId="19D7B2C3">
                  <w:pPr>
                    <w:widowControl w:val="0"/>
                    <w:spacing w:after="0" w:line="220" w:lineRule="atLeas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检测浓度</w:t>
                  </w:r>
                </w:p>
                <w:p w14:paraId="35DCBD19">
                  <w:pPr>
                    <w:widowControl w:val="0"/>
                    <w:spacing w:after="0" w:line="22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default" w:ascii="Times New Roman Greek" w:hAnsi="Times New Roman Greek" w:eastAsia="Times New Roman Greek"/>
                      <w:color w:val="auto"/>
                      <w:sz w:val="21"/>
                      <w:szCs w:val="21"/>
                      <w:lang w:val="en-US"/>
                    </w:rPr>
                    <w:t>µg/m³</w:t>
                  </w:r>
                  <w:r>
                    <w:rPr>
                      <w:rFonts w:hint="default" w:ascii="Times New Roman" w:hAnsi="Times New Roman" w:eastAsia="宋体" w:cs="Times New Roman"/>
                      <w:color w:val="auto"/>
                      <w:sz w:val="21"/>
                      <w:szCs w:val="21"/>
                    </w:rPr>
                    <w:t>）</w:t>
                  </w:r>
                </w:p>
              </w:tc>
            </w:tr>
            <w:tr w14:paraId="2C9A90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restart"/>
                  <w:tcBorders>
                    <w:tl2br w:val="nil"/>
                    <w:tr2bl w:val="nil"/>
                  </w:tcBorders>
                  <w:vAlign w:val="center"/>
                </w:tcPr>
                <w:p w14:paraId="79D2DCE0">
                  <w:pPr>
                    <w:widowControl w:val="0"/>
                    <w:adjustRightInd/>
                    <w:snapToGrid/>
                    <w:spacing w:after="0"/>
                    <w:jc w:val="center"/>
                    <w:rPr>
                      <w:rFonts w:ascii="Times New Roman" w:hAnsi="Times New Roman" w:cs="Times New Roman" w:eastAsiaTheme="minorEastAsia"/>
                      <w:color w:val="auto"/>
                      <w:sz w:val="21"/>
                      <w:szCs w:val="21"/>
                    </w:rPr>
                  </w:pPr>
                  <w:r>
                    <w:rPr>
                      <w:rFonts w:hint="eastAsia" w:ascii="Times New Roman" w:hAnsi="Times New Roman" w:cs="Times New Roman" w:eastAsiaTheme="minorEastAsia"/>
                      <w:color w:val="auto"/>
                      <w:sz w:val="21"/>
                      <w:szCs w:val="21"/>
                      <w:lang w:eastAsia="zh-CN"/>
                    </w:rPr>
                    <w:t>2026年</w:t>
                  </w:r>
                </w:p>
                <w:p w14:paraId="43671F9F">
                  <w:pPr>
                    <w:widowControl w:val="0"/>
                    <w:spacing w:after="0" w:line="220" w:lineRule="atLeast"/>
                    <w:jc w:val="center"/>
                    <w:rPr>
                      <w:rFonts w:hint="default" w:ascii="Times New Roman" w:hAnsi="Times New Roman" w:eastAsia="宋体" w:cs="Times New Roman"/>
                      <w:color w:val="auto"/>
                      <w:sz w:val="21"/>
                      <w:szCs w:val="21"/>
                      <w:lang w:eastAsia="zh-CN"/>
                    </w:rPr>
                  </w:pPr>
                  <w:r>
                    <w:rPr>
                      <w:rFonts w:hint="eastAsia" w:ascii="Times New Roman" w:hAnsi="Times New Roman" w:cs="Times New Roman" w:eastAsiaTheme="minorEastAsia"/>
                      <w:color w:val="auto"/>
                      <w:sz w:val="21"/>
                      <w:szCs w:val="21"/>
                      <w:lang w:eastAsia="zh-CN"/>
                    </w:rPr>
                    <w:t>01月30日</w:t>
                  </w:r>
                </w:p>
              </w:tc>
              <w:tc>
                <w:tcPr>
                  <w:tcW w:w="820" w:type="pct"/>
                  <w:vMerge w:val="restart"/>
                  <w:tcBorders>
                    <w:tl2br w:val="nil"/>
                    <w:tr2bl w:val="nil"/>
                  </w:tcBorders>
                  <w:vAlign w:val="center"/>
                </w:tcPr>
                <w:p w14:paraId="6D710641">
                  <w:pPr>
                    <w:widowControl w:val="0"/>
                    <w:spacing w:after="0" w:line="220" w:lineRule="atLeast"/>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eastAsiaTheme="minorEastAsia"/>
                      <w:color w:val="auto"/>
                      <w:sz w:val="21"/>
                      <w:szCs w:val="21"/>
                      <w:lang w:val="en-US" w:eastAsia="zh-CN"/>
                    </w:rPr>
                    <w:t>颗粒物</w:t>
                  </w:r>
                </w:p>
              </w:tc>
              <w:tc>
                <w:tcPr>
                  <w:tcW w:w="879" w:type="pct"/>
                  <w:vMerge w:val="restart"/>
                  <w:tcBorders>
                    <w:tl2br w:val="nil"/>
                    <w:tr2bl w:val="nil"/>
                  </w:tcBorders>
                  <w:vAlign w:val="center"/>
                </w:tcPr>
                <w:p w14:paraId="3088C52F">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eastAsiaTheme="minorEastAsia"/>
                      <w:color w:val="auto"/>
                      <w:sz w:val="21"/>
                      <w:szCs w:val="21"/>
                      <w:lang w:val="en-US" w:eastAsia="zh-CN"/>
                    </w:rPr>
                    <w:t>第一次</w:t>
                  </w:r>
                </w:p>
              </w:tc>
              <w:tc>
                <w:tcPr>
                  <w:tcW w:w="1101" w:type="pct"/>
                  <w:tcBorders>
                    <w:tl2br w:val="nil"/>
                    <w:tr2bl w:val="nil"/>
                  </w:tcBorders>
                  <w:vAlign w:val="center"/>
                </w:tcPr>
                <w:p w14:paraId="367D36D2">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上风向1#</w:t>
                  </w:r>
                </w:p>
              </w:tc>
              <w:tc>
                <w:tcPr>
                  <w:tcW w:w="1338" w:type="pct"/>
                  <w:tcBorders>
                    <w:tl2br w:val="nil"/>
                    <w:tr2bl w:val="nil"/>
                  </w:tcBorders>
                  <w:vAlign w:val="center"/>
                </w:tcPr>
                <w:p w14:paraId="0A4ED67E">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328</w:t>
                  </w:r>
                </w:p>
              </w:tc>
            </w:tr>
            <w:tr w14:paraId="4BAA63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continue"/>
                  <w:tcBorders>
                    <w:tl2br w:val="nil"/>
                    <w:tr2bl w:val="nil"/>
                  </w:tcBorders>
                  <w:vAlign w:val="center"/>
                </w:tcPr>
                <w:p w14:paraId="2762E0BB">
                  <w:pPr>
                    <w:widowControl w:val="0"/>
                    <w:spacing w:after="0" w:line="220" w:lineRule="atLeast"/>
                    <w:jc w:val="center"/>
                    <w:rPr>
                      <w:rFonts w:hint="default" w:ascii="Times New Roman" w:hAnsi="Times New Roman" w:eastAsia="宋体" w:cs="Times New Roman"/>
                      <w:color w:val="auto"/>
                      <w:sz w:val="21"/>
                      <w:szCs w:val="21"/>
                    </w:rPr>
                  </w:pPr>
                </w:p>
              </w:tc>
              <w:tc>
                <w:tcPr>
                  <w:tcW w:w="820" w:type="pct"/>
                  <w:vMerge w:val="continue"/>
                  <w:tcBorders>
                    <w:tl2br w:val="nil"/>
                    <w:tr2bl w:val="nil"/>
                  </w:tcBorders>
                  <w:vAlign w:val="center"/>
                </w:tcPr>
                <w:p w14:paraId="0B36F963">
                  <w:pPr>
                    <w:widowControl w:val="0"/>
                    <w:spacing w:after="0" w:line="220" w:lineRule="atLeast"/>
                    <w:jc w:val="center"/>
                    <w:rPr>
                      <w:rFonts w:hint="default" w:ascii="Times New Roman" w:hAnsi="Times New Roman" w:eastAsia="宋体" w:cs="Times New Roman"/>
                      <w:color w:val="auto"/>
                      <w:sz w:val="21"/>
                      <w:szCs w:val="21"/>
                    </w:rPr>
                  </w:pPr>
                </w:p>
              </w:tc>
              <w:tc>
                <w:tcPr>
                  <w:tcW w:w="879" w:type="pct"/>
                  <w:vMerge w:val="continue"/>
                  <w:tcBorders>
                    <w:tl2br w:val="nil"/>
                    <w:tr2bl w:val="nil"/>
                  </w:tcBorders>
                  <w:vAlign w:val="center"/>
                </w:tcPr>
                <w:p w14:paraId="12C096C4">
                  <w:pPr>
                    <w:widowControl w:val="0"/>
                    <w:spacing w:after="0"/>
                    <w:jc w:val="center"/>
                    <w:textAlignment w:val="center"/>
                    <w:rPr>
                      <w:rFonts w:hint="default" w:ascii="Times New Roman" w:hAnsi="Times New Roman" w:eastAsia="宋体" w:cs="Times New Roman"/>
                      <w:color w:val="auto"/>
                      <w:sz w:val="21"/>
                      <w:szCs w:val="21"/>
                      <w:lang w:val="en-US"/>
                    </w:rPr>
                  </w:pPr>
                </w:p>
              </w:tc>
              <w:tc>
                <w:tcPr>
                  <w:tcW w:w="1101" w:type="pct"/>
                  <w:tcBorders>
                    <w:tl2br w:val="nil"/>
                    <w:tr2bl w:val="nil"/>
                  </w:tcBorders>
                  <w:vAlign w:val="center"/>
                </w:tcPr>
                <w:p w14:paraId="05DCAF11">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下风向2#</w:t>
                  </w:r>
                </w:p>
              </w:tc>
              <w:tc>
                <w:tcPr>
                  <w:tcW w:w="1338" w:type="pct"/>
                  <w:tcBorders>
                    <w:tl2br w:val="nil"/>
                    <w:tr2bl w:val="nil"/>
                  </w:tcBorders>
                  <w:vAlign w:val="center"/>
                </w:tcPr>
                <w:p w14:paraId="1D54E681">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416</w:t>
                  </w:r>
                </w:p>
              </w:tc>
            </w:tr>
            <w:tr w14:paraId="2FAE5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continue"/>
                  <w:tcBorders>
                    <w:tl2br w:val="nil"/>
                    <w:tr2bl w:val="nil"/>
                  </w:tcBorders>
                  <w:vAlign w:val="center"/>
                </w:tcPr>
                <w:p w14:paraId="0FBA2135">
                  <w:pPr>
                    <w:widowControl w:val="0"/>
                    <w:spacing w:after="0" w:line="220" w:lineRule="atLeast"/>
                    <w:jc w:val="center"/>
                    <w:rPr>
                      <w:rFonts w:hint="default" w:ascii="Times New Roman" w:hAnsi="Times New Roman" w:eastAsia="宋体" w:cs="Times New Roman"/>
                      <w:color w:val="auto"/>
                      <w:sz w:val="21"/>
                      <w:szCs w:val="21"/>
                    </w:rPr>
                  </w:pPr>
                </w:p>
              </w:tc>
              <w:tc>
                <w:tcPr>
                  <w:tcW w:w="820" w:type="pct"/>
                  <w:vMerge w:val="continue"/>
                  <w:tcBorders>
                    <w:tl2br w:val="nil"/>
                    <w:tr2bl w:val="nil"/>
                  </w:tcBorders>
                  <w:vAlign w:val="center"/>
                </w:tcPr>
                <w:p w14:paraId="2A2A3672">
                  <w:pPr>
                    <w:widowControl w:val="0"/>
                    <w:spacing w:after="0" w:line="220" w:lineRule="atLeast"/>
                    <w:jc w:val="center"/>
                    <w:rPr>
                      <w:rFonts w:hint="default" w:ascii="Times New Roman" w:hAnsi="Times New Roman" w:eastAsia="宋体" w:cs="Times New Roman"/>
                      <w:color w:val="auto"/>
                      <w:sz w:val="21"/>
                      <w:szCs w:val="21"/>
                    </w:rPr>
                  </w:pPr>
                </w:p>
              </w:tc>
              <w:tc>
                <w:tcPr>
                  <w:tcW w:w="879" w:type="pct"/>
                  <w:vMerge w:val="continue"/>
                  <w:tcBorders>
                    <w:tl2br w:val="nil"/>
                    <w:tr2bl w:val="nil"/>
                  </w:tcBorders>
                  <w:vAlign w:val="center"/>
                </w:tcPr>
                <w:p w14:paraId="19FEAA61">
                  <w:pPr>
                    <w:widowControl w:val="0"/>
                    <w:spacing w:after="0"/>
                    <w:jc w:val="center"/>
                    <w:textAlignment w:val="center"/>
                    <w:rPr>
                      <w:rFonts w:hint="default" w:ascii="Times New Roman" w:hAnsi="Times New Roman" w:eastAsia="宋体" w:cs="Times New Roman"/>
                      <w:color w:val="auto"/>
                      <w:sz w:val="21"/>
                      <w:szCs w:val="21"/>
                      <w:lang w:val="en-US"/>
                    </w:rPr>
                  </w:pPr>
                </w:p>
              </w:tc>
              <w:tc>
                <w:tcPr>
                  <w:tcW w:w="1101" w:type="pct"/>
                  <w:tcBorders>
                    <w:tl2br w:val="nil"/>
                    <w:tr2bl w:val="nil"/>
                  </w:tcBorders>
                  <w:vAlign w:val="center"/>
                </w:tcPr>
                <w:p w14:paraId="29AEE58E">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下风向3#</w:t>
                  </w:r>
                </w:p>
              </w:tc>
              <w:tc>
                <w:tcPr>
                  <w:tcW w:w="1338" w:type="pct"/>
                  <w:tcBorders>
                    <w:tl2br w:val="nil"/>
                    <w:tr2bl w:val="nil"/>
                  </w:tcBorders>
                  <w:vAlign w:val="center"/>
                </w:tcPr>
                <w:p w14:paraId="69561941">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394</w:t>
                  </w:r>
                </w:p>
              </w:tc>
            </w:tr>
            <w:tr w14:paraId="13DA95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continue"/>
                  <w:tcBorders>
                    <w:tl2br w:val="nil"/>
                    <w:tr2bl w:val="nil"/>
                  </w:tcBorders>
                  <w:vAlign w:val="center"/>
                </w:tcPr>
                <w:p w14:paraId="70ADC5C0">
                  <w:pPr>
                    <w:widowControl w:val="0"/>
                    <w:spacing w:after="0" w:line="220" w:lineRule="atLeast"/>
                    <w:jc w:val="center"/>
                    <w:rPr>
                      <w:rFonts w:hint="default" w:ascii="Times New Roman" w:hAnsi="Times New Roman" w:eastAsia="宋体" w:cs="Times New Roman"/>
                      <w:color w:val="auto"/>
                      <w:sz w:val="21"/>
                      <w:szCs w:val="21"/>
                    </w:rPr>
                  </w:pPr>
                </w:p>
              </w:tc>
              <w:tc>
                <w:tcPr>
                  <w:tcW w:w="820" w:type="pct"/>
                  <w:vMerge w:val="continue"/>
                  <w:tcBorders>
                    <w:tl2br w:val="nil"/>
                    <w:tr2bl w:val="nil"/>
                  </w:tcBorders>
                  <w:vAlign w:val="center"/>
                </w:tcPr>
                <w:p w14:paraId="63D25D4F">
                  <w:pPr>
                    <w:widowControl w:val="0"/>
                    <w:spacing w:after="0" w:line="220" w:lineRule="atLeast"/>
                    <w:jc w:val="center"/>
                    <w:rPr>
                      <w:rFonts w:hint="default" w:ascii="Times New Roman" w:hAnsi="Times New Roman" w:eastAsia="宋体" w:cs="Times New Roman"/>
                      <w:color w:val="auto"/>
                      <w:sz w:val="21"/>
                      <w:szCs w:val="21"/>
                    </w:rPr>
                  </w:pPr>
                </w:p>
              </w:tc>
              <w:tc>
                <w:tcPr>
                  <w:tcW w:w="879" w:type="pct"/>
                  <w:vMerge w:val="continue"/>
                  <w:tcBorders>
                    <w:tl2br w:val="nil"/>
                    <w:tr2bl w:val="nil"/>
                  </w:tcBorders>
                  <w:vAlign w:val="center"/>
                </w:tcPr>
                <w:p w14:paraId="12EDA396">
                  <w:pPr>
                    <w:widowControl w:val="0"/>
                    <w:spacing w:after="0"/>
                    <w:jc w:val="center"/>
                    <w:textAlignment w:val="center"/>
                    <w:rPr>
                      <w:rFonts w:hint="default" w:ascii="Times New Roman" w:hAnsi="Times New Roman" w:eastAsia="宋体" w:cs="Times New Roman"/>
                      <w:color w:val="auto"/>
                      <w:sz w:val="21"/>
                      <w:szCs w:val="21"/>
                      <w:lang w:val="en-US"/>
                    </w:rPr>
                  </w:pPr>
                </w:p>
              </w:tc>
              <w:tc>
                <w:tcPr>
                  <w:tcW w:w="1101" w:type="pct"/>
                  <w:tcBorders>
                    <w:tl2br w:val="nil"/>
                    <w:tr2bl w:val="nil"/>
                  </w:tcBorders>
                  <w:vAlign w:val="center"/>
                </w:tcPr>
                <w:p w14:paraId="358815E5">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下风向4#</w:t>
                  </w:r>
                </w:p>
              </w:tc>
              <w:tc>
                <w:tcPr>
                  <w:tcW w:w="1338" w:type="pct"/>
                  <w:tcBorders>
                    <w:tl2br w:val="nil"/>
                    <w:tr2bl w:val="nil"/>
                  </w:tcBorders>
                  <w:vAlign w:val="center"/>
                </w:tcPr>
                <w:p w14:paraId="18BADD6B">
                  <w:pPr>
                    <w:widowControl w:val="0"/>
                    <w:tabs>
                      <w:tab w:val="center" w:pos="1519"/>
                      <w:tab w:val="right" w:pos="2919"/>
                    </w:tabs>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388</w:t>
                  </w:r>
                </w:p>
              </w:tc>
            </w:tr>
            <w:tr w14:paraId="566931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continue"/>
                  <w:tcBorders>
                    <w:tl2br w:val="nil"/>
                    <w:tr2bl w:val="nil"/>
                  </w:tcBorders>
                  <w:vAlign w:val="center"/>
                </w:tcPr>
                <w:p w14:paraId="77D7D71D">
                  <w:pPr>
                    <w:widowControl w:val="0"/>
                    <w:spacing w:after="0" w:line="220" w:lineRule="atLeast"/>
                    <w:jc w:val="center"/>
                    <w:rPr>
                      <w:rFonts w:hint="default" w:ascii="Times New Roman" w:hAnsi="Times New Roman" w:eastAsia="宋体" w:cs="Times New Roman"/>
                      <w:color w:val="auto"/>
                      <w:sz w:val="21"/>
                      <w:szCs w:val="21"/>
                    </w:rPr>
                  </w:pPr>
                </w:p>
              </w:tc>
              <w:tc>
                <w:tcPr>
                  <w:tcW w:w="820" w:type="pct"/>
                  <w:vMerge w:val="continue"/>
                  <w:tcBorders>
                    <w:tl2br w:val="nil"/>
                    <w:tr2bl w:val="nil"/>
                  </w:tcBorders>
                  <w:vAlign w:val="center"/>
                </w:tcPr>
                <w:p w14:paraId="2A1E06F6">
                  <w:pPr>
                    <w:widowControl w:val="0"/>
                    <w:spacing w:after="0" w:line="220" w:lineRule="atLeast"/>
                    <w:jc w:val="center"/>
                    <w:rPr>
                      <w:rFonts w:hint="default" w:ascii="Times New Roman" w:hAnsi="Times New Roman" w:eastAsia="宋体" w:cs="Times New Roman"/>
                      <w:color w:val="auto"/>
                      <w:sz w:val="21"/>
                      <w:szCs w:val="21"/>
                    </w:rPr>
                  </w:pPr>
                </w:p>
              </w:tc>
              <w:tc>
                <w:tcPr>
                  <w:tcW w:w="879" w:type="pct"/>
                  <w:vMerge w:val="restart"/>
                  <w:tcBorders>
                    <w:tl2br w:val="nil"/>
                    <w:tr2bl w:val="nil"/>
                  </w:tcBorders>
                  <w:vAlign w:val="center"/>
                </w:tcPr>
                <w:p w14:paraId="5CBE39C4">
                  <w:pPr>
                    <w:widowControl w:val="0"/>
                    <w:spacing w:after="0"/>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cs="Times New Roman" w:eastAsiaTheme="minorEastAsia"/>
                      <w:color w:val="auto"/>
                      <w:sz w:val="21"/>
                      <w:szCs w:val="21"/>
                      <w:lang w:val="en-US" w:eastAsia="zh-CN"/>
                    </w:rPr>
                    <w:t>第二次</w:t>
                  </w:r>
                </w:p>
              </w:tc>
              <w:tc>
                <w:tcPr>
                  <w:tcW w:w="1101" w:type="pct"/>
                  <w:tcBorders>
                    <w:tl2br w:val="nil"/>
                    <w:tr2bl w:val="nil"/>
                  </w:tcBorders>
                  <w:vAlign w:val="center"/>
                </w:tcPr>
                <w:p w14:paraId="093E77D6">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上风向1#</w:t>
                  </w:r>
                </w:p>
              </w:tc>
              <w:tc>
                <w:tcPr>
                  <w:tcW w:w="1338" w:type="pct"/>
                  <w:tcBorders>
                    <w:tl2br w:val="nil"/>
                    <w:tr2bl w:val="nil"/>
                  </w:tcBorders>
                  <w:vAlign w:val="center"/>
                </w:tcPr>
                <w:p w14:paraId="4B94BEEE">
                  <w:pPr>
                    <w:widowControl w:val="0"/>
                    <w:tabs>
                      <w:tab w:val="center" w:pos="1519"/>
                      <w:tab w:val="right" w:pos="2919"/>
                    </w:tabs>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330</w:t>
                  </w:r>
                </w:p>
              </w:tc>
            </w:tr>
            <w:tr w14:paraId="668C3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continue"/>
                  <w:tcBorders>
                    <w:tl2br w:val="nil"/>
                    <w:tr2bl w:val="nil"/>
                  </w:tcBorders>
                  <w:vAlign w:val="center"/>
                </w:tcPr>
                <w:p w14:paraId="34341339">
                  <w:pPr>
                    <w:widowControl w:val="0"/>
                    <w:spacing w:after="0" w:line="220" w:lineRule="atLeast"/>
                    <w:jc w:val="center"/>
                    <w:rPr>
                      <w:rFonts w:hint="default" w:ascii="Times New Roman" w:hAnsi="Times New Roman" w:eastAsia="宋体" w:cs="Times New Roman"/>
                      <w:color w:val="auto"/>
                      <w:sz w:val="21"/>
                      <w:szCs w:val="21"/>
                    </w:rPr>
                  </w:pPr>
                </w:p>
              </w:tc>
              <w:tc>
                <w:tcPr>
                  <w:tcW w:w="820" w:type="pct"/>
                  <w:vMerge w:val="continue"/>
                  <w:tcBorders>
                    <w:tl2br w:val="nil"/>
                    <w:tr2bl w:val="nil"/>
                  </w:tcBorders>
                  <w:vAlign w:val="center"/>
                </w:tcPr>
                <w:p w14:paraId="440ADFEB">
                  <w:pPr>
                    <w:widowControl w:val="0"/>
                    <w:spacing w:after="0" w:line="220" w:lineRule="atLeast"/>
                    <w:jc w:val="center"/>
                    <w:rPr>
                      <w:rFonts w:hint="default" w:ascii="Times New Roman" w:hAnsi="Times New Roman" w:eastAsia="宋体" w:cs="Times New Roman"/>
                      <w:color w:val="auto"/>
                      <w:sz w:val="21"/>
                      <w:szCs w:val="21"/>
                    </w:rPr>
                  </w:pPr>
                </w:p>
              </w:tc>
              <w:tc>
                <w:tcPr>
                  <w:tcW w:w="879" w:type="pct"/>
                  <w:vMerge w:val="continue"/>
                  <w:tcBorders>
                    <w:tl2br w:val="nil"/>
                    <w:tr2bl w:val="nil"/>
                  </w:tcBorders>
                  <w:vAlign w:val="center"/>
                </w:tcPr>
                <w:p w14:paraId="549E320C">
                  <w:pPr>
                    <w:widowControl w:val="0"/>
                    <w:spacing w:after="0"/>
                    <w:jc w:val="center"/>
                    <w:textAlignment w:val="center"/>
                    <w:rPr>
                      <w:rFonts w:hint="default" w:ascii="Times New Roman" w:hAnsi="Times New Roman" w:eastAsia="宋体" w:cs="Times New Roman"/>
                      <w:color w:val="auto"/>
                      <w:sz w:val="21"/>
                      <w:szCs w:val="21"/>
                      <w:lang w:val="en-US"/>
                    </w:rPr>
                  </w:pPr>
                </w:p>
              </w:tc>
              <w:tc>
                <w:tcPr>
                  <w:tcW w:w="1101" w:type="pct"/>
                  <w:tcBorders>
                    <w:tl2br w:val="nil"/>
                    <w:tr2bl w:val="nil"/>
                  </w:tcBorders>
                  <w:vAlign w:val="center"/>
                </w:tcPr>
                <w:p w14:paraId="1F0313FA">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下风向2#</w:t>
                  </w:r>
                </w:p>
              </w:tc>
              <w:tc>
                <w:tcPr>
                  <w:tcW w:w="1338" w:type="pct"/>
                  <w:tcBorders>
                    <w:tl2br w:val="nil"/>
                    <w:tr2bl w:val="nil"/>
                  </w:tcBorders>
                  <w:vAlign w:val="center"/>
                </w:tcPr>
                <w:p w14:paraId="5A991BE2">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399</w:t>
                  </w:r>
                </w:p>
              </w:tc>
            </w:tr>
            <w:tr w14:paraId="77527D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continue"/>
                  <w:tcBorders>
                    <w:tl2br w:val="nil"/>
                    <w:tr2bl w:val="nil"/>
                  </w:tcBorders>
                  <w:vAlign w:val="center"/>
                </w:tcPr>
                <w:p w14:paraId="54FA8D4A">
                  <w:pPr>
                    <w:widowControl w:val="0"/>
                    <w:spacing w:after="0" w:line="220" w:lineRule="atLeast"/>
                    <w:jc w:val="center"/>
                    <w:rPr>
                      <w:rFonts w:hint="default" w:ascii="Times New Roman" w:hAnsi="Times New Roman" w:eastAsia="宋体" w:cs="Times New Roman"/>
                      <w:color w:val="auto"/>
                      <w:sz w:val="21"/>
                      <w:szCs w:val="21"/>
                    </w:rPr>
                  </w:pPr>
                </w:p>
              </w:tc>
              <w:tc>
                <w:tcPr>
                  <w:tcW w:w="820" w:type="pct"/>
                  <w:vMerge w:val="continue"/>
                  <w:tcBorders>
                    <w:tl2br w:val="nil"/>
                    <w:tr2bl w:val="nil"/>
                  </w:tcBorders>
                  <w:vAlign w:val="center"/>
                </w:tcPr>
                <w:p w14:paraId="783D1160">
                  <w:pPr>
                    <w:widowControl w:val="0"/>
                    <w:spacing w:after="0" w:line="220" w:lineRule="atLeast"/>
                    <w:jc w:val="center"/>
                    <w:rPr>
                      <w:rFonts w:hint="default" w:ascii="Times New Roman" w:hAnsi="Times New Roman" w:eastAsia="宋体" w:cs="Times New Roman"/>
                      <w:color w:val="auto"/>
                      <w:sz w:val="21"/>
                      <w:szCs w:val="21"/>
                    </w:rPr>
                  </w:pPr>
                </w:p>
              </w:tc>
              <w:tc>
                <w:tcPr>
                  <w:tcW w:w="879" w:type="pct"/>
                  <w:vMerge w:val="continue"/>
                  <w:tcBorders>
                    <w:tl2br w:val="nil"/>
                    <w:tr2bl w:val="nil"/>
                  </w:tcBorders>
                  <w:vAlign w:val="center"/>
                </w:tcPr>
                <w:p w14:paraId="16BDBA1E">
                  <w:pPr>
                    <w:widowControl w:val="0"/>
                    <w:spacing w:after="0"/>
                    <w:jc w:val="center"/>
                    <w:textAlignment w:val="center"/>
                    <w:rPr>
                      <w:rFonts w:hint="default" w:ascii="Times New Roman" w:hAnsi="Times New Roman" w:eastAsia="宋体" w:cs="Times New Roman"/>
                      <w:color w:val="auto"/>
                      <w:sz w:val="21"/>
                      <w:szCs w:val="21"/>
                      <w:lang w:val="en-US"/>
                    </w:rPr>
                  </w:pPr>
                </w:p>
              </w:tc>
              <w:tc>
                <w:tcPr>
                  <w:tcW w:w="1101" w:type="pct"/>
                  <w:tcBorders>
                    <w:tl2br w:val="nil"/>
                    <w:tr2bl w:val="nil"/>
                  </w:tcBorders>
                  <w:vAlign w:val="center"/>
                </w:tcPr>
                <w:p w14:paraId="35DC79CF">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下风向3#</w:t>
                  </w:r>
                </w:p>
              </w:tc>
              <w:tc>
                <w:tcPr>
                  <w:tcW w:w="1338" w:type="pct"/>
                  <w:tcBorders>
                    <w:tl2br w:val="nil"/>
                    <w:tr2bl w:val="nil"/>
                  </w:tcBorders>
                  <w:vAlign w:val="center"/>
                </w:tcPr>
                <w:p w14:paraId="6ECAFCB4">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374</w:t>
                  </w:r>
                </w:p>
              </w:tc>
            </w:tr>
            <w:tr w14:paraId="5A4524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continue"/>
                  <w:tcBorders>
                    <w:tl2br w:val="nil"/>
                    <w:tr2bl w:val="nil"/>
                  </w:tcBorders>
                  <w:vAlign w:val="center"/>
                </w:tcPr>
                <w:p w14:paraId="718E5757">
                  <w:pPr>
                    <w:widowControl w:val="0"/>
                    <w:spacing w:after="0" w:line="220" w:lineRule="atLeast"/>
                    <w:jc w:val="center"/>
                    <w:rPr>
                      <w:rFonts w:hint="default" w:ascii="Times New Roman" w:hAnsi="Times New Roman" w:eastAsia="宋体" w:cs="Times New Roman"/>
                      <w:color w:val="auto"/>
                      <w:sz w:val="21"/>
                      <w:szCs w:val="21"/>
                    </w:rPr>
                  </w:pPr>
                </w:p>
              </w:tc>
              <w:tc>
                <w:tcPr>
                  <w:tcW w:w="820" w:type="pct"/>
                  <w:vMerge w:val="continue"/>
                  <w:tcBorders>
                    <w:tl2br w:val="nil"/>
                    <w:tr2bl w:val="nil"/>
                  </w:tcBorders>
                  <w:vAlign w:val="center"/>
                </w:tcPr>
                <w:p w14:paraId="245C6BF9">
                  <w:pPr>
                    <w:widowControl w:val="0"/>
                    <w:spacing w:after="0" w:line="220" w:lineRule="atLeast"/>
                    <w:jc w:val="center"/>
                    <w:rPr>
                      <w:rFonts w:hint="default" w:ascii="Times New Roman" w:hAnsi="Times New Roman" w:eastAsia="宋体" w:cs="Times New Roman"/>
                      <w:color w:val="auto"/>
                      <w:sz w:val="21"/>
                      <w:szCs w:val="21"/>
                    </w:rPr>
                  </w:pPr>
                </w:p>
              </w:tc>
              <w:tc>
                <w:tcPr>
                  <w:tcW w:w="879" w:type="pct"/>
                  <w:vMerge w:val="continue"/>
                  <w:tcBorders>
                    <w:tl2br w:val="nil"/>
                    <w:tr2bl w:val="nil"/>
                  </w:tcBorders>
                  <w:vAlign w:val="center"/>
                </w:tcPr>
                <w:p w14:paraId="11327568">
                  <w:pPr>
                    <w:widowControl w:val="0"/>
                    <w:spacing w:after="0"/>
                    <w:jc w:val="center"/>
                    <w:textAlignment w:val="center"/>
                    <w:rPr>
                      <w:rFonts w:hint="default" w:ascii="Times New Roman" w:hAnsi="Times New Roman" w:eastAsia="宋体" w:cs="Times New Roman"/>
                      <w:color w:val="auto"/>
                      <w:sz w:val="21"/>
                      <w:szCs w:val="21"/>
                      <w:lang w:val="en-US" w:eastAsia="zh-CN"/>
                    </w:rPr>
                  </w:pPr>
                </w:p>
              </w:tc>
              <w:tc>
                <w:tcPr>
                  <w:tcW w:w="1101" w:type="pct"/>
                  <w:tcBorders>
                    <w:tl2br w:val="nil"/>
                    <w:tr2bl w:val="nil"/>
                  </w:tcBorders>
                  <w:vAlign w:val="center"/>
                </w:tcPr>
                <w:p w14:paraId="40D60000">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下风向4#</w:t>
                  </w:r>
                </w:p>
              </w:tc>
              <w:tc>
                <w:tcPr>
                  <w:tcW w:w="1338" w:type="pct"/>
                  <w:tcBorders>
                    <w:tl2br w:val="nil"/>
                    <w:tr2bl w:val="nil"/>
                  </w:tcBorders>
                  <w:vAlign w:val="center"/>
                </w:tcPr>
                <w:p w14:paraId="2504B081">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383</w:t>
                  </w:r>
                </w:p>
              </w:tc>
            </w:tr>
            <w:tr w14:paraId="3D90B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continue"/>
                  <w:tcBorders>
                    <w:tl2br w:val="nil"/>
                    <w:tr2bl w:val="nil"/>
                  </w:tcBorders>
                  <w:vAlign w:val="center"/>
                </w:tcPr>
                <w:p w14:paraId="06C91C96">
                  <w:pPr>
                    <w:widowControl w:val="0"/>
                    <w:spacing w:after="0" w:line="220" w:lineRule="atLeast"/>
                    <w:jc w:val="center"/>
                    <w:rPr>
                      <w:rFonts w:hint="default" w:ascii="Times New Roman" w:hAnsi="Times New Roman" w:eastAsia="宋体" w:cs="Times New Roman"/>
                      <w:color w:val="auto"/>
                      <w:sz w:val="21"/>
                      <w:szCs w:val="21"/>
                    </w:rPr>
                  </w:pPr>
                </w:p>
              </w:tc>
              <w:tc>
                <w:tcPr>
                  <w:tcW w:w="820" w:type="pct"/>
                  <w:vMerge w:val="continue"/>
                  <w:tcBorders>
                    <w:tl2br w:val="nil"/>
                    <w:tr2bl w:val="nil"/>
                  </w:tcBorders>
                  <w:vAlign w:val="center"/>
                </w:tcPr>
                <w:p w14:paraId="0AEF81AA">
                  <w:pPr>
                    <w:widowControl w:val="0"/>
                    <w:spacing w:after="0" w:line="220" w:lineRule="atLeast"/>
                    <w:jc w:val="center"/>
                    <w:rPr>
                      <w:rFonts w:hint="default" w:ascii="Times New Roman" w:hAnsi="Times New Roman" w:eastAsia="宋体" w:cs="Times New Roman"/>
                      <w:color w:val="auto"/>
                      <w:sz w:val="21"/>
                      <w:szCs w:val="21"/>
                    </w:rPr>
                  </w:pPr>
                </w:p>
              </w:tc>
              <w:tc>
                <w:tcPr>
                  <w:tcW w:w="879" w:type="pct"/>
                  <w:vMerge w:val="restart"/>
                  <w:tcBorders>
                    <w:tl2br w:val="nil"/>
                    <w:tr2bl w:val="nil"/>
                  </w:tcBorders>
                  <w:vAlign w:val="center"/>
                </w:tcPr>
                <w:p w14:paraId="5FD8DAD6">
                  <w:pPr>
                    <w:widowControl w:val="0"/>
                    <w:spacing w:after="0"/>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cs="Times New Roman" w:eastAsiaTheme="minorEastAsia"/>
                      <w:color w:val="auto"/>
                      <w:sz w:val="21"/>
                      <w:szCs w:val="21"/>
                      <w:lang w:val="en-US" w:eastAsia="zh-CN"/>
                    </w:rPr>
                    <w:t>第三次</w:t>
                  </w:r>
                </w:p>
              </w:tc>
              <w:tc>
                <w:tcPr>
                  <w:tcW w:w="1101" w:type="pct"/>
                  <w:tcBorders>
                    <w:tl2br w:val="nil"/>
                    <w:tr2bl w:val="nil"/>
                  </w:tcBorders>
                  <w:vAlign w:val="center"/>
                </w:tcPr>
                <w:p w14:paraId="5F05C4A2">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上风向1#</w:t>
                  </w:r>
                </w:p>
              </w:tc>
              <w:tc>
                <w:tcPr>
                  <w:tcW w:w="1338" w:type="pct"/>
                  <w:tcBorders>
                    <w:tl2br w:val="nil"/>
                    <w:tr2bl w:val="nil"/>
                  </w:tcBorders>
                  <w:vAlign w:val="center"/>
                </w:tcPr>
                <w:p w14:paraId="7BAF9BFA">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331</w:t>
                  </w:r>
                </w:p>
              </w:tc>
            </w:tr>
            <w:tr w14:paraId="380EC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continue"/>
                  <w:tcBorders>
                    <w:tl2br w:val="nil"/>
                    <w:tr2bl w:val="nil"/>
                  </w:tcBorders>
                  <w:vAlign w:val="center"/>
                </w:tcPr>
                <w:p w14:paraId="65249F39">
                  <w:pPr>
                    <w:widowControl w:val="0"/>
                    <w:spacing w:after="0" w:line="220" w:lineRule="atLeast"/>
                    <w:jc w:val="center"/>
                    <w:rPr>
                      <w:rFonts w:hint="default" w:ascii="Times New Roman" w:hAnsi="Times New Roman" w:eastAsia="宋体" w:cs="Times New Roman"/>
                      <w:color w:val="auto"/>
                      <w:sz w:val="21"/>
                      <w:szCs w:val="21"/>
                    </w:rPr>
                  </w:pPr>
                </w:p>
              </w:tc>
              <w:tc>
                <w:tcPr>
                  <w:tcW w:w="820" w:type="pct"/>
                  <w:vMerge w:val="continue"/>
                  <w:tcBorders>
                    <w:tl2br w:val="nil"/>
                    <w:tr2bl w:val="nil"/>
                  </w:tcBorders>
                  <w:vAlign w:val="center"/>
                </w:tcPr>
                <w:p w14:paraId="49EB79EC">
                  <w:pPr>
                    <w:widowControl w:val="0"/>
                    <w:spacing w:after="0" w:line="220" w:lineRule="atLeast"/>
                    <w:jc w:val="center"/>
                    <w:rPr>
                      <w:rFonts w:hint="default" w:ascii="Times New Roman" w:hAnsi="Times New Roman" w:eastAsia="宋体" w:cs="Times New Roman"/>
                      <w:color w:val="auto"/>
                      <w:sz w:val="21"/>
                      <w:szCs w:val="21"/>
                    </w:rPr>
                  </w:pPr>
                </w:p>
              </w:tc>
              <w:tc>
                <w:tcPr>
                  <w:tcW w:w="879" w:type="pct"/>
                  <w:vMerge w:val="continue"/>
                  <w:tcBorders>
                    <w:tl2br w:val="nil"/>
                    <w:tr2bl w:val="nil"/>
                  </w:tcBorders>
                  <w:vAlign w:val="center"/>
                </w:tcPr>
                <w:p w14:paraId="37E66E01">
                  <w:pPr>
                    <w:widowControl w:val="0"/>
                    <w:spacing w:after="0"/>
                    <w:jc w:val="center"/>
                    <w:textAlignment w:val="center"/>
                    <w:rPr>
                      <w:rFonts w:hint="default" w:ascii="Times New Roman" w:hAnsi="Times New Roman" w:eastAsia="宋体" w:cs="Times New Roman"/>
                      <w:color w:val="auto"/>
                      <w:sz w:val="21"/>
                      <w:szCs w:val="21"/>
                      <w:lang w:val="en-US"/>
                    </w:rPr>
                  </w:pPr>
                </w:p>
              </w:tc>
              <w:tc>
                <w:tcPr>
                  <w:tcW w:w="1101" w:type="pct"/>
                  <w:tcBorders>
                    <w:tl2br w:val="nil"/>
                    <w:tr2bl w:val="nil"/>
                  </w:tcBorders>
                  <w:vAlign w:val="center"/>
                </w:tcPr>
                <w:p w14:paraId="18495EA8">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下风向2#</w:t>
                  </w:r>
                </w:p>
              </w:tc>
              <w:tc>
                <w:tcPr>
                  <w:tcW w:w="1338" w:type="pct"/>
                  <w:tcBorders>
                    <w:tl2br w:val="nil"/>
                    <w:tr2bl w:val="nil"/>
                  </w:tcBorders>
                  <w:vAlign w:val="center"/>
                </w:tcPr>
                <w:p w14:paraId="06890ECD">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387</w:t>
                  </w:r>
                </w:p>
              </w:tc>
            </w:tr>
            <w:tr w14:paraId="432790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continue"/>
                  <w:tcBorders>
                    <w:tl2br w:val="nil"/>
                    <w:tr2bl w:val="nil"/>
                  </w:tcBorders>
                  <w:vAlign w:val="center"/>
                </w:tcPr>
                <w:p w14:paraId="4CFDEFB1">
                  <w:pPr>
                    <w:widowControl w:val="0"/>
                    <w:spacing w:after="0" w:line="220" w:lineRule="atLeast"/>
                    <w:jc w:val="center"/>
                    <w:rPr>
                      <w:rFonts w:hint="default" w:ascii="Times New Roman" w:hAnsi="Times New Roman" w:eastAsia="宋体" w:cs="Times New Roman"/>
                      <w:color w:val="auto"/>
                      <w:sz w:val="21"/>
                      <w:szCs w:val="21"/>
                    </w:rPr>
                  </w:pPr>
                </w:p>
              </w:tc>
              <w:tc>
                <w:tcPr>
                  <w:tcW w:w="820" w:type="pct"/>
                  <w:vMerge w:val="continue"/>
                  <w:tcBorders>
                    <w:tl2br w:val="nil"/>
                    <w:tr2bl w:val="nil"/>
                  </w:tcBorders>
                  <w:vAlign w:val="center"/>
                </w:tcPr>
                <w:p w14:paraId="3F1D3961">
                  <w:pPr>
                    <w:widowControl w:val="0"/>
                    <w:spacing w:after="0" w:line="220" w:lineRule="atLeast"/>
                    <w:jc w:val="center"/>
                    <w:rPr>
                      <w:rFonts w:hint="default" w:ascii="Times New Roman" w:hAnsi="Times New Roman" w:eastAsia="宋体" w:cs="Times New Roman"/>
                      <w:color w:val="auto"/>
                      <w:sz w:val="21"/>
                      <w:szCs w:val="21"/>
                    </w:rPr>
                  </w:pPr>
                </w:p>
              </w:tc>
              <w:tc>
                <w:tcPr>
                  <w:tcW w:w="879" w:type="pct"/>
                  <w:vMerge w:val="continue"/>
                  <w:tcBorders>
                    <w:tl2br w:val="nil"/>
                    <w:tr2bl w:val="nil"/>
                  </w:tcBorders>
                  <w:vAlign w:val="center"/>
                </w:tcPr>
                <w:p w14:paraId="126A2A2A">
                  <w:pPr>
                    <w:widowControl w:val="0"/>
                    <w:spacing w:after="0"/>
                    <w:jc w:val="center"/>
                    <w:textAlignment w:val="center"/>
                    <w:rPr>
                      <w:rFonts w:hint="default" w:ascii="Times New Roman" w:hAnsi="Times New Roman" w:eastAsia="宋体" w:cs="Times New Roman"/>
                      <w:color w:val="auto"/>
                      <w:sz w:val="21"/>
                      <w:szCs w:val="21"/>
                      <w:lang w:val="en-US"/>
                    </w:rPr>
                  </w:pPr>
                </w:p>
              </w:tc>
              <w:tc>
                <w:tcPr>
                  <w:tcW w:w="1101" w:type="pct"/>
                  <w:tcBorders>
                    <w:tl2br w:val="nil"/>
                    <w:tr2bl w:val="nil"/>
                  </w:tcBorders>
                  <w:vAlign w:val="center"/>
                </w:tcPr>
                <w:p w14:paraId="5ED91453">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下风向3#</w:t>
                  </w:r>
                </w:p>
              </w:tc>
              <w:tc>
                <w:tcPr>
                  <w:tcW w:w="1338" w:type="pct"/>
                  <w:tcBorders>
                    <w:tl2br w:val="nil"/>
                    <w:tr2bl w:val="nil"/>
                  </w:tcBorders>
                  <w:vAlign w:val="center"/>
                </w:tcPr>
                <w:p w14:paraId="7371A852">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408</w:t>
                  </w:r>
                </w:p>
              </w:tc>
            </w:tr>
            <w:tr w14:paraId="11A292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9" w:type="pct"/>
                  <w:vMerge w:val="continue"/>
                  <w:tcBorders>
                    <w:tl2br w:val="nil"/>
                    <w:tr2bl w:val="nil"/>
                  </w:tcBorders>
                  <w:vAlign w:val="center"/>
                </w:tcPr>
                <w:p w14:paraId="20EFFB70">
                  <w:pPr>
                    <w:widowControl w:val="0"/>
                    <w:spacing w:after="0" w:line="220" w:lineRule="atLeast"/>
                    <w:jc w:val="center"/>
                    <w:rPr>
                      <w:rFonts w:hint="default" w:ascii="Times New Roman" w:hAnsi="Times New Roman" w:eastAsia="宋体" w:cs="Times New Roman"/>
                      <w:color w:val="auto"/>
                      <w:sz w:val="21"/>
                      <w:szCs w:val="21"/>
                    </w:rPr>
                  </w:pPr>
                </w:p>
              </w:tc>
              <w:tc>
                <w:tcPr>
                  <w:tcW w:w="820" w:type="pct"/>
                  <w:vMerge w:val="continue"/>
                  <w:tcBorders>
                    <w:tl2br w:val="nil"/>
                    <w:tr2bl w:val="nil"/>
                  </w:tcBorders>
                  <w:vAlign w:val="center"/>
                </w:tcPr>
                <w:p w14:paraId="2FAE4645">
                  <w:pPr>
                    <w:widowControl w:val="0"/>
                    <w:spacing w:after="0" w:line="220" w:lineRule="atLeast"/>
                    <w:jc w:val="center"/>
                    <w:rPr>
                      <w:rFonts w:hint="default" w:ascii="Times New Roman" w:hAnsi="Times New Roman" w:eastAsia="宋体" w:cs="Times New Roman"/>
                      <w:color w:val="auto"/>
                      <w:sz w:val="21"/>
                      <w:szCs w:val="21"/>
                    </w:rPr>
                  </w:pPr>
                </w:p>
              </w:tc>
              <w:tc>
                <w:tcPr>
                  <w:tcW w:w="879" w:type="pct"/>
                  <w:vMerge w:val="continue"/>
                  <w:tcBorders>
                    <w:tl2br w:val="nil"/>
                    <w:tr2bl w:val="nil"/>
                  </w:tcBorders>
                  <w:vAlign w:val="center"/>
                </w:tcPr>
                <w:p w14:paraId="50B369D9">
                  <w:pPr>
                    <w:widowControl w:val="0"/>
                    <w:spacing w:after="0"/>
                    <w:jc w:val="center"/>
                    <w:textAlignment w:val="center"/>
                    <w:rPr>
                      <w:rFonts w:hint="default" w:ascii="Times New Roman" w:hAnsi="Times New Roman" w:eastAsia="宋体" w:cs="Times New Roman"/>
                      <w:color w:val="auto"/>
                      <w:sz w:val="21"/>
                      <w:szCs w:val="21"/>
                      <w:lang w:val="en-US"/>
                    </w:rPr>
                  </w:pPr>
                </w:p>
              </w:tc>
              <w:tc>
                <w:tcPr>
                  <w:tcW w:w="1101" w:type="pct"/>
                  <w:tcBorders>
                    <w:tl2br w:val="nil"/>
                    <w:tr2bl w:val="nil"/>
                  </w:tcBorders>
                  <w:vAlign w:val="center"/>
                </w:tcPr>
                <w:p w14:paraId="59776533">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下风向4#</w:t>
                  </w:r>
                </w:p>
              </w:tc>
              <w:tc>
                <w:tcPr>
                  <w:tcW w:w="1338" w:type="pct"/>
                  <w:tcBorders>
                    <w:tl2br w:val="nil"/>
                    <w:tr2bl w:val="nil"/>
                  </w:tcBorders>
                  <w:vAlign w:val="center"/>
                </w:tcPr>
                <w:p w14:paraId="69665119">
                  <w:pPr>
                    <w:widowControl w:val="0"/>
                    <w:spacing w:after="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412</w:t>
                  </w:r>
                </w:p>
              </w:tc>
            </w:tr>
            <w:tr w14:paraId="762CF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restart"/>
                  <w:tcBorders>
                    <w:tl2br w:val="nil"/>
                    <w:tr2bl w:val="nil"/>
                  </w:tcBorders>
                  <w:vAlign w:val="center"/>
                </w:tcPr>
                <w:p w14:paraId="057F913C">
                  <w:pPr>
                    <w:widowControl w:val="0"/>
                    <w:adjustRightInd/>
                    <w:snapToGrid/>
                    <w:spacing w:after="0"/>
                    <w:jc w:val="center"/>
                    <w:rPr>
                      <w:rFonts w:ascii="Times New Roman" w:hAnsi="Times New Roman" w:cs="Times New Roman" w:eastAsiaTheme="minorEastAsia"/>
                      <w:color w:val="auto"/>
                      <w:sz w:val="24"/>
                      <w:szCs w:val="24"/>
                    </w:rPr>
                  </w:pPr>
                  <w:r>
                    <w:rPr>
                      <w:rFonts w:hint="eastAsia" w:ascii="Times New Roman" w:hAnsi="Times New Roman" w:cs="Times New Roman" w:eastAsiaTheme="minorEastAsia"/>
                      <w:color w:val="auto"/>
                      <w:sz w:val="24"/>
                      <w:szCs w:val="24"/>
                      <w:lang w:eastAsia="zh-CN"/>
                    </w:rPr>
                    <w:t>2026年</w:t>
                  </w:r>
                </w:p>
                <w:p w14:paraId="39966FFC">
                  <w:pPr>
                    <w:widowControl w:val="0"/>
                    <w:spacing w:after="0" w:line="220" w:lineRule="atLeast"/>
                    <w:jc w:val="center"/>
                    <w:rPr>
                      <w:rFonts w:hint="eastAsia" w:ascii="Times New Roman" w:hAnsi="Times New Roman" w:cs="Times New Roman" w:eastAsiaTheme="minorEastAsia"/>
                      <w:color w:val="auto"/>
                      <w:sz w:val="24"/>
                      <w:szCs w:val="24"/>
                      <w:lang w:eastAsia="zh-CN"/>
                    </w:rPr>
                  </w:pPr>
                  <w:r>
                    <w:rPr>
                      <w:rFonts w:hint="eastAsia" w:ascii="Times New Roman" w:hAnsi="Times New Roman" w:cs="Times New Roman" w:eastAsiaTheme="minorEastAsia"/>
                      <w:color w:val="auto"/>
                      <w:sz w:val="24"/>
                      <w:szCs w:val="24"/>
                      <w:lang w:eastAsia="zh-CN"/>
                    </w:rPr>
                    <w:t>01月30日</w:t>
                  </w:r>
                </w:p>
                <w:p w14:paraId="43CEC8CA">
                  <w:pPr>
                    <w:widowControl w:val="0"/>
                    <w:spacing w:after="0" w:line="220" w:lineRule="atLeast"/>
                    <w:jc w:val="center"/>
                    <w:rPr>
                      <w:rFonts w:hint="default" w:ascii="Times New Roman" w:hAnsi="Times New Roman" w:eastAsia="宋体" w:cs="Times New Roman"/>
                      <w:color w:val="auto"/>
                      <w:sz w:val="24"/>
                      <w:szCs w:val="24"/>
                    </w:rPr>
                  </w:pPr>
                </w:p>
                <w:p w14:paraId="0A7648BB">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restart"/>
                  <w:tcBorders>
                    <w:tl2br w:val="nil"/>
                    <w:tr2bl w:val="nil"/>
                  </w:tcBorders>
                  <w:vAlign w:val="center"/>
                </w:tcPr>
                <w:p w14:paraId="522E062A">
                  <w:pPr>
                    <w:widowControl w:val="0"/>
                    <w:spacing w:after="0" w:line="220" w:lineRule="atLeast"/>
                    <w:jc w:val="center"/>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eastAsiaTheme="minorEastAsia"/>
                      <w:color w:val="auto"/>
                      <w:sz w:val="24"/>
                      <w:szCs w:val="24"/>
                      <w:lang w:val="en-US" w:eastAsia="zh-CN"/>
                    </w:rPr>
                    <w:t>氨</w:t>
                  </w:r>
                </w:p>
              </w:tc>
              <w:tc>
                <w:tcPr>
                  <w:tcW w:w="879" w:type="pct"/>
                  <w:vMerge w:val="restart"/>
                  <w:tcBorders>
                    <w:tl2br w:val="nil"/>
                    <w:tr2bl w:val="nil"/>
                  </w:tcBorders>
                  <w:vAlign w:val="center"/>
                </w:tcPr>
                <w:p w14:paraId="3FF4C5FF">
                  <w:pPr>
                    <w:widowControl w:val="0"/>
                    <w:spacing w:after="0"/>
                    <w:jc w:val="center"/>
                    <w:textAlignment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eastAsiaTheme="minorEastAsia"/>
                      <w:color w:val="auto"/>
                      <w:sz w:val="24"/>
                      <w:szCs w:val="24"/>
                      <w:lang w:val="en-US" w:eastAsia="zh-CN"/>
                    </w:rPr>
                    <w:t>第一次</w:t>
                  </w:r>
                </w:p>
              </w:tc>
              <w:tc>
                <w:tcPr>
                  <w:tcW w:w="1101" w:type="pct"/>
                  <w:tcBorders>
                    <w:tl2br w:val="nil"/>
                    <w:tr2bl w:val="nil"/>
                  </w:tcBorders>
                  <w:vAlign w:val="center"/>
                </w:tcPr>
                <w:p w14:paraId="5A367856">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上风向1#</w:t>
                  </w:r>
                </w:p>
              </w:tc>
              <w:tc>
                <w:tcPr>
                  <w:tcW w:w="1338" w:type="pct"/>
                  <w:tcBorders>
                    <w:tl2br w:val="nil"/>
                    <w:tr2bl w:val="nil"/>
                  </w:tcBorders>
                  <w:shd w:val="clear" w:color="auto" w:fill="auto"/>
                  <w:vAlign w:val="center"/>
                </w:tcPr>
                <w:p w14:paraId="63A13A1C">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0.12</w:t>
                  </w:r>
                </w:p>
              </w:tc>
            </w:tr>
            <w:tr w14:paraId="0D22B8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continue"/>
                  <w:tcBorders>
                    <w:tl2br w:val="nil"/>
                    <w:tr2bl w:val="nil"/>
                  </w:tcBorders>
                  <w:vAlign w:val="center"/>
                </w:tcPr>
                <w:p w14:paraId="49822B0A">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continue"/>
                  <w:tcBorders>
                    <w:tl2br w:val="nil"/>
                    <w:tr2bl w:val="nil"/>
                  </w:tcBorders>
                  <w:vAlign w:val="center"/>
                </w:tcPr>
                <w:p w14:paraId="1525538C">
                  <w:pPr>
                    <w:widowControl w:val="0"/>
                    <w:spacing w:after="0" w:line="220" w:lineRule="atLeast"/>
                    <w:jc w:val="center"/>
                    <w:rPr>
                      <w:rFonts w:hint="default" w:ascii="Times New Roman" w:hAnsi="Times New Roman" w:eastAsia="宋体" w:cs="Times New Roman"/>
                      <w:color w:val="auto"/>
                      <w:sz w:val="24"/>
                      <w:szCs w:val="24"/>
                    </w:rPr>
                  </w:pPr>
                </w:p>
              </w:tc>
              <w:tc>
                <w:tcPr>
                  <w:tcW w:w="879" w:type="pct"/>
                  <w:vMerge w:val="continue"/>
                  <w:tcBorders>
                    <w:tl2br w:val="nil"/>
                    <w:tr2bl w:val="nil"/>
                  </w:tcBorders>
                  <w:vAlign w:val="center"/>
                </w:tcPr>
                <w:p w14:paraId="69E12A0A">
                  <w:pPr>
                    <w:widowControl w:val="0"/>
                    <w:spacing w:after="0"/>
                    <w:jc w:val="center"/>
                    <w:textAlignment w:val="center"/>
                    <w:rPr>
                      <w:rFonts w:hint="default" w:ascii="Times New Roman" w:hAnsi="Times New Roman" w:eastAsia="宋体" w:cs="Times New Roman"/>
                      <w:color w:val="auto"/>
                      <w:sz w:val="24"/>
                      <w:szCs w:val="24"/>
                      <w:lang w:val="en-US"/>
                    </w:rPr>
                  </w:pPr>
                </w:p>
              </w:tc>
              <w:tc>
                <w:tcPr>
                  <w:tcW w:w="1101" w:type="pct"/>
                  <w:tcBorders>
                    <w:tl2br w:val="nil"/>
                    <w:tr2bl w:val="nil"/>
                  </w:tcBorders>
                  <w:vAlign w:val="center"/>
                </w:tcPr>
                <w:p w14:paraId="4C1ABE9F">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下风向2#</w:t>
                  </w:r>
                </w:p>
              </w:tc>
              <w:tc>
                <w:tcPr>
                  <w:tcW w:w="1338" w:type="pct"/>
                  <w:tcBorders>
                    <w:tl2br w:val="nil"/>
                    <w:tr2bl w:val="nil"/>
                  </w:tcBorders>
                  <w:shd w:val="clear" w:color="auto" w:fill="auto"/>
                  <w:vAlign w:val="center"/>
                </w:tcPr>
                <w:p w14:paraId="5267F8F5">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0.19</w:t>
                  </w:r>
                </w:p>
              </w:tc>
            </w:tr>
            <w:tr w14:paraId="22844A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continue"/>
                  <w:tcBorders>
                    <w:tl2br w:val="nil"/>
                    <w:tr2bl w:val="nil"/>
                  </w:tcBorders>
                  <w:vAlign w:val="center"/>
                </w:tcPr>
                <w:p w14:paraId="44A63887">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continue"/>
                  <w:tcBorders>
                    <w:tl2br w:val="nil"/>
                    <w:tr2bl w:val="nil"/>
                  </w:tcBorders>
                  <w:vAlign w:val="center"/>
                </w:tcPr>
                <w:p w14:paraId="09B8EEB6">
                  <w:pPr>
                    <w:widowControl w:val="0"/>
                    <w:spacing w:after="0" w:line="220" w:lineRule="atLeast"/>
                    <w:jc w:val="center"/>
                    <w:rPr>
                      <w:rFonts w:hint="default" w:ascii="Times New Roman" w:hAnsi="Times New Roman" w:eastAsia="宋体" w:cs="Times New Roman"/>
                      <w:color w:val="auto"/>
                      <w:sz w:val="24"/>
                      <w:szCs w:val="24"/>
                    </w:rPr>
                  </w:pPr>
                </w:p>
              </w:tc>
              <w:tc>
                <w:tcPr>
                  <w:tcW w:w="879" w:type="pct"/>
                  <w:vMerge w:val="continue"/>
                  <w:tcBorders>
                    <w:tl2br w:val="nil"/>
                    <w:tr2bl w:val="nil"/>
                  </w:tcBorders>
                  <w:vAlign w:val="center"/>
                </w:tcPr>
                <w:p w14:paraId="5C66C6B8">
                  <w:pPr>
                    <w:widowControl w:val="0"/>
                    <w:spacing w:after="0"/>
                    <w:jc w:val="center"/>
                    <w:textAlignment w:val="center"/>
                    <w:rPr>
                      <w:rFonts w:hint="default" w:ascii="Times New Roman" w:hAnsi="Times New Roman" w:eastAsia="宋体" w:cs="Times New Roman"/>
                      <w:color w:val="auto"/>
                      <w:sz w:val="24"/>
                      <w:szCs w:val="24"/>
                      <w:lang w:val="en-US"/>
                    </w:rPr>
                  </w:pPr>
                </w:p>
              </w:tc>
              <w:tc>
                <w:tcPr>
                  <w:tcW w:w="1101" w:type="pct"/>
                  <w:tcBorders>
                    <w:tl2br w:val="nil"/>
                    <w:tr2bl w:val="nil"/>
                  </w:tcBorders>
                  <w:vAlign w:val="center"/>
                </w:tcPr>
                <w:p w14:paraId="575F8050">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下风向3#</w:t>
                  </w:r>
                </w:p>
              </w:tc>
              <w:tc>
                <w:tcPr>
                  <w:tcW w:w="1338" w:type="pct"/>
                  <w:tcBorders>
                    <w:tl2br w:val="nil"/>
                    <w:tr2bl w:val="nil"/>
                  </w:tcBorders>
                  <w:shd w:val="clear" w:color="auto" w:fill="auto"/>
                  <w:vAlign w:val="center"/>
                </w:tcPr>
                <w:p w14:paraId="13272BF4">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0.23</w:t>
                  </w:r>
                </w:p>
              </w:tc>
            </w:tr>
            <w:tr w14:paraId="181179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continue"/>
                  <w:tcBorders>
                    <w:tl2br w:val="nil"/>
                    <w:tr2bl w:val="nil"/>
                  </w:tcBorders>
                  <w:vAlign w:val="center"/>
                </w:tcPr>
                <w:p w14:paraId="2B7CA0FD">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continue"/>
                  <w:tcBorders>
                    <w:tl2br w:val="nil"/>
                    <w:tr2bl w:val="nil"/>
                  </w:tcBorders>
                  <w:vAlign w:val="center"/>
                </w:tcPr>
                <w:p w14:paraId="4823109F">
                  <w:pPr>
                    <w:widowControl w:val="0"/>
                    <w:spacing w:after="0" w:line="220" w:lineRule="atLeast"/>
                    <w:jc w:val="center"/>
                    <w:rPr>
                      <w:rFonts w:hint="default" w:ascii="Times New Roman" w:hAnsi="Times New Roman" w:eastAsia="宋体" w:cs="Times New Roman"/>
                      <w:color w:val="auto"/>
                      <w:sz w:val="24"/>
                      <w:szCs w:val="24"/>
                    </w:rPr>
                  </w:pPr>
                </w:p>
              </w:tc>
              <w:tc>
                <w:tcPr>
                  <w:tcW w:w="879" w:type="pct"/>
                  <w:vMerge w:val="continue"/>
                  <w:tcBorders>
                    <w:tl2br w:val="nil"/>
                    <w:tr2bl w:val="nil"/>
                  </w:tcBorders>
                  <w:vAlign w:val="center"/>
                </w:tcPr>
                <w:p w14:paraId="37818E10">
                  <w:pPr>
                    <w:widowControl w:val="0"/>
                    <w:spacing w:after="0"/>
                    <w:jc w:val="center"/>
                    <w:textAlignment w:val="center"/>
                    <w:rPr>
                      <w:rFonts w:hint="default" w:ascii="Times New Roman" w:hAnsi="Times New Roman" w:eastAsia="宋体" w:cs="Times New Roman"/>
                      <w:color w:val="auto"/>
                      <w:sz w:val="24"/>
                      <w:szCs w:val="24"/>
                      <w:lang w:val="en-US"/>
                    </w:rPr>
                  </w:pPr>
                </w:p>
              </w:tc>
              <w:tc>
                <w:tcPr>
                  <w:tcW w:w="1101" w:type="pct"/>
                  <w:tcBorders>
                    <w:tl2br w:val="nil"/>
                    <w:tr2bl w:val="nil"/>
                  </w:tcBorders>
                  <w:vAlign w:val="center"/>
                </w:tcPr>
                <w:p w14:paraId="240D1514">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下风向4#</w:t>
                  </w:r>
                </w:p>
              </w:tc>
              <w:tc>
                <w:tcPr>
                  <w:tcW w:w="1338" w:type="pct"/>
                  <w:tcBorders>
                    <w:tl2br w:val="nil"/>
                    <w:tr2bl w:val="nil"/>
                  </w:tcBorders>
                  <w:shd w:val="clear" w:color="auto" w:fill="auto"/>
                  <w:vAlign w:val="center"/>
                </w:tcPr>
                <w:p w14:paraId="4A109F57">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0.22</w:t>
                  </w:r>
                </w:p>
              </w:tc>
            </w:tr>
            <w:tr w14:paraId="0544BE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continue"/>
                  <w:tcBorders>
                    <w:tl2br w:val="nil"/>
                    <w:tr2bl w:val="nil"/>
                  </w:tcBorders>
                  <w:vAlign w:val="center"/>
                </w:tcPr>
                <w:p w14:paraId="633A56C1">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continue"/>
                  <w:tcBorders>
                    <w:tl2br w:val="nil"/>
                    <w:tr2bl w:val="nil"/>
                  </w:tcBorders>
                  <w:vAlign w:val="center"/>
                </w:tcPr>
                <w:p w14:paraId="6057F606">
                  <w:pPr>
                    <w:widowControl w:val="0"/>
                    <w:spacing w:after="0" w:line="220" w:lineRule="atLeast"/>
                    <w:jc w:val="center"/>
                    <w:rPr>
                      <w:rFonts w:hint="default" w:ascii="Times New Roman" w:hAnsi="Times New Roman" w:eastAsia="宋体" w:cs="Times New Roman"/>
                      <w:color w:val="auto"/>
                      <w:sz w:val="24"/>
                      <w:szCs w:val="24"/>
                    </w:rPr>
                  </w:pPr>
                </w:p>
              </w:tc>
              <w:tc>
                <w:tcPr>
                  <w:tcW w:w="879" w:type="pct"/>
                  <w:vMerge w:val="restart"/>
                  <w:tcBorders>
                    <w:tl2br w:val="nil"/>
                    <w:tr2bl w:val="nil"/>
                  </w:tcBorders>
                  <w:vAlign w:val="center"/>
                </w:tcPr>
                <w:p w14:paraId="7DD10E56">
                  <w:pPr>
                    <w:widowControl w:val="0"/>
                    <w:spacing w:after="0"/>
                    <w:jc w:val="center"/>
                    <w:textAlignment w:val="center"/>
                    <w:rPr>
                      <w:rFonts w:hint="default" w:ascii="Times New Roman" w:hAnsi="Times New Roman" w:eastAsia="宋体" w:cs="Times New Roman"/>
                      <w:color w:val="auto"/>
                      <w:sz w:val="24"/>
                      <w:szCs w:val="24"/>
                      <w:lang w:val="en-US"/>
                    </w:rPr>
                  </w:pPr>
                  <w:r>
                    <w:rPr>
                      <w:rFonts w:hint="eastAsia" w:ascii="Times New Roman" w:hAnsi="Times New Roman" w:cs="Times New Roman" w:eastAsiaTheme="minorEastAsia"/>
                      <w:color w:val="auto"/>
                      <w:sz w:val="24"/>
                      <w:szCs w:val="24"/>
                      <w:lang w:val="en-US" w:eastAsia="zh-CN"/>
                    </w:rPr>
                    <w:t>第二次</w:t>
                  </w:r>
                </w:p>
              </w:tc>
              <w:tc>
                <w:tcPr>
                  <w:tcW w:w="1101" w:type="pct"/>
                  <w:tcBorders>
                    <w:tl2br w:val="nil"/>
                    <w:tr2bl w:val="nil"/>
                  </w:tcBorders>
                  <w:vAlign w:val="center"/>
                </w:tcPr>
                <w:p w14:paraId="5C9B9FD4">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上风向1#</w:t>
                  </w:r>
                </w:p>
              </w:tc>
              <w:tc>
                <w:tcPr>
                  <w:tcW w:w="1338" w:type="pct"/>
                  <w:tcBorders>
                    <w:tl2br w:val="nil"/>
                    <w:tr2bl w:val="nil"/>
                  </w:tcBorders>
                  <w:shd w:val="clear" w:color="auto" w:fill="auto"/>
                  <w:vAlign w:val="center"/>
                </w:tcPr>
                <w:p w14:paraId="21ABC83A">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0.10</w:t>
                  </w:r>
                </w:p>
              </w:tc>
            </w:tr>
            <w:tr w14:paraId="74CE4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continue"/>
                  <w:tcBorders>
                    <w:tl2br w:val="nil"/>
                    <w:tr2bl w:val="nil"/>
                  </w:tcBorders>
                  <w:vAlign w:val="center"/>
                </w:tcPr>
                <w:p w14:paraId="3D4BEF83">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continue"/>
                  <w:tcBorders>
                    <w:tl2br w:val="nil"/>
                    <w:tr2bl w:val="nil"/>
                  </w:tcBorders>
                  <w:vAlign w:val="center"/>
                </w:tcPr>
                <w:p w14:paraId="5F7033CD">
                  <w:pPr>
                    <w:widowControl w:val="0"/>
                    <w:spacing w:after="0" w:line="220" w:lineRule="atLeast"/>
                    <w:jc w:val="center"/>
                    <w:rPr>
                      <w:rFonts w:hint="default" w:ascii="Times New Roman" w:hAnsi="Times New Roman" w:eastAsia="宋体" w:cs="Times New Roman"/>
                      <w:color w:val="auto"/>
                      <w:sz w:val="24"/>
                      <w:szCs w:val="24"/>
                    </w:rPr>
                  </w:pPr>
                </w:p>
              </w:tc>
              <w:tc>
                <w:tcPr>
                  <w:tcW w:w="879" w:type="pct"/>
                  <w:vMerge w:val="continue"/>
                  <w:tcBorders>
                    <w:tl2br w:val="nil"/>
                    <w:tr2bl w:val="nil"/>
                  </w:tcBorders>
                  <w:vAlign w:val="center"/>
                </w:tcPr>
                <w:p w14:paraId="7E9EA9A6">
                  <w:pPr>
                    <w:widowControl w:val="0"/>
                    <w:spacing w:after="0"/>
                    <w:jc w:val="center"/>
                    <w:textAlignment w:val="center"/>
                    <w:rPr>
                      <w:rFonts w:hint="default" w:ascii="Times New Roman" w:hAnsi="Times New Roman" w:eastAsia="宋体" w:cs="Times New Roman"/>
                      <w:color w:val="auto"/>
                      <w:sz w:val="24"/>
                      <w:szCs w:val="24"/>
                      <w:lang w:val="en-US"/>
                    </w:rPr>
                  </w:pPr>
                </w:p>
              </w:tc>
              <w:tc>
                <w:tcPr>
                  <w:tcW w:w="1101" w:type="pct"/>
                  <w:tcBorders>
                    <w:tl2br w:val="nil"/>
                    <w:tr2bl w:val="nil"/>
                  </w:tcBorders>
                  <w:vAlign w:val="center"/>
                </w:tcPr>
                <w:p w14:paraId="3BFFEF73">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下风向2#</w:t>
                  </w:r>
                </w:p>
              </w:tc>
              <w:tc>
                <w:tcPr>
                  <w:tcW w:w="1338" w:type="pct"/>
                  <w:tcBorders>
                    <w:tl2br w:val="nil"/>
                    <w:tr2bl w:val="nil"/>
                  </w:tcBorders>
                  <w:shd w:val="clear" w:color="auto" w:fill="auto"/>
                  <w:vAlign w:val="center"/>
                </w:tcPr>
                <w:p w14:paraId="20F85034">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0.21</w:t>
                  </w:r>
                </w:p>
              </w:tc>
            </w:tr>
            <w:tr w14:paraId="0599C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continue"/>
                  <w:tcBorders>
                    <w:tl2br w:val="nil"/>
                    <w:tr2bl w:val="nil"/>
                  </w:tcBorders>
                  <w:vAlign w:val="center"/>
                </w:tcPr>
                <w:p w14:paraId="2A7666C0">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continue"/>
                  <w:tcBorders>
                    <w:tl2br w:val="nil"/>
                    <w:tr2bl w:val="nil"/>
                  </w:tcBorders>
                  <w:vAlign w:val="center"/>
                </w:tcPr>
                <w:p w14:paraId="03F4D2F5">
                  <w:pPr>
                    <w:widowControl w:val="0"/>
                    <w:spacing w:after="0" w:line="220" w:lineRule="atLeast"/>
                    <w:jc w:val="center"/>
                    <w:rPr>
                      <w:rFonts w:hint="default" w:ascii="Times New Roman" w:hAnsi="Times New Roman" w:eastAsia="宋体" w:cs="Times New Roman"/>
                      <w:color w:val="auto"/>
                      <w:sz w:val="24"/>
                      <w:szCs w:val="24"/>
                    </w:rPr>
                  </w:pPr>
                </w:p>
              </w:tc>
              <w:tc>
                <w:tcPr>
                  <w:tcW w:w="879" w:type="pct"/>
                  <w:vMerge w:val="continue"/>
                  <w:tcBorders>
                    <w:tl2br w:val="nil"/>
                    <w:tr2bl w:val="nil"/>
                  </w:tcBorders>
                  <w:vAlign w:val="center"/>
                </w:tcPr>
                <w:p w14:paraId="5B1DC75A">
                  <w:pPr>
                    <w:widowControl w:val="0"/>
                    <w:spacing w:after="0"/>
                    <w:jc w:val="center"/>
                    <w:textAlignment w:val="center"/>
                    <w:rPr>
                      <w:rFonts w:hint="default" w:ascii="Times New Roman" w:hAnsi="Times New Roman" w:eastAsia="宋体" w:cs="Times New Roman"/>
                      <w:color w:val="auto"/>
                      <w:sz w:val="24"/>
                      <w:szCs w:val="24"/>
                      <w:lang w:val="en-US"/>
                    </w:rPr>
                  </w:pPr>
                </w:p>
              </w:tc>
              <w:tc>
                <w:tcPr>
                  <w:tcW w:w="1101" w:type="pct"/>
                  <w:tcBorders>
                    <w:tl2br w:val="nil"/>
                    <w:tr2bl w:val="nil"/>
                  </w:tcBorders>
                  <w:vAlign w:val="center"/>
                </w:tcPr>
                <w:p w14:paraId="1809885D">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下风向3#</w:t>
                  </w:r>
                </w:p>
              </w:tc>
              <w:tc>
                <w:tcPr>
                  <w:tcW w:w="1338" w:type="pct"/>
                  <w:tcBorders>
                    <w:tl2br w:val="nil"/>
                    <w:tr2bl w:val="nil"/>
                  </w:tcBorders>
                  <w:shd w:val="clear" w:color="auto" w:fill="auto"/>
                  <w:vAlign w:val="center"/>
                </w:tcPr>
                <w:p w14:paraId="2B53D055">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0.19</w:t>
                  </w:r>
                </w:p>
              </w:tc>
            </w:tr>
            <w:tr w14:paraId="3EA6C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continue"/>
                  <w:tcBorders>
                    <w:tl2br w:val="nil"/>
                    <w:tr2bl w:val="nil"/>
                  </w:tcBorders>
                  <w:vAlign w:val="center"/>
                </w:tcPr>
                <w:p w14:paraId="6C4735D9">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continue"/>
                  <w:tcBorders>
                    <w:tl2br w:val="nil"/>
                    <w:tr2bl w:val="nil"/>
                  </w:tcBorders>
                  <w:vAlign w:val="center"/>
                </w:tcPr>
                <w:p w14:paraId="50BDDC49">
                  <w:pPr>
                    <w:widowControl w:val="0"/>
                    <w:spacing w:after="0" w:line="220" w:lineRule="atLeast"/>
                    <w:jc w:val="center"/>
                    <w:rPr>
                      <w:rFonts w:hint="default" w:ascii="Times New Roman" w:hAnsi="Times New Roman" w:eastAsia="宋体" w:cs="Times New Roman"/>
                      <w:color w:val="auto"/>
                      <w:sz w:val="24"/>
                      <w:szCs w:val="24"/>
                    </w:rPr>
                  </w:pPr>
                </w:p>
              </w:tc>
              <w:tc>
                <w:tcPr>
                  <w:tcW w:w="879" w:type="pct"/>
                  <w:vMerge w:val="continue"/>
                  <w:tcBorders>
                    <w:tl2br w:val="nil"/>
                    <w:tr2bl w:val="nil"/>
                  </w:tcBorders>
                  <w:vAlign w:val="center"/>
                </w:tcPr>
                <w:p w14:paraId="07E68FE5">
                  <w:pPr>
                    <w:widowControl w:val="0"/>
                    <w:spacing w:after="0"/>
                    <w:jc w:val="center"/>
                    <w:textAlignment w:val="center"/>
                    <w:rPr>
                      <w:rFonts w:hint="default" w:ascii="Times New Roman" w:hAnsi="Times New Roman" w:eastAsia="宋体" w:cs="Times New Roman"/>
                      <w:color w:val="auto"/>
                      <w:sz w:val="24"/>
                      <w:szCs w:val="24"/>
                      <w:lang w:val="en-US" w:eastAsia="zh-CN"/>
                    </w:rPr>
                  </w:pPr>
                </w:p>
              </w:tc>
              <w:tc>
                <w:tcPr>
                  <w:tcW w:w="1101" w:type="pct"/>
                  <w:tcBorders>
                    <w:tl2br w:val="nil"/>
                    <w:tr2bl w:val="nil"/>
                  </w:tcBorders>
                  <w:vAlign w:val="center"/>
                </w:tcPr>
                <w:p w14:paraId="25D211AC">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下风向4#</w:t>
                  </w:r>
                </w:p>
              </w:tc>
              <w:tc>
                <w:tcPr>
                  <w:tcW w:w="1338" w:type="pct"/>
                  <w:tcBorders>
                    <w:tl2br w:val="nil"/>
                    <w:tr2bl w:val="nil"/>
                  </w:tcBorders>
                  <w:shd w:val="clear" w:color="auto" w:fill="auto"/>
                  <w:vAlign w:val="center"/>
                </w:tcPr>
                <w:p w14:paraId="18EBAD6B">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0.22</w:t>
                  </w:r>
                </w:p>
              </w:tc>
            </w:tr>
            <w:tr w14:paraId="412168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continue"/>
                  <w:tcBorders>
                    <w:tl2br w:val="nil"/>
                    <w:tr2bl w:val="nil"/>
                  </w:tcBorders>
                  <w:vAlign w:val="center"/>
                </w:tcPr>
                <w:p w14:paraId="7712652E">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continue"/>
                  <w:tcBorders>
                    <w:tl2br w:val="nil"/>
                    <w:tr2bl w:val="nil"/>
                  </w:tcBorders>
                  <w:vAlign w:val="center"/>
                </w:tcPr>
                <w:p w14:paraId="4387A437">
                  <w:pPr>
                    <w:widowControl w:val="0"/>
                    <w:spacing w:after="0" w:line="220" w:lineRule="atLeast"/>
                    <w:jc w:val="center"/>
                    <w:rPr>
                      <w:rFonts w:hint="default" w:ascii="Times New Roman" w:hAnsi="Times New Roman" w:eastAsia="宋体" w:cs="Times New Roman"/>
                      <w:color w:val="auto"/>
                      <w:sz w:val="24"/>
                      <w:szCs w:val="24"/>
                    </w:rPr>
                  </w:pPr>
                </w:p>
              </w:tc>
              <w:tc>
                <w:tcPr>
                  <w:tcW w:w="879" w:type="pct"/>
                  <w:vMerge w:val="restart"/>
                  <w:tcBorders>
                    <w:tl2br w:val="nil"/>
                    <w:tr2bl w:val="nil"/>
                  </w:tcBorders>
                  <w:vAlign w:val="center"/>
                </w:tcPr>
                <w:p w14:paraId="537E962B">
                  <w:pPr>
                    <w:widowControl w:val="0"/>
                    <w:spacing w:after="0"/>
                    <w:jc w:val="center"/>
                    <w:textAlignment w:val="center"/>
                    <w:rPr>
                      <w:rFonts w:hint="default" w:ascii="Times New Roman" w:hAnsi="Times New Roman" w:eastAsia="宋体" w:cs="Times New Roman"/>
                      <w:color w:val="auto"/>
                      <w:sz w:val="24"/>
                      <w:szCs w:val="24"/>
                      <w:lang w:val="en-US"/>
                    </w:rPr>
                  </w:pPr>
                  <w:r>
                    <w:rPr>
                      <w:rFonts w:hint="eastAsia" w:ascii="Times New Roman" w:hAnsi="Times New Roman" w:cs="Times New Roman" w:eastAsiaTheme="minorEastAsia"/>
                      <w:color w:val="auto"/>
                      <w:sz w:val="24"/>
                      <w:szCs w:val="24"/>
                      <w:lang w:val="en-US" w:eastAsia="zh-CN"/>
                    </w:rPr>
                    <w:t>第三次</w:t>
                  </w:r>
                </w:p>
              </w:tc>
              <w:tc>
                <w:tcPr>
                  <w:tcW w:w="1101" w:type="pct"/>
                  <w:tcBorders>
                    <w:tl2br w:val="nil"/>
                    <w:tr2bl w:val="nil"/>
                  </w:tcBorders>
                  <w:vAlign w:val="center"/>
                </w:tcPr>
                <w:p w14:paraId="3E949B4C">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上风向1#</w:t>
                  </w:r>
                </w:p>
              </w:tc>
              <w:tc>
                <w:tcPr>
                  <w:tcW w:w="1338" w:type="pct"/>
                  <w:tcBorders>
                    <w:tl2br w:val="nil"/>
                    <w:tr2bl w:val="nil"/>
                  </w:tcBorders>
                  <w:shd w:val="clear" w:color="auto" w:fill="auto"/>
                  <w:vAlign w:val="center"/>
                </w:tcPr>
                <w:p w14:paraId="258C94AD">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0.11</w:t>
                  </w:r>
                </w:p>
              </w:tc>
            </w:tr>
            <w:tr w14:paraId="0B010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continue"/>
                  <w:tcBorders>
                    <w:tl2br w:val="nil"/>
                    <w:tr2bl w:val="nil"/>
                  </w:tcBorders>
                  <w:vAlign w:val="center"/>
                </w:tcPr>
                <w:p w14:paraId="032DEA18">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continue"/>
                  <w:tcBorders>
                    <w:tl2br w:val="nil"/>
                    <w:tr2bl w:val="nil"/>
                  </w:tcBorders>
                  <w:vAlign w:val="center"/>
                </w:tcPr>
                <w:p w14:paraId="0556E3DC">
                  <w:pPr>
                    <w:widowControl w:val="0"/>
                    <w:spacing w:after="0" w:line="220" w:lineRule="atLeast"/>
                    <w:jc w:val="center"/>
                    <w:rPr>
                      <w:rFonts w:hint="default" w:ascii="Times New Roman" w:hAnsi="Times New Roman" w:eastAsia="宋体" w:cs="Times New Roman"/>
                      <w:color w:val="auto"/>
                      <w:sz w:val="24"/>
                      <w:szCs w:val="24"/>
                    </w:rPr>
                  </w:pPr>
                </w:p>
              </w:tc>
              <w:tc>
                <w:tcPr>
                  <w:tcW w:w="879" w:type="pct"/>
                  <w:vMerge w:val="continue"/>
                  <w:tcBorders>
                    <w:tl2br w:val="nil"/>
                    <w:tr2bl w:val="nil"/>
                  </w:tcBorders>
                  <w:vAlign w:val="center"/>
                </w:tcPr>
                <w:p w14:paraId="5A1D8FC4">
                  <w:pPr>
                    <w:widowControl w:val="0"/>
                    <w:spacing w:after="0"/>
                    <w:jc w:val="center"/>
                    <w:textAlignment w:val="center"/>
                    <w:rPr>
                      <w:rFonts w:hint="default" w:ascii="Times New Roman" w:hAnsi="Times New Roman" w:eastAsia="宋体" w:cs="Times New Roman"/>
                      <w:color w:val="auto"/>
                      <w:sz w:val="24"/>
                      <w:szCs w:val="24"/>
                      <w:lang w:val="en-US"/>
                    </w:rPr>
                  </w:pPr>
                </w:p>
              </w:tc>
              <w:tc>
                <w:tcPr>
                  <w:tcW w:w="1101" w:type="pct"/>
                  <w:tcBorders>
                    <w:tl2br w:val="nil"/>
                    <w:tr2bl w:val="nil"/>
                  </w:tcBorders>
                  <w:vAlign w:val="center"/>
                </w:tcPr>
                <w:p w14:paraId="521FEA55">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下风向2#</w:t>
                  </w:r>
                </w:p>
              </w:tc>
              <w:tc>
                <w:tcPr>
                  <w:tcW w:w="1338" w:type="pct"/>
                  <w:tcBorders>
                    <w:tl2br w:val="nil"/>
                    <w:tr2bl w:val="nil"/>
                  </w:tcBorders>
                  <w:shd w:val="clear" w:color="auto" w:fill="auto"/>
                  <w:vAlign w:val="center"/>
                </w:tcPr>
                <w:p w14:paraId="3562FF3B">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0.21</w:t>
                  </w:r>
                </w:p>
              </w:tc>
            </w:tr>
            <w:tr w14:paraId="0AF55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continue"/>
                  <w:tcBorders>
                    <w:tl2br w:val="nil"/>
                    <w:tr2bl w:val="nil"/>
                  </w:tcBorders>
                  <w:vAlign w:val="center"/>
                </w:tcPr>
                <w:p w14:paraId="38F5A237">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continue"/>
                  <w:tcBorders>
                    <w:tl2br w:val="nil"/>
                    <w:tr2bl w:val="nil"/>
                  </w:tcBorders>
                  <w:vAlign w:val="center"/>
                </w:tcPr>
                <w:p w14:paraId="50A7DFFE">
                  <w:pPr>
                    <w:widowControl w:val="0"/>
                    <w:spacing w:after="0" w:line="220" w:lineRule="atLeast"/>
                    <w:jc w:val="center"/>
                    <w:rPr>
                      <w:rFonts w:hint="default" w:ascii="Times New Roman" w:hAnsi="Times New Roman" w:eastAsia="宋体" w:cs="Times New Roman"/>
                      <w:color w:val="auto"/>
                      <w:sz w:val="24"/>
                      <w:szCs w:val="24"/>
                    </w:rPr>
                  </w:pPr>
                </w:p>
              </w:tc>
              <w:tc>
                <w:tcPr>
                  <w:tcW w:w="879" w:type="pct"/>
                  <w:vMerge w:val="continue"/>
                  <w:tcBorders>
                    <w:tl2br w:val="nil"/>
                    <w:tr2bl w:val="nil"/>
                  </w:tcBorders>
                  <w:vAlign w:val="center"/>
                </w:tcPr>
                <w:p w14:paraId="2D1A0E27">
                  <w:pPr>
                    <w:widowControl w:val="0"/>
                    <w:spacing w:after="0"/>
                    <w:jc w:val="center"/>
                    <w:textAlignment w:val="center"/>
                    <w:rPr>
                      <w:rFonts w:hint="default" w:ascii="Times New Roman" w:hAnsi="Times New Roman" w:eastAsia="宋体" w:cs="Times New Roman"/>
                      <w:color w:val="auto"/>
                      <w:sz w:val="24"/>
                      <w:szCs w:val="24"/>
                      <w:lang w:val="en-US"/>
                    </w:rPr>
                  </w:pPr>
                </w:p>
              </w:tc>
              <w:tc>
                <w:tcPr>
                  <w:tcW w:w="1101" w:type="pct"/>
                  <w:tcBorders>
                    <w:tl2br w:val="nil"/>
                    <w:tr2bl w:val="nil"/>
                  </w:tcBorders>
                  <w:vAlign w:val="center"/>
                </w:tcPr>
                <w:p w14:paraId="0B03CAF2">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下风向3#</w:t>
                  </w:r>
                </w:p>
              </w:tc>
              <w:tc>
                <w:tcPr>
                  <w:tcW w:w="1338" w:type="pct"/>
                  <w:tcBorders>
                    <w:tl2br w:val="nil"/>
                    <w:tr2bl w:val="nil"/>
                  </w:tcBorders>
                  <w:shd w:val="clear" w:color="auto" w:fill="auto"/>
                  <w:vAlign w:val="center"/>
                </w:tcPr>
                <w:p w14:paraId="4CA1BD86">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0.22</w:t>
                  </w:r>
                </w:p>
              </w:tc>
            </w:tr>
            <w:tr w14:paraId="7A9BEB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859" w:type="pct"/>
                  <w:vMerge w:val="continue"/>
                  <w:tcBorders>
                    <w:tl2br w:val="nil"/>
                    <w:tr2bl w:val="nil"/>
                  </w:tcBorders>
                  <w:vAlign w:val="center"/>
                </w:tcPr>
                <w:p w14:paraId="1ADCBF6C">
                  <w:pPr>
                    <w:widowControl w:val="0"/>
                    <w:spacing w:after="0" w:line="220" w:lineRule="atLeast"/>
                    <w:jc w:val="center"/>
                    <w:rPr>
                      <w:rFonts w:hint="default" w:ascii="Times New Roman" w:hAnsi="Times New Roman" w:eastAsia="宋体" w:cs="Times New Roman"/>
                      <w:color w:val="auto"/>
                      <w:sz w:val="24"/>
                      <w:szCs w:val="24"/>
                    </w:rPr>
                  </w:pPr>
                </w:p>
              </w:tc>
              <w:tc>
                <w:tcPr>
                  <w:tcW w:w="820" w:type="pct"/>
                  <w:vMerge w:val="continue"/>
                  <w:tcBorders>
                    <w:tl2br w:val="nil"/>
                    <w:tr2bl w:val="nil"/>
                  </w:tcBorders>
                  <w:vAlign w:val="center"/>
                </w:tcPr>
                <w:p w14:paraId="16B79FC0">
                  <w:pPr>
                    <w:widowControl w:val="0"/>
                    <w:spacing w:after="0" w:line="220" w:lineRule="atLeast"/>
                    <w:jc w:val="center"/>
                    <w:rPr>
                      <w:rFonts w:hint="default" w:ascii="Times New Roman" w:hAnsi="Times New Roman" w:eastAsia="宋体" w:cs="Times New Roman"/>
                      <w:color w:val="auto"/>
                      <w:sz w:val="24"/>
                      <w:szCs w:val="24"/>
                    </w:rPr>
                  </w:pPr>
                </w:p>
              </w:tc>
              <w:tc>
                <w:tcPr>
                  <w:tcW w:w="879" w:type="pct"/>
                  <w:vMerge w:val="continue"/>
                  <w:tcBorders>
                    <w:tl2br w:val="nil"/>
                    <w:tr2bl w:val="nil"/>
                  </w:tcBorders>
                  <w:vAlign w:val="center"/>
                </w:tcPr>
                <w:p w14:paraId="29733950">
                  <w:pPr>
                    <w:widowControl w:val="0"/>
                    <w:spacing w:after="0"/>
                    <w:jc w:val="center"/>
                    <w:textAlignment w:val="center"/>
                    <w:rPr>
                      <w:rFonts w:hint="default" w:ascii="Times New Roman" w:hAnsi="Times New Roman" w:eastAsia="宋体" w:cs="Times New Roman"/>
                      <w:color w:val="auto"/>
                      <w:sz w:val="24"/>
                      <w:szCs w:val="24"/>
                      <w:lang w:val="en-US"/>
                    </w:rPr>
                  </w:pPr>
                </w:p>
              </w:tc>
              <w:tc>
                <w:tcPr>
                  <w:tcW w:w="1101" w:type="pct"/>
                  <w:tcBorders>
                    <w:tl2br w:val="nil"/>
                    <w:tr2bl w:val="nil"/>
                  </w:tcBorders>
                  <w:vAlign w:val="center"/>
                </w:tcPr>
                <w:p w14:paraId="14A332BD">
                  <w:pPr>
                    <w:widowControl w:val="0"/>
                    <w:spacing w:after="0"/>
                    <w:jc w:val="center"/>
                    <w:textAlignment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下风向4#</w:t>
                  </w:r>
                </w:p>
              </w:tc>
              <w:tc>
                <w:tcPr>
                  <w:tcW w:w="1338" w:type="pct"/>
                  <w:tcBorders>
                    <w:tl2br w:val="nil"/>
                    <w:tr2bl w:val="nil"/>
                  </w:tcBorders>
                  <w:shd w:val="clear" w:color="auto" w:fill="auto"/>
                  <w:vAlign w:val="center"/>
                </w:tcPr>
                <w:p w14:paraId="28E422EB">
                  <w:pPr>
                    <w:widowControl w:val="0"/>
                    <w:spacing w:after="0"/>
                    <w:jc w:val="center"/>
                    <w:textAlignment w:val="center"/>
                    <w:rPr>
                      <w:rFonts w:hint="default"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0.20</w:t>
                  </w:r>
                </w:p>
              </w:tc>
            </w:tr>
          </w:tbl>
          <w:p w14:paraId="652D9651">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上表可知：</w:t>
            </w:r>
            <w:r>
              <w:rPr>
                <w:rFonts w:hint="default" w:ascii="Times New Roman" w:hAnsi="Times New Roman" w:cs="Times New Roman"/>
                <w:b w:val="0"/>
                <w:bCs w:val="0"/>
                <w:color w:val="auto"/>
                <w:sz w:val="24"/>
                <w:szCs w:val="24"/>
                <w:highlight w:val="none"/>
                <w:lang w:val="en-US" w:eastAsia="zh-CN"/>
              </w:rPr>
              <w:t>厂界</w:t>
            </w:r>
            <w:r>
              <w:rPr>
                <w:rFonts w:hint="default" w:ascii="Times New Roman" w:hAnsi="Times New Roman" w:eastAsia="宋体" w:cs="Times New Roman"/>
                <w:b w:val="0"/>
                <w:bCs w:val="0"/>
                <w:color w:val="auto"/>
                <w:sz w:val="24"/>
                <w:szCs w:val="24"/>
                <w:highlight w:val="none"/>
                <w:lang w:val="en-US" w:eastAsia="zh-CN"/>
              </w:rPr>
              <w:t>无组织</w:t>
            </w:r>
            <w:r>
              <w:rPr>
                <w:rFonts w:hint="default" w:ascii="Times New Roman" w:hAnsi="Times New Roman" w:cs="Times New Roman"/>
                <w:b w:val="0"/>
                <w:bCs w:val="0"/>
                <w:color w:val="auto"/>
                <w:sz w:val="24"/>
                <w:szCs w:val="24"/>
                <w:highlight w:val="none"/>
                <w:lang w:val="en-US" w:eastAsia="zh-CN"/>
              </w:rPr>
              <w:t>颗粒物</w:t>
            </w:r>
            <w:r>
              <w:rPr>
                <w:rFonts w:hint="default" w:ascii="Times New Roman" w:hAnsi="Times New Roman" w:eastAsia="宋体" w:cs="Times New Roman"/>
                <w:color w:val="auto"/>
                <w:sz w:val="24"/>
                <w:szCs w:val="24"/>
                <w:highlight w:val="none"/>
                <w:lang w:val="en-US" w:eastAsia="zh-CN"/>
              </w:rPr>
              <w:t>满足现行</w:t>
            </w:r>
            <w:r>
              <w:rPr>
                <w:rFonts w:hint="default" w:ascii="Times New Roman" w:hAnsi="Times New Roman" w:cs="Times New Roman"/>
                <w:color w:val="auto"/>
                <w:sz w:val="24"/>
                <w:szCs w:val="24"/>
                <w:highlight w:val="none"/>
              </w:rPr>
              <w:t>《大气污染物综合排放标准》（GB16297-1996）表2新污染源大气污染物排放限值中周界外浓度最高点限值要求（颗粒物1.0mg/m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无组织氨逃逸满足《恶臭污染物排放标准》（GB14554-93）表1恶臭污染物厂界标准值（氨：1.5mg/m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w:t>
            </w:r>
          </w:p>
          <w:p w14:paraId="1EF7B2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（2）废水</w:t>
            </w:r>
          </w:p>
          <w:p w14:paraId="07A5E449">
            <w:pPr>
              <w:pStyle w:val="2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淄博锦明陶瓷材料有限公司职工生活污水经化粪池收集后，定期清挖堆肥</w:t>
            </w:r>
            <w:r>
              <w:rPr>
                <w:rFonts w:hint="default" w:ascii="Times New Roman" w:hAnsi="Times New Roman" w:eastAsia="宋体" w:cs="Times New Roman"/>
                <w:b w:val="0"/>
                <w:bCs w:val="0"/>
                <w:color w:val="auto"/>
                <w:sz w:val="24"/>
                <w:szCs w:val="24"/>
                <w:highlight w:val="none"/>
                <w:lang w:val="en-US" w:eastAsia="zh-CN"/>
              </w:rPr>
              <w:t>。</w:t>
            </w:r>
          </w:p>
          <w:p w14:paraId="2B04896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）噪声</w:t>
            </w:r>
          </w:p>
          <w:p w14:paraId="34D525D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1"/>
                <w:szCs w:val="21"/>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表2-11  项目厂界环境检测结果一览表</w:t>
            </w:r>
          </w:p>
          <w:tbl>
            <w:tblPr>
              <w:tblStyle w:val="2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25"/>
              <w:gridCol w:w="2459"/>
              <w:gridCol w:w="1809"/>
              <w:gridCol w:w="1779"/>
            </w:tblGrid>
            <w:tr w14:paraId="701592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pct"/>
                  <w:tcBorders>
                    <w:tl2br w:val="nil"/>
                    <w:tr2bl w:val="nil"/>
                  </w:tcBorders>
                  <w:noWrap w:val="0"/>
                  <w:vAlign w:val="center"/>
                </w:tcPr>
                <w:p w14:paraId="5AFA9A2C">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default" w:ascii="Times New Roman" w:hAnsi="Times New Roman" w:eastAsia="宋体" w:cs="Times New Roman"/>
                      <w:snapToGrid/>
                      <w:color w:val="auto"/>
                      <w:kern w:val="2"/>
                      <w:sz w:val="21"/>
                      <w:szCs w:val="21"/>
                      <w:highlight w:val="none"/>
                      <w:vertAlign w:val="baseline"/>
                      <w:lang w:val="en-US" w:eastAsia="zh-CN" w:bidi="ar-SA"/>
                    </w:rPr>
                  </w:pPr>
                  <w:r>
                    <w:rPr>
                      <w:rFonts w:hint="default" w:ascii="Times New Roman" w:hAnsi="Times New Roman" w:eastAsia="宋体" w:cs="Times New Roman"/>
                      <w:snapToGrid/>
                      <w:color w:val="auto"/>
                      <w:kern w:val="2"/>
                      <w:sz w:val="21"/>
                      <w:szCs w:val="21"/>
                      <w:highlight w:val="none"/>
                      <w:vertAlign w:val="baseline"/>
                      <w:lang w:val="en-US" w:eastAsia="zh-CN" w:bidi="ar-SA"/>
                    </w:rPr>
                    <w:t>点位</w:t>
                  </w:r>
                </w:p>
              </w:tc>
              <w:tc>
                <w:tcPr>
                  <w:tcW w:w="1562" w:type="pct"/>
                  <w:tcBorders>
                    <w:tl2br w:val="nil"/>
                    <w:tr2bl w:val="nil"/>
                  </w:tcBorders>
                  <w:noWrap w:val="0"/>
                  <w:vAlign w:val="center"/>
                </w:tcPr>
                <w:p w14:paraId="5ABF7155">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default" w:ascii="Times New Roman" w:hAnsi="Times New Roman" w:eastAsia="宋体" w:cs="Times New Roman"/>
                      <w:snapToGrid/>
                      <w:color w:val="auto"/>
                      <w:kern w:val="2"/>
                      <w:sz w:val="21"/>
                      <w:szCs w:val="21"/>
                      <w:highlight w:val="none"/>
                      <w:vertAlign w:val="baseline"/>
                      <w:lang w:val="en-US" w:eastAsia="zh-CN" w:bidi="ar-SA"/>
                    </w:rPr>
                  </w:pPr>
                  <w:r>
                    <w:rPr>
                      <w:rFonts w:hint="eastAsia" w:cs="Times New Roman"/>
                      <w:snapToGrid/>
                      <w:color w:val="auto"/>
                      <w:kern w:val="2"/>
                      <w:sz w:val="21"/>
                      <w:szCs w:val="21"/>
                      <w:highlight w:val="none"/>
                      <w:vertAlign w:val="baseline"/>
                      <w:lang w:val="en-US" w:eastAsia="zh-CN" w:bidi="ar-SA"/>
                    </w:rPr>
                    <w:t>时间</w:t>
                  </w:r>
                </w:p>
              </w:tc>
              <w:tc>
                <w:tcPr>
                  <w:tcW w:w="1149" w:type="pct"/>
                  <w:tcBorders>
                    <w:tl2br w:val="nil"/>
                    <w:tr2bl w:val="nil"/>
                  </w:tcBorders>
                  <w:noWrap w:val="0"/>
                  <w:vAlign w:val="center"/>
                </w:tcPr>
                <w:p w14:paraId="4754C88D">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default" w:ascii="Times New Roman" w:hAnsi="Times New Roman" w:eastAsia="宋体" w:cs="Times New Roman"/>
                      <w:snapToGrid/>
                      <w:color w:val="auto"/>
                      <w:kern w:val="2"/>
                      <w:sz w:val="21"/>
                      <w:szCs w:val="21"/>
                      <w:highlight w:val="none"/>
                      <w:vertAlign w:val="baseline"/>
                      <w:lang w:val="en-US" w:eastAsia="zh-CN" w:bidi="ar-SA"/>
                    </w:rPr>
                  </w:pPr>
                  <w:r>
                    <w:rPr>
                      <w:rFonts w:hint="default" w:ascii="Times New Roman" w:hAnsi="Times New Roman" w:eastAsia="宋体" w:cs="Times New Roman"/>
                      <w:snapToGrid/>
                      <w:color w:val="auto"/>
                      <w:kern w:val="2"/>
                      <w:sz w:val="21"/>
                      <w:szCs w:val="21"/>
                      <w:highlight w:val="none"/>
                      <w:vertAlign w:val="baseline"/>
                      <w:lang w:val="en-US" w:eastAsia="zh-CN" w:bidi="ar-SA"/>
                    </w:rPr>
                    <w:t>昼间（dB(A)）</w:t>
                  </w:r>
                </w:p>
              </w:tc>
              <w:tc>
                <w:tcPr>
                  <w:tcW w:w="1128" w:type="pct"/>
                  <w:tcBorders>
                    <w:tl2br w:val="nil"/>
                    <w:tr2bl w:val="nil"/>
                  </w:tcBorders>
                  <w:noWrap w:val="0"/>
                  <w:vAlign w:val="center"/>
                </w:tcPr>
                <w:p w14:paraId="44090DA2">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default" w:ascii="Times New Roman" w:hAnsi="Times New Roman" w:eastAsia="宋体" w:cs="Times New Roman"/>
                      <w:snapToGrid/>
                      <w:color w:val="auto"/>
                      <w:kern w:val="2"/>
                      <w:sz w:val="21"/>
                      <w:szCs w:val="21"/>
                      <w:highlight w:val="none"/>
                      <w:vertAlign w:val="baseline"/>
                      <w:lang w:val="en-US" w:eastAsia="zh-CN" w:bidi="ar-SA"/>
                    </w:rPr>
                  </w:pPr>
                  <w:r>
                    <w:rPr>
                      <w:rFonts w:hint="default" w:ascii="Times New Roman" w:hAnsi="Times New Roman" w:eastAsia="宋体" w:cs="Times New Roman"/>
                      <w:snapToGrid/>
                      <w:color w:val="auto"/>
                      <w:kern w:val="2"/>
                      <w:sz w:val="21"/>
                      <w:szCs w:val="21"/>
                      <w:highlight w:val="none"/>
                      <w:vertAlign w:val="baseline"/>
                      <w:lang w:val="en-US" w:eastAsia="zh-CN" w:bidi="ar-SA"/>
                    </w:rPr>
                    <w:t>夜间（dB(A)）</w:t>
                  </w:r>
                </w:p>
              </w:tc>
            </w:tr>
            <w:tr w14:paraId="74F6E6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pct"/>
                  <w:tcBorders>
                    <w:tl2br w:val="nil"/>
                    <w:tr2bl w:val="nil"/>
                  </w:tcBorders>
                  <w:noWrap w:val="0"/>
                  <w:vAlign w:val="center"/>
                </w:tcPr>
                <w:p w14:paraId="65672098">
                  <w:pPr>
                    <w:spacing w:after="0" w:line="220" w:lineRule="atLeast"/>
                    <w:jc w:val="center"/>
                    <w:rPr>
                      <w:rFonts w:hint="default" w:ascii="Times New Roman" w:hAnsi="Times New Roman" w:eastAsia="宋体" w:cs="Times New Roman"/>
                      <w:snapToGrid/>
                      <w:color w:val="auto"/>
                      <w:kern w:val="2"/>
                      <w:sz w:val="21"/>
                      <w:szCs w:val="21"/>
                      <w:highlight w:val="none"/>
                      <w:vertAlign w:val="baseline"/>
                      <w:lang w:val="en-US" w:eastAsia="zh-CN" w:bidi="ar-SA"/>
                    </w:rPr>
                  </w:pPr>
                  <w:r>
                    <w:rPr>
                      <w:rFonts w:hint="eastAsia" w:ascii="Times New Roman" w:hAnsi="宋体" w:eastAsia="宋体" w:cs="Times New Roman"/>
                      <w:color w:val="auto"/>
                      <w:sz w:val="21"/>
                      <w:szCs w:val="21"/>
                      <w:lang w:eastAsia="zh-CN"/>
                    </w:rPr>
                    <w:t>厂界</w:t>
                  </w:r>
                  <w:r>
                    <w:rPr>
                      <w:rFonts w:hint="eastAsia" w:ascii="Times New Roman" w:hAnsi="宋体" w:eastAsia="宋体" w:cs="Times New Roman"/>
                      <w:color w:val="auto"/>
                      <w:sz w:val="21"/>
                      <w:szCs w:val="21"/>
                      <w:lang w:val="en-US" w:eastAsia="zh-CN"/>
                    </w:rPr>
                    <w:t>东</w:t>
                  </w:r>
                  <w:r>
                    <w:rPr>
                      <w:rFonts w:hint="eastAsia" w:ascii="Times New Roman" w:hAnsi="宋体" w:eastAsia="宋体" w:cs="Times New Roman"/>
                      <w:color w:val="auto"/>
                      <w:sz w:val="21"/>
                      <w:szCs w:val="21"/>
                      <w:lang w:eastAsia="zh-CN"/>
                    </w:rPr>
                    <w:t>外</w:t>
                  </w:r>
                  <w:r>
                    <w:rPr>
                      <w:rFonts w:hint="eastAsia" w:ascii="Times New Roman" w:hAnsi="宋体" w:eastAsia="宋体" w:cs="Times New Roman"/>
                      <w:color w:val="auto"/>
                      <w:sz w:val="21"/>
                      <w:szCs w:val="21"/>
                      <w:lang w:val="en-US" w:eastAsia="zh-CN"/>
                    </w:rPr>
                    <w:t>1米处</w:t>
                  </w:r>
                </w:p>
              </w:tc>
              <w:tc>
                <w:tcPr>
                  <w:tcW w:w="1562" w:type="pct"/>
                  <w:tcBorders>
                    <w:tl2br w:val="nil"/>
                    <w:tr2bl w:val="nil"/>
                  </w:tcBorders>
                  <w:noWrap w:val="0"/>
                  <w:vAlign w:val="center"/>
                </w:tcPr>
                <w:p w14:paraId="7ECF7D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cs="Times New Roman" w:eastAsiaTheme="minorEastAsia"/>
                      <w:color w:val="auto"/>
                      <w:sz w:val="21"/>
                      <w:szCs w:val="21"/>
                      <w:lang w:eastAsia="zh-CN"/>
                    </w:rPr>
                    <w:t>2026年01月30日</w:t>
                  </w:r>
                </w:p>
              </w:tc>
              <w:tc>
                <w:tcPr>
                  <w:tcW w:w="1149" w:type="pct"/>
                  <w:tcBorders>
                    <w:tl2br w:val="nil"/>
                    <w:tr2bl w:val="nil"/>
                  </w:tcBorders>
                  <w:noWrap w:val="0"/>
                  <w:vAlign w:val="center"/>
                </w:tcPr>
                <w:p w14:paraId="15D6072E">
                  <w:pPr>
                    <w:spacing w:after="0" w:line="220" w:lineRule="atLeas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hAnsiTheme="minorEastAsia" w:eastAsiaTheme="minorEastAsia"/>
                      <w:color w:val="auto"/>
                      <w:sz w:val="21"/>
                      <w:szCs w:val="21"/>
                      <w:lang w:val="en-US" w:eastAsia="zh-CN"/>
                    </w:rPr>
                    <w:t>54.4</w:t>
                  </w:r>
                </w:p>
              </w:tc>
              <w:tc>
                <w:tcPr>
                  <w:tcW w:w="1128" w:type="pct"/>
                  <w:tcBorders>
                    <w:tl2br w:val="nil"/>
                    <w:tr2bl w:val="nil"/>
                  </w:tcBorders>
                  <w:noWrap w:val="0"/>
                  <w:vAlign w:val="center"/>
                </w:tcPr>
                <w:p w14:paraId="2993084D">
                  <w:pPr>
                    <w:spacing w:after="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eastAsiaTheme="minorEastAsia"/>
                      <w:color w:val="auto"/>
                      <w:sz w:val="21"/>
                      <w:szCs w:val="21"/>
                      <w:lang w:val="en-US" w:eastAsia="zh-CN"/>
                    </w:rPr>
                    <w:t>46.5</w:t>
                  </w:r>
                </w:p>
              </w:tc>
            </w:tr>
            <w:tr w14:paraId="79D891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pct"/>
                  <w:tcBorders>
                    <w:tl2br w:val="nil"/>
                    <w:tr2bl w:val="nil"/>
                  </w:tcBorders>
                  <w:noWrap w:val="0"/>
                  <w:vAlign w:val="center"/>
                </w:tcPr>
                <w:p w14:paraId="18393A58">
                  <w:pPr>
                    <w:spacing w:after="0" w:line="220" w:lineRule="atLeast"/>
                    <w:jc w:val="center"/>
                    <w:rPr>
                      <w:rFonts w:hint="default" w:ascii="Times New Roman" w:hAnsi="Times New Roman" w:eastAsia="宋体" w:cs="Times New Roman"/>
                      <w:snapToGrid/>
                      <w:color w:val="auto"/>
                      <w:kern w:val="2"/>
                      <w:sz w:val="21"/>
                      <w:szCs w:val="21"/>
                      <w:highlight w:val="none"/>
                      <w:vertAlign w:val="baseline"/>
                      <w:lang w:val="en-US" w:eastAsia="zh-CN" w:bidi="ar-SA"/>
                    </w:rPr>
                  </w:pPr>
                  <w:r>
                    <w:rPr>
                      <w:rFonts w:hint="eastAsia" w:ascii="Times New Roman" w:hAnsi="宋体" w:eastAsia="宋体" w:cs="Times New Roman"/>
                      <w:color w:val="auto"/>
                      <w:sz w:val="21"/>
                      <w:szCs w:val="21"/>
                      <w:lang w:eastAsia="zh-CN"/>
                    </w:rPr>
                    <w:t>厂界</w:t>
                  </w:r>
                  <w:r>
                    <w:rPr>
                      <w:rFonts w:hint="eastAsia" w:ascii="Times New Roman" w:hAnsi="宋体" w:eastAsia="宋体" w:cs="Times New Roman"/>
                      <w:color w:val="auto"/>
                      <w:sz w:val="21"/>
                      <w:szCs w:val="21"/>
                      <w:lang w:val="en-US" w:eastAsia="zh-CN"/>
                    </w:rPr>
                    <w:t>西</w:t>
                  </w:r>
                  <w:r>
                    <w:rPr>
                      <w:rFonts w:hint="eastAsia" w:ascii="Times New Roman" w:hAnsi="宋体" w:eastAsia="宋体" w:cs="Times New Roman"/>
                      <w:color w:val="auto"/>
                      <w:sz w:val="21"/>
                      <w:szCs w:val="21"/>
                      <w:lang w:eastAsia="zh-CN"/>
                    </w:rPr>
                    <w:t>外</w:t>
                  </w:r>
                  <w:r>
                    <w:rPr>
                      <w:rFonts w:hint="eastAsia" w:ascii="Times New Roman" w:hAnsi="宋体" w:eastAsia="宋体" w:cs="Times New Roman"/>
                      <w:color w:val="auto"/>
                      <w:sz w:val="21"/>
                      <w:szCs w:val="21"/>
                      <w:lang w:val="en-US" w:eastAsia="zh-CN"/>
                    </w:rPr>
                    <w:t>1米处</w:t>
                  </w:r>
                </w:p>
              </w:tc>
              <w:tc>
                <w:tcPr>
                  <w:tcW w:w="1562" w:type="pct"/>
                  <w:tcBorders>
                    <w:tl2br w:val="nil"/>
                    <w:tr2bl w:val="nil"/>
                  </w:tcBorders>
                  <w:noWrap w:val="0"/>
                  <w:vAlign w:val="center"/>
                </w:tcPr>
                <w:p w14:paraId="321093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cs="Times New Roman" w:eastAsiaTheme="minorEastAsia"/>
                      <w:color w:val="auto"/>
                      <w:sz w:val="21"/>
                      <w:szCs w:val="21"/>
                      <w:lang w:eastAsia="zh-CN"/>
                    </w:rPr>
                    <w:t>2026年01月30日</w:t>
                  </w:r>
                </w:p>
              </w:tc>
              <w:tc>
                <w:tcPr>
                  <w:tcW w:w="1149" w:type="pct"/>
                  <w:tcBorders>
                    <w:tl2br w:val="nil"/>
                    <w:tr2bl w:val="nil"/>
                  </w:tcBorders>
                  <w:noWrap w:val="0"/>
                  <w:vAlign w:val="center"/>
                </w:tcPr>
                <w:p w14:paraId="43E58857">
                  <w:pPr>
                    <w:spacing w:after="0" w:line="220" w:lineRule="atLeas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hAnsiTheme="minorEastAsia" w:eastAsiaTheme="minorEastAsia"/>
                      <w:color w:val="auto"/>
                      <w:sz w:val="21"/>
                      <w:szCs w:val="21"/>
                      <w:lang w:val="en-US" w:eastAsia="zh-CN"/>
                    </w:rPr>
                    <w:t>51.6</w:t>
                  </w:r>
                </w:p>
              </w:tc>
              <w:tc>
                <w:tcPr>
                  <w:tcW w:w="1128" w:type="pct"/>
                  <w:tcBorders>
                    <w:tl2br w:val="nil"/>
                    <w:tr2bl w:val="nil"/>
                  </w:tcBorders>
                  <w:noWrap w:val="0"/>
                  <w:vAlign w:val="center"/>
                </w:tcPr>
                <w:p w14:paraId="79370E0D">
                  <w:pPr>
                    <w:spacing w:after="0" w:line="220" w:lineRule="atLeas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hAnsiTheme="minorEastAsia" w:eastAsiaTheme="minorEastAsia"/>
                      <w:color w:val="auto"/>
                      <w:sz w:val="21"/>
                      <w:szCs w:val="21"/>
                      <w:lang w:val="en-US" w:eastAsia="zh-CN"/>
                    </w:rPr>
                    <w:t>46.9</w:t>
                  </w:r>
                </w:p>
              </w:tc>
            </w:tr>
            <w:tr w14:paraId="38FB9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pct"/>
                  <w:tcBorders>
                    <w:tl2br w:val="nil"/>
                    <w:tr2bl w:val="nil"/>
                  </w:tcBorders>
                  <w:noWrap w:val="0"/>
                  <w:vAlign w:val="center"/>
                </w:tcPr>
                <w:p w14:paraId="68AF347B">
                  <w:pPr>
                    <w:spacing w:after="0" w:line="220" w:lineRule="atLeast"/>
                    <w:jc w:val="center"/>
                    <w:rPr>
                      <w:rFonts w:hint="default" w:ascii="Times New Roman" w:hAnsi="Times New Roman" w:eastAsia="宋体" w:cs="Times New Roman"/>
                      <w:snapToGrid/>
                      <w:color w:val="auto"/>
                      <w:kern w:val="2"/>
                      <w:sz w:val="21"/>
                      <w:szCs w:val="21"/>
                      <w:highlight w:val="none"/>
                      <w:vertAlign w:val="baseline"/>
                      <w:lang w:val="en-US" w:eastAsia="zh-CN" w:bidi="ar-SA"/>
                    </w:rPr>
                  </w:pPr>
                  <w:r>
                    <w:rPr>
                      <w:rFonts w:hint="eastAsia" w:ascii="Times New Roman" w:hAnsi="宋体" w:eastAsia="宋体" w:cs="Times New Roman"/>
                      <w:color w:val="auto"/>
                      <w:sz w:val="21"/>
                      <w:szCs w:val="21"/>
                      <w:lang w:eastAsia="zh-CN"/>
                    </w:rPr>
                    <w:t>厂界</w:t>
                  </w:r>
                  <w:r>
                    <w:rPr>
                      <w:rFonts w:hint="eastAsia" w:ascii="Times New Roman" w:hAnsi="宋体" w:eastAsia="宋体" w:cs="Times New Roman"/>
                      <w:color w:val="auto"/>
                      <w:sz w:val="21"/>
                      <w:szCs w:val="21"/>
                      <w:lang w:val="en-US" w:eastAsia="zh-CN"/>
                    </w:rPr>
                    <w:t>北</w:t>
                  </w:r>
                  <w:r>
                    <w:rPr>
                      <w:rFonts w:hint="eastAsia" w:ascii="Times New Roman" w:hAnsi="宋体" w:eastAsia="宋体" w:cs="Times New Roman"/>
                      <w:color w:val="auto"/>
                      <w:sz w:val="21"/>
                      <w:szCs w:val="21"/>
                      <w:lang w:eastAsia="zh-CN"/>
                    </w:rPr>
                    <w:t>外</w:t>
                  </w:r>
                  <w:r>
                    <w:rPr>
                      <w:rFonts w:hint="eastAsia" w:ascii="Times New Roman" w:hAnsi="宋体" w:eastAsia="宋体" w:cs="Times New Roman"/>
                      <w:color w:val="auto"/>
                      <w:sz w:val="21"/>
                      <w:szCs w:val="21"/>
                      <w:lang w:val="en-US" w:eastAsia="zh-CN"/>
                    </w:rPr>
                    <w:t>1米处</w:t>
                  </w:r>
                </w:p>
              </w:tc>
              <w:tc>
                <w:tcPr>
                  <w:tcW w:w="1562" w:type="pct"/>
                  <w:tcBorders>
                    <w:tl2br w:val="nil"/>
                    <w:tr2bl w:val="nil"/>
                  </w:tcBorders>
                  <w:noWrap w:val="0"/>
                  <w:vAlign w:val="center"/>
                </w:tcPr>
                <w:p w14:paraId="0A9BFC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vertAlign w:val="baseline"/>
                      <w:lang w:val="en-US" w:eastAsia="zh-CN"/>
                    </w:rPr>
                  </w:pPr>
                  <w:r>
                    <w:rPr>
                      <w:rFonts w:hint="eastAsia" w:ascii="Times New Roman" w:hAnsi="Times New Roman" w:cs="Times New Roman" w:eastAsiaTheme="minorEastAsia"/>
                      <w:color w:val="auto"/>
                      <w:sz w:val="21"/>
                      <w:szCs w:val="21"/>
                      <w:lang w:eastAsia="zh-CN"/>
                    </w:rPr>
                    <w:t>2026年01月30日</w:t>
                  </w:r>
                </w:p>
              </w:tc>
              <w:tc>
                <w:tcPr>
                  <w:tcW w:w="1149" w:type="pct"/>
                  <w:tcBorders>
                    <w:tl2br w:val="nil"/>
                    <w:tr2bl w:val="nil"/>
                  </w:tcBorders>
                  <w:noWrap w:val="0"/>
                  <w:vAlign w:val="center"/>
                </w:tcPr>
                <w:p w14:paraId="2C11CF18">
                  <w:pPr>
                    <w:spacing w:after="0" w:line="220" w:lineRule="atLeas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hAnsiTheme="minorEastAsia" w:eastAsiaTheme="minorEastAsia"/>
                      <w:color w:val="auto"/>
                      <w:sz w:val="21"/>
                      <w:szCs w:val="21"/>
                      <w:lang w:val="en-US" w:eastAsia="zh-CN"/>
                    </w:rPr>
                    <w:t>55.0</w:t>
                  </w:r>
                </w:p>
              </w:tc>
              <w:tc>
                <w:tcPr>
                  <w:tcW w:w="1128" w:type="pct"/>
                  <w:tcBorders>
                    <w:tl2br w:val="nil"/>
                    <w:tr2bl w:val="nil"/>
                  </w:tcBorders>
                  <w:noWrap w:val="0"/>
                  <w:vAlign w:val="center"/>
                </w:tcPr>
                <w:p w14:paraId="349D8739">
                  <w:pPr>
                    <w:spacing w:after="0" w:line="220" w:lineRule="atLeast"/>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hAnsiTheme="minorEastAsia" w:eastAsiaTheme="minorEastAsia"/>
                      <w:color w:val="auto"/>
                      <w:sz w:val="21"/>
                      <w:szCs w:val="21"/>
                      <w:lang w:val="en-US" w:eastAsia="zh-CN"/>
                    </w:rPr>
                    <w:t>46.8</w:t>
                  </w:r>
                </w:p>
              </w:tc>
            </w:tr>
            <w:tr w14:paraId="02FAF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59" w:type="pct"/>
                  <w:tcBorders>
                    <w:tl2br w:val="nil"/>
                    <w:tr2bl w:val="nil"/>
                  </w:tcBorders>
                  <w:noWrap w:val="0"/>
                  <w:vAlign w:val="center"/>
                </w:tcPr>
                <w:p w14:paraId="6DF49DA1">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default" w:ascii="Times New Roman" w:hAnsi="Times New Roman" w:eastAsia="宋体" w:cs="Times New Roman"/>
                      <w:snapToGrid/>
                      <w:color w:val="auto"/>
                      <w:kern w:val="2"/>
                      <w:sz w:val="21"/>
                      <w:szCs w:val="21"/>
                      <w:highlight w:val="none"/>
                      <w:vertAlign w:val="baseline"/>
                      <w:lang w:val="en-US" w:eastAsia="zh-CN" w:bidi="ar-SA"/>
                    </w:rPr>
                  </w:pPr>
                  <w:r>
                    <w:rPr>
                      <w:rFonts w:hint="default" w:ascii="Times New Roman" w:hAnsi="Times New Roman" w:eastAsia="宋体" w:cs="Times New Roman"/>
                      <w:snapToGrid/>
                      <w:color w:val="auto"/>
                      <w:kern w:val="2"/>
                      <w:sz w:val="21"/>
                      <w:szCs w:val="21"/>
                      <w:highlight w:val="none"/>
                      <w:vertAlign w:val="baseline"/>
                      <w:lang w:val="en-US" w:eastAsia="zh-CN" w:bidi="ar-SA"/>
                    </w:rPr>
                    <w:t>标准值</w:t>
                  </w:r>
                </w:p>
              </w:tc>
              <w:tc>
                <w:tcPr>
                  <w:tcW w:w="1562" w:type="pct"/>
                  <w:tcBorders>
                    <w:tl2br w:val="nil"/>
                    <w:tr2bl w:val="nil"/>
                  </w:tcBorders>
                  <w:noWrap w:val="0"/>
                  <w:vAlign w:val="center"/>
                </w:tcPr>
                <w:p w14:paraId="79CCAB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1149" w:type="pct"/>
                  <w:tcBorders>
                    <w:tl2br w:val="nil"/>
                    <w:tr2bl w:val="nil"/>
                  </w:tcBorders>
                  <w:noWrap w:val="0"/>
                  <w:vAlign w:val="center"/>
                </w:tcPr>
                <w:p w14:paraId="43BB37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60</w:t>
                  </w:r>
                </w:p>
              </w:tc>
              <w:tc>
                <w:tcPr>
                  <w:tcW w:w="1128" w:type="pct"/>
                  <w:tcBorders>
                    <w:tl2br w:val="nil"/>
                    <w:tr2bl w:val="nil"/>
                  </w:tcBorders>
                  <w:noWrap w:val="0"/>
                  <w:vAlign w:val="center"/>
                </w:tcPr>
                <w:p w14:paraId="7CB146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50</w:t>
                  </w:r>
                </w:p>
              </w:tc>
            </w:tr>
            <w:tr w14:paraId="5E067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tcBorders>
                    <w:tl2br w:val="nil"/>
                    <w:tr2bl w:val="nil"/>
                  </w:tcBorders>
                  <w:noWrap w:val="0"/>
                  <w:vAlign w:val="center"/>
                </w:tcPr>
                <w:p w14:paraId="13690CF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备注：南厂界与淄博宏方制动材料厂紧邻，未进行监测。</w:t>
                  </w:r>
                </w:p>
              </w:tc>
            </w:tr>
          </w:tbl>
          <w:p w14:paraId="75338FDA">
            <w:pPr>
              <w:pStyle w:val="2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outlineLvl w:val="9"/>
              <w:rPr>
                <w:rFonts w:hint="default" w:ascii="Times New Roman" w:hAnsi="Times New Roman" w:eastAsia="宋体" w:cs="Times New Roman"/>
                <w:b w:val="0"/>
                <w:bCs w:val="0"/>
                <w:color w:val="auto"/>
                <w:sz w:val="24"/>
                <w:szCs w:val="24"/>
                <w:highlight w:val="yellow"/>
                <w:lang w:val="en-US" w:eastAsia="zh-CN"/>
              </w:rPr>
            </w:pPr>
            <w:r>
              <w:rPr>
                <w:rFonts w:hint="default" w:ascii="Times New Roman" w:hAnsi="Times New Roman" w:eastAsia="宋体" w:cs="Times New Roman"/>
                <w:b w:val="0"/>
                <w:bCs w:val="0"/>
                <w:color w:val="auto"/>
                <w:sz w:val="24"/>
                <w:szCs w:val="24"/>
                <w:highlight w:val="none"/>
                <w:lang w:val="en-US" w:eastAsia="zh-CN"/>
              </w:rPr>
              <w:t>上表可知：项目厂界昼间、夜间噪声贡献值满足《工业企业厂界环境噪声排放标准》（GB12348-2008）</w:t>
            </w:r>
            <w:r>
              <w:rPr>
                <w:rFonts w:hint="default" w:ascii="Times New Roman" w:hAnsi="Times New Roman" w:cs="Times New Roman"/>
                <w:b w:val="0"/>
                <w:bCs w:val="0"/>
                <w:color w:val="auto"/>
                <w:sz w:val="24"/>
                <w:szCs w:val="24"/>
                <w:highlight w:val="none"/>
                <w:lang w:val="en-US" w:eastAsia="zh-CN"/>
              </w:rPr>
              <w:t>2类标准</w:t>
            </w:r>
            <w:r>
              <w:rPr>
                <w:rFonts w:hint="default" w:ascii="Times New Roman" w:hAnsi="Times New Roman" w:eastAsia="宋体" w:cs="Times New Roman"/>
                <w:b w:val="0"/>
                <w:bCs w:val="0"/>
                <w:color w:val="auto"/>
                <w:sz w:val="24"/>
                <w:szCs w:val="24"/>
                <w:highlight w:val="none"/>
                <w:lang w:val="en-US" w:eastAsia="zh-CN"/>
              </w:rPr>
              <w:t>的要求，噪声达标排放。</w:t>
            </w:r>
          </w:p>
          <w:p w14:paraId="0960925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）固废</w:t>
            </w:r>
          </w:p>
          <w:p w14:paraId="6FFCCDC1">
            <w:pPr>
              <w:pStyle w:val="17"/>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项目产生的固体废物主要为生活垃圾，由环卫部门定期清运。</w:t>
            </w:r>
          </w:p>
          <w:p w14:paraId="00CB622E">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1"/>
                <w:szCs w:val="21"/>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表2-12  现有项目固废一览表</w:t>
            </w:r>
          </w:p>
          <w:tbl>
            <w:tblPr>
              <w:tblStyle w:val="25"/>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1286"/>
              <w:gridCol w:w="1776"/>
              <w:gridCol w:w="2051"/>
              <w:gridCol w:w="2091"/>
            </w:tblGrid>
            <w:tr w14:paraId="6861C0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 w:type="pct"/>
                  <w:tcBorders>
                    <w:tl2br w:val="nil"/>
                    <w:tr2bl w:val="nil"/>
                  </w:tcBorders>
                  <w:noWrap w:val="0"/>
                  <w:vAlign w:val="center"/>
                </w:tcPr>
                <w:p w14:paraId="3898E21E">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序号</w:t>
                  </w:r>
                </w:p>
              </w:tc>
              <w:tc>
                <w:tcPr>
                  <w:tcW w:w="817" w:type="pct"/>
                  <w:tcBorders>
                    <w:tl2br w:val="nil"/>
                    <w:tr2bl w:val="nil"/>
                  </w:tcBorders>
                  <w:noWrap w:val="0"/>
                  <w:vAlign w:val="center"/>
                </w:tcPr>
                <w:p w14:paraId="1EF57E89">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固废名称</w:t>
                  </w:r>
                </w:p>
              </w:tc>
              <w:tc>
                <w:tcPr>
                  <w:tcW w:w="1128" w:type="pct"/>
                  <w:tcBorders>
                    <w:tl2br w:val="nil"/>
                    <w:tr2bl w:val="nil"/>
                  </w:tcBorders>
                  <w:noWrap w:val="0"/>
                  <w:vAlign w:val="center"/>
                </w:tcPr>
                <w:p w14:paraId="2D8C3734">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eastAsia="zh-CN"/>
                    </w:rPr>
                    <w:t>产生量</w:t>
                  </w: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303" w:type="pct"/>
                  <w:tcBorders>
                    <w:tl2br w:val="nil"/>
                    <w:tr2bl w:val="nil"/>
                  </w:tcBorders>
                  <w:noWrap w:val="0"/>
                  <w:vAlign w:val="center"/>
                </w:tcPr>
                <w:p w14:paraId="4A75FA1E">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类别及代码</w:t>
                  </w:r>
                </w:p>
              </w:tc>
              <w:tc>
                <w:tcPr>
                  <w:tcW w:w="1325" w:type="pct"/>
                  <w:tcBorders>
                    <w:tl2br w:val="nil"/>
                    <w:tr2bl w:val="nil"/>
                  </w:tcBorders>
                  <w:noWrap w:val="0"/>
                  <w:vAlign w:val="center"/>
                </w:tcPr>
                <w:p w14:paraId="36E89CDB">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处理措施</w:t>
                  </w:r>
                </w:p>
              </w:tc>
            </w:tr>
            <w:tr w14:paraId="4788E8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 w:type="pct"/>
                  <w:tcBorders>
                    <w:tl2br w:val="nil"/>
                    <w:tr2bl w:val="nil"/>
                  </w:tcBorders>
                  <w:noWrap w:val="0"/>
                  <w:vAlign w:val="center"/>
                </w:tcPr>
                <w:p w14:paraId="7AB03A5A">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w:t>
                  </w:r>
                </w:p>
              </w:tc>
              <w:tc>
                <w:tcPr>
                  <w:tcW w:w="817" w:type="pct"/>
                  <w:tcBorders>
                    <w:tl2br w:val="nil"/>
                    <w:tr2bl w:val="nil"/>
                  </w:tcBorders>
                  <w:noWrap w:val="0"/>
                  <w:vAlign w:val="center"/>
                </w:tcPr>
                <w:p w14:paraId="61BEE839">
                  <w:pPr>
                    <w:spacing w:line="400" w:lineRule="exact"/>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rPr>
                    <w:t>生活垃圾</w:t>
                  </w:r>
                </w:p>
              </w:tc>
              <w:tc>
                <w:tcPr>
                  <w:tcW w:w="1128" w:type="pct"/>
                  <w:tcBorders>
                    <w:tl2br w:val="nil"/>
                    <w:tr2bl w:val="nil"/>
                  </w:tcBorders>
                  <w:noWrap w:val="0"/>
                  <w:vAlign w:val="center"/>
                </w:tcPr>
                <w:p w14:paraId="022B8756">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2.25</w:t>
                  </w:r>
                </w:p>
              </w:tc>
              <w:tc>
                <w:tcPr>
                  <w:tcW w:w="1303" w:type="pct"/>
                  <w:tcBorders>
                    <w:tl2br w:val="nil"/>
                    <w:tr2bl w:val="nil"/>
                  </w:tcBorders>
                  <w:noWrap w:val="0"/>
                  <w:vAlign w:val="center"/>
                </w:tcPr>
                <w:p w14:paraId="4DC29BCB">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eastAsia="宋体" w:cs="Times New Roman"/>
                      <w:b w:val="0"/>
                      <w:bCs w:val="0"/>
                      <w:color w:val="auto"/>
                      <w:spacing w:val="0"/>
                      <w:sz w:val="21"/>
                      <w:szCs w:val="21"/>
                      <w:highlight w:val="none"/>
                      <w:vertAlign w:val="baseline"/>
                      <w:lang w:val="en-US" w:eastAsia="zh-CN"/>
                    </w:rPr>
                    <w:t>一般固废</w:t>
                  </w:r>
                </w:p>
              </w:tc>
              <w:tc>
                <w:tcPr>
                  <w:tcW w:w="1325" w:type="pct"/>
                  <w:tcBorders>
                    <w:tl2br w:val="nil"/>
                    <w:tr2bl w:val="nil"/>
                  </w:tcBorders>
                  <w:noWrap w:val="0"/>
                  <w:vAlign w:val="center"/>
                </w:tcPr>
                <w:p w14:paraId="31216361">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eastAsia="宋体" w:cs="Times New Roman"/>
                      <w:b w:val="0"/>
                      <w:bCs w:val="0"/>
                      <w:color w:val="auto"/>
                      <w:spacing w:val="0"/>
                      <w:sz w:val="21"/>
                      <w:szCs w:val="21"/>
                      <w:highlight w:val="none"/>
                      <w:vertAlign w:val="baseline"/>
                      <w:lang w:val="en-US" w:eastAsia="zh-CN"/>
                    </w:rPr>
                    <w:t>环卫部门定期清运</w:t>
                  </w:r>
                </w:p>
              </w:tc>
            </w:tr>
            <w:tr w14:paraId="3212E9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 w:type="pct"/>
                  <w:tcBorders>
                    <w:tl2br w:val="nil"/>
                    <w:tr2bl w:val="nil"/>
                  </w:tcBorders>
                  <w:noWrap w:val="0"/>
                  <w:vAlign w:val="center"/>
                </w:tcPr>
                <w:p w14:paraId="35D87809">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2</w:t>
                  </w:r>
                </w:p>
              </w:tc>
              <w:tc>
                <w:tcPr>
                  <w:tcW w:w="817" w:type="pct"/>
                  <w:tcBorders>
                    <w:tl2br w:val="nil"/>
                    <w:tr2bl w:val="nil"/>
                  </w:tcBorders>
                  <w:noWrap w:val="0"/>
                  <w:vAlign w:val="center"/>
                </w:tcPr>
                <w:p w14:paraId="7DA99C73">
                  <w:pPr>
                    <w:spacing w:line="400" w:lineRule="exact"/>
                    <w:jc w:val="center"/>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cs="Times New Roman"/>
                      <w:color w:val="auto"/>
                      <w:sz w:val="21"/>
                      <w:szCs w:val="21"/>
                      <w:highlight w:val="none"/>
                    </w:rPr>
                    <w:t>收集粉尘</w:t>
                  </w:r>
                </w:p>
              </w:tc>
              <w:tc>
                <w:tcPr>
                  <w:tcW w:w="1128" w:type="pct"/>
                  <w:tcBorders>
                    <w:tl2br w:val="nil"/>
                    <w:tr2bl w:val="nil"/>
                  </w:tcBorders>
                  <w:noWrap w:val="0"/>
                  <w:vAlign w:val="center"/>
                </w:tcPr>
                <w:p w14:paraId="523543A9">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2.256</w:t>
                  </w:r>
                </w:p>
              </w:tc>
              <w:tc>
                <w:tcPr>
                  <w:tcW w:w="1303" w:type="pct"/>
                  <w:tcBorders>
                    <w:tl2br w:val="nil"/>
                    <w:tr2bl w:val="nil"/>
                  </w:tcBorders>
                  <w:noWrap w:val="0"/>
                  <w:vAlign w:val="center"/>
                </w:tcPr>
                <w:p w14:paraId="785D4019">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eastAsia="宋体" w:cs="Times New Roman"/>
                      <w:b w:val="0"/>
                      <w:bCs w:val="0"/>
                      <w:color w:val="auto"/>
                      <w:spacing w:val="0"/>
                      <w:sz w:val="21"/>
                      <w:szCs w:val="21"/>
                      <w:highlight w:val="none"/>
                      <w:vertAlign w:val="baseline"/>
                      <w:lang w:val="en-US" w:eastAsia="zh-CN"/>
                    </w:rPr>
                    <w:t>一般固废</w:t>
                  </w:r>
                </w:p>
              </w:tc>
              <w:tc>
                <w:tcPr>
                  <w:tcW w:w="1325" w:type="pct"/>
                  <w:tcBorders>
                    <w:tl2br w:val="nil"/>
                    <w:tr2bl w:val="nil"/>
                  </w:tcBorders>
                  <w:noWrap w:val="0"/>
                  <w:vAlign w:val="center"/>
                </w:tcPr>
                <w:p w14:paraId="22F428FA">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回用于生产</w:t>
                  </w:r>
                </w:p>
              </w:tc>
            </w:tr>
            <w:tr w14:paraId="7BEBC3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4" w:type="pct"/>
                  <w:tcBorders>
                    <w:tl2br w:val="nil"/>
                    <w:tr2bl w:val="nil"/>
                  </w:tcBorders>
                  <w:noWrap w:val="0"/>
                  <w:vAlign w:val="center"/>
                </w:tcPr>
                <w:p w14:paraId="465C99D7">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3</w:t>
                  </w:r>
                </w:p>
              </w:tc>
              <w:tc>
                <w:tcPr>
                  <w:tcW w:w="817" w:type="pct"/>
                  <w:tcBorders>
                    <w:tl2br w:val="nil"/>
                    <w:tr2bl w:val="nil"/>
                  </w:tcBorders>
                  <w:noWrap w:val="0"/>
                  <w:vAlign w:val="center"/>
                </w:tcPr>
                <w:p w14:paraId="67684DCA">
                  <w:pPr>
                    <w:spacing w:line="400" w:lineRule="exact"/>
                    <w:jc w:val="center"/>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cs="Times New Roman"/>
                      <w:color w:val="auto"/>
                      <w:sz w:val="21"/>
                      <w:szCs w:val="21"/>
                      <w:highlight w:val="none"/>
                    </w:rPr>
                    <w:t>废包装袋</w:t>
                  </w:r>
                </w:p>
              </w:tc>
              <w:tc>
                <w:tcPr>
                  <w:tcW w:w="1128" w:type="pct"/>
                  <w:tcBorders>
                    <w:tl2br w:val="nil"/>
                    <w:tr2bl w:val="nil"/>
                  </w:tcBorders>
                  <w:noWrap w:val="0"/>
                  <w:vAlign w:val="center"/>
                </w:tcPr>
                <w:p w14:paraId="02039846">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0.01</w:t>
                  </w:r>
                </w:p>
              </w:tc>
              <w:tc>
                <w:tcPr>
                  <w:tcW w:w="1303" w:type="pct"/>
                  <w:tcBorders>
                    <w:tl2br w:val="nil"/>
                    <w:tr2bl w:val="nil"/>
                  </w:tcBorders>
                  <w:noWrap w:val="0"/>
                  <w:vAlign w:val="center"/>
                </w:tcPr>
                <w:p w14:paraId="58B4C65E">
                  <w:pPr>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eastAsia="宋体" w:cs="Times New Roman"/>
                      <w:b w:val="0"/>
                      <w:bCs w:val="0"/>
                      <w:color w:val="auto"/>
                      <w:spacing w:val="0"/>
                      <w:sz w:val="21"/>
                      <w:szCs w:val="21"/>
                      <w:highlight w:val="none"/>
                      <w:vertAlign w:val="baseline"/>
                      <w:lang w:val="en-US" w:eastAsia="zh-CN"/>
                    </w:rPr>
                    <w:t>一般固废</w:t>
                  </w:r>
                </w:p>
              </w:tc>
              <w:tc>
                <w:tcPr>
                  <w:tcW w:w="1325" w:type="pct"/>
                  <w:tcBorders>
                    <w:tl2br w:val="nil"/>
                    <w:tr2bl w:val="nil"/>
                  </w:tcBorders>
                  <w:noWrap w:val="0"/>
                  <w:vAlign w:val="center"/>
                </w:tcPr>
                <w:p w14:paraId="00CFD77F">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外售综合利用</w:t>
                  </w:r>
                </w:p>
              </w:tc>
            </w:tr>
            <w:tr w14:paraId="65E66E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tcBorders>
                    <w:tl2br w:val="nil"/>
                    <w:tr2bl w:val="nil"/>
                  </w:tcBorders>
                  <w:noWrap w:val="0"/>
                  <w:vAlign w:val="center"/>
                </w:tcPr>
                <w:p w14:paraId="0814496B">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left"/>
                    <w:textAlignment w:val="auto"/>
                    <w:rPr>
                      <w:rFonts w:hint="default" w:ascii="Times New Roman" w:hAnsi="Times New Roman"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注：固废产生量为企业202</w:t>
                  </w:r>
                  <w:r>
                    <w:rPr>
                      <w:rFonts w:hint="eastAsia" w:cs="Times New Roman"/>
                      <w:b w:val="0"/>
                      <w:bCs w:val="0"/>
                      <w:color w:val="auto"/>
                      <w:spacing w:val="0"/>
                      <w:sz w:val="21"/>
                      <w:szCs w:val="21"/>
                      <w:highlight w:val="none"/>
                      <w:vertAlign w:val="baseline"/>
                      <w:lang w:val="en-US" w:eastAsia="zh-CN"/>
                    </w:rPr>
                    <w:t>5</w:t>
                  </w:r>
                  <w:r>
                    <w:rPr>
                      <w:rFonts w:hint="default" w:ascii="Times New Roman" w:hAnsi="Times New Roman" w:cs="Times New Roman"/>
                      <w:b w:val="0"/>
                      <w:bCs w:val="0"/>
                      <w:color w:val="auto"/>
                      <w:spacing w:val="0"/>
                      <w:sz w:val="21"/>
                      <w:szCs w:val="21"/>
                      <w:highlight w:val="none"/>
                      <w:vertAlign w:val="baseline"/>
                      <w:lang w:val="en-US" w:eastAsia="zh-CN"/>
                    </w:rPr>
                    <w:t>年台账统计量。</w:t>
                  </w:r>
                </w:p>
              </w:tc>
            </w:tr>
          </w:tbl>
          <w:p w14:paraId="61168774">
            <w:pPr>
              <w:pStyle w:val="17"/>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现有工程固废均采取有效的综合利用及处理方法进行处理，全厂固废得到妥善处置。</w:t>
            </w:r>
          </w:p>
          <w:p w14:paraId="6B9D41D6">
            <w:pPr>
              <w:pStyle w:val="17"/>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根据验收监测报告及项目实际排放情况核定现有工程污染物排放量，全厂现有工程总量符合情况具体详见下表：</w:t>
            </w:r>
          </w:p>
          <w:p w14:paraId="0EAE803C">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1"/>
                <w:szCs w:val="21"/>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表2-13  现有项目产污一览表</w:t>
            </w:r>
          </w:p>
          <w:tbl>
            <w:tblPr>
              <w:tblStyle w:val="25"/>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1286"/>
              <w:gridCol w:w="1807"/>
              <w:gridCol w:w="1807"/>
              <w:gridCol w:w="1813"/>
            </w:tblGrid>
            <w:tr w14:paraId="0E1601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6" w:type="pct"/>
                  <w:tcBorders>
                    <w:tl2br w:val="nil"/>
                    <w:tr2bl w:val="nil"/>
                  </w:tcBorders>
                  <w:noWrap w:val="0"/>
                  <w:vAlign w:val="center"/>
                </w:tcPr>
                <w:p w14:paraId="79E62FC4">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项目</w:t>
                  </w:r>
                </w:p>
              </w:tc>
              <w:tc>
                <w:tcPr>
                  <w:tcW w:w="817" w:type="pct"/>
                  <w:tcBorders>
                    <w:tl2br w:val="nil"/>
                    <w:tr2bl w:val="nil"/>
                  </w:tcBorders>
                  <w:noWrap w:val="0"/>
                  <w:vAlign w:val="center"/>
                </w:tcPr>
                <w:p w14:paraId="1ED2E9CD">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污染物</w:t>
                  </w:r>
                </w:p>
              </w:tc>
              <w:tc>
                <w:tcPr>
                  <w:tcW w:w="1148" w:type="pct"/>
                  <w:tcBorders>
                    <w:tl2br w:val="nil"/>
                    <w:tr2bl w:val="nil"/>
                  </w:tcBorders>
                  <w:noWrap w:val="0"/>
                  <w:vAlign w:val="center"/>
                </w:tcPr>
                <w:p w14:paraId="3685963B">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排放量（</w:t>
                  </w:r>
                  <w:r>
                    <w:rPr>
                      <w:rFonts w:hint="default" w:ascii="Times New Roman" w:hAnsi="Times New Roman" w:eastAsia="宋体" w:cs="Times New Roman"/>
                      <w:b w:val="0"/>
                      <w:bCs w:val="0"/>
                      <w:color w:val="auto"/>
                      <w:sz w:val="21"/>
                      <w:szCs w:val="21"/>
                      <w:highlight w:val="none"/>
                      <w:vertAlign w:val="baseline"/>
                      <w:lang w:val="en-US" w:eastAsia="zh-CN"/>
                    </w:rPr>
                    <w:t>t/a</w:t>
                  </w:r>
                  <w:r>
                    <w:rPr>
                      <w:rFonts w:hint="default" w:ascii="Times New Roman" w:hAnsi="Times New Roman" w:eastAsia="宋体" w:cs="Times New Roman"/>
                      <w:b w:val="0"/>
                      <w:bCs w:val="0"/>
                      <w:color w:val="auto"/>
                      <w:sz w:val="21"/>
                      <w:szCs w:val="21"/>
                      <w:highlight w:val="none"/>
                      <w:vertAlign w:val="baseline"/>
                      <w:lang w:eastAsia="zh-CN"/>
                    </w:rPr>
                    <w:t>）</w:t>
                  </w:r>
                </w:p>
              </w:tc>
              <w:tc>
                <w:tcPr>
                  <w:tcW w:w="1148" w:type="pct"/>
                  <w:tcBorders>
                    <w:tl2br w:val="nil"/>
                    <w:tr2bl w:val="nil"/>
                  </w:tcBorders>
                  <w:noWrap w:val="0"/>
                  <w:vAlign w:val="center"/>
                </w:tcPr>
                <w:p w14:paraId="31F2EFFE">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总量控制指标（t/a）</w:t>
                  </w:r>
                </w:p>
              </w:tc>
              <w:tc>
                <w:tcPr>
                  <w:tcW w:w="1149" w:type="pct"/>
                  <w:tcBorders>
                    <w:tl2br w:val="nil"/>
                    <w:tr2bl w:val="nil"/>
                  </w:tcBorders>
                  <w:noWrap w:val="0"/>
                  <w:vAlign w:val="center"/>
                </w:tcPr>
                <w:p w14:paraId="1F60C23E">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是否符合总</w:t>
                  </w:r>
                </w:p>
                <w:p w14:paraId="5DA27DEB">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量控制要求</w:t>
                  </w:r>
                </w:p>
              </w:tc>
            </w:tr>
            <w:tr w14:paraId="2BA60E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6" w:type="pct"/>
                  <w:vMerge w:val="restart"/>
                  <w:tcBorders>
                    <w:tl2br w:val="nil"/>
                    <w:tr2bl w:val="nil"/>
                  </w:tcBorders>
                  <w:noWrap w:val="0"/>
                  <w:vAlign w:val="center"/>
                </w:tcPr>
                <w:p w14:paraId="5FC4A5F5">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废气</w:t>
                  </w:r>
                </w:p>
              </w:tc>
              <w:tc>
                <w:tcPr>
                  <w:tcW w:w="817" w:type="pct"/>
                  <w:tcBorders>
                    <w:tl2br w:val="nil"/>
                    <w:tr2bl w:val="nil"/>
                  </w:tcBorders>
                  <w:noWrap w:val="0"/>
                  <w:vAlign w:val="center"/>
                </w:tcPr>
                <w:p w14:paraId="72CE9EB8">
                  <w:pPr>
                    <w:keepNext w:val="0"/>
                    <w:keepLines w:val="0"/>
                    <w:widowControl/>
                    <w:suppressLineNumbers w:val="0"/>
                    <w:jc w:val="center"/>
                    <w:textAlignment w:val="center"/>
                    <w:rPr>
                      <w:rFonts w:hint="default" w:ascii="Times New Roman" w:hAnsi="Times New Roman" w:eastAsia="宋体" w:cs="Times New Roman"/>
                      <w:b w:val="0"/>
                      <w:bCs w:val="0"/>
                      <w:snapToGrid w:val="0"/>
                      <w:color w:val="auto"/>
                      <w:kern w:val="0"/>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1148" w:type="pct"/>
                  <w:tcBorders>
                    <w:tl2br w:val="nil"/>
                    <w:tr2bl w:val="nil"/>
                  </w:tcBorders>
                  <w:noWrap w:val="0"/>
                  <w:vAlign w:val="center"/>
                </w:tcPr>
                <w:p w14:paraId="520B8036">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yellow"/>
                      <w:vertAlign w:val="baseline"/>
                      <w:lang w:val="en-US" w:eastAsia="zh-CN"/>
                    </w:rPr>
                  </w:pPr>
                  <w:r>
                    <w:rPr>
                      <w:rFonts w:hint="eastAsia" w:cs="Times New Roman"/>
                      <w:i w:val="0"/>
                      <w:iCs w:val="0"/>
                      <w:color w:val="auto"/>
                      <w:kern w:val="0"/>
                      <w:sz w:val="21"/>
                      <w:szCs w:val="21"/>
                      <w:u w:val="none"/>
                      <w:lang w:val="en-US" w:eastAsia="zh-CN" w:bidi="ar"/>
                    </w:rPr>
                    <w:t>0.123</w:t>
                  </w:r>
                </w:p>
              </w:tc>
              <w:tc>
                <w:tcPr>
                  <w:tcW w:w="1148" w:type="pct"/>
                  <w:tcBorders>
                    <w:tl2br w:val="nil"/>
                    <w:tr2bl w:val="nil"/>
                  </w:tcBorders>
                  <w:noWrap w:val="0"/>
                  <w:vAlign w:val="center"/>
                </w:tcPr>
                <w:p w14:paraId="2D59C1E4">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0.51</w:t>
                  </w:r>
                </w:p>
              </w:tc>
              <w:tc>
                <w:tcPr>
                  <w:tcW w:w="1149" w:type="pct"/>
                  <w:tcBorders>
                    <w:tl2br w:val="nil"/>
                    <w:tr2bl w:val="nil"/>
                  </w:tcBorders>
                  <w:noWrap w:val="0"/>
                  <w:vAlign w:val="center"/>
                </w:tcPr>
                <w:p w14:paraId="0D48A6BF">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是</w:t>
                  </w:r>
                </w:p>
              </w:tc>
            </w:tr>
            <w:tr w14:paraId="457E0B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noWrap w:val="0"/>
                  <w:vAlign w:val="center"/>
                </w:tcPr>
                <w:p w14:paraId="0EFD803D">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817" w:type="pct"/>
                  <w:tcBorders>
                    <w:tl2br w:val="nil"/>
                    <w:tr2bl w:val="nil"/>
                  </w:tcBorders>
                  <w:noWrap w:val="0"/>
                  <w:vAlign w:val="center"/>
                </w:tcPr>
                <w:p w14:paraId="47BF20BF">
                  <w:pPr>
                    <w:keepNext w:val="0"/>
                    <w:keepLines w:val="0"/>
                    <w:widowControl/>
                    <w:suppressLineNumbers w:val="0"/>
                    <w:jc w:val="center"/>
                    <w:textAlignment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二氧化硫</w:t>
                  </w:r>
                </w:p>
              </w:tc>
              <w:tc>
                <w:tcPr>
                  <w:tcW w:w="1148" w:type="pct"/>
                  <w:tcBorders>
                    <w:tl2br w:val="nil"/>
                    <w:tr2bl w:val="nil"/>
                  </w:tcBorders>
                  <w:noWrap w:val="0"/>
                  <w:vAlign w:val="center"/>
                </w:tcPr>
                <w:p w14:paraId="0E1B7757">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yellow"/>
                      <w:vertAlign w:val="baseline"/>
                      <w:lang w:val="en-US" w:eastAsia="zh-CN"/>
                    </w:rPr>
                  </w:pPr>
                  <w:r>
                    <w:rPr>
                      <w:rFonts w:hint="eastAsia" w:cs="Times New Roman"/>
                      <w:i w:val="0"/>
                      <w:iCs w:val="0"/>
                      <w:color w:val="auto"/>
                      <w:kern w:val="0"/>
                      <w:sz w:val="21"/>
                      <w:szCs w:val="21"/>
                      <w:u w:val="none"/>
                      <w:lang w:val="en-US" w:eastAsia="zh-CN" w:bidi="ar"/>
                    </w:rPr>
                    <w:t>0.011</w:t>
                  </w:r>
                </w:p>
              </w:tc>
              <w:tc>
                <w:tcPr>
                  <w:tcW w:w="1148" w:type="pct"/>
                  <w:tcBorders>
                    <w:tl2br w:val="nil"/>
                    <w:tr2bl w:val="nil"/>
                  </w:tcBorders>
                  <w:noWrap w:val="0"/>
                  <w:vAlign w:val="center"/>
                </w:tcPr>
                <w:p w14:paraId="5E8B508C">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0.06</w:t>
                  </w:r>
                </w:p>
              </w:tc>
              <w:tc>
                <w:tcPr>
                  <w:tcW w:w="1149" w:type="pct"/>
                  <w:tcBorders>
                    <w:tl2br w:val="nil"/>
                    <w:tr2bl w:val="nil"/>
                  </w:tcBorders>
                  <w:noWrap w:val="0"/>
                  <w:vAlign w:val="center"/>
                </w:tcPr>
                <w:p w14:paraId="7164CD9C">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是</w:t>
                  </w:r>
                </w:p>
              </w:tc>
            </w:tr>
            <w:tr w14:paraId="41E497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noWrap w:val="0"/>
                  <w:vAlign w:val="center"/>
                </w:tcPr>
                <w:p w14:paraId="37012599">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817" w:type="pct"/>
                  <w:tcBorders>
                    <w:tl2br w:val="nil"/>
                    <w:tr2bl w:val="nil"/>
                  </w:tcBorders>
                  <w:noWrap w:val="0"/>
                  <w:vAlign w:val="center"/>
                </w:tcPr>
                <w:p w14:paraId="64901875">
                  <w:pPr>
                    <w:keepNext w:val="0"/>
                    <w:keepLines w:val="0"/>
                    <w:widowControl/>
                    <w:suppressLineNumbers w:val="0"/>
                    <w:jc w:val="center"/>
                    <w:textAlignment w:val="center"/>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氮氧化物</w:t>
                  </w:r>
                </w:p>
              </w:tc>
              <w:tc>
                <w:tcPr>
                  <w:tcW w:w="1148" w:type="pct"/>
                  <w:tcBorders>
                    <w:tl2br w:val="nil"/>
                    <w:tr2bl w:val="nil"/>
                  </w:tcBorders>
                  <w:noWrap w:val="0"/>
                  <w:vAlign w:val="center"/>
                </w:tcPr>
                <w:p w14:paraId="7E65868D">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yellow"/>
                      <w:vertAlign w:val="baseline"/>
                      <w:lang w:val="en-US" w:eastAsia="zh-CN"/>
                    </w:rPr>
                  </w:pPr>
                  <w:r>
                    <w:rPr>
                      <w:rFonts w:hint="eastAsia" w:cs="Times New Roman"/>
                      <w:i w:val="0"/>
                      <w:iCs w:val="0"/>
                      <w:color w:val="auto"/>
                      <w:kern w:val="0"/>
                      <w:sz w:val="21"/>
                      <w:szCs w:val="21"/>
                      <w:u w:val="none"/>
                      <w:lang w:val="en-US" w:eastAsia="zh-CN" w:bidi="ar"/>
                    </w:rPr>
                    <w:t>0.101</w:t>
                  </w:r>
                </w:p>
              </w:tc>
              <w:tc>
                <w:tcPr>
                  <w:tcW w:w="1148" w:type="pct"/>
                  <w:tcBorders>
                    <w:tl2br w:val="nil"/>
                    <w:tr2bl w:val="nil"/>
                  </w:tcBorders>
                  <w:noWrap w:val="0"/>
                  <w:vAlign w:val="center"/>
                </w:tcPr>
                <w:p w14:paraId="061ACF39">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green"/>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0.2</w:t>
                  </w:r>
                </w:p>
              </w:tc>
              <w:tc>
                <w:tcPr>
                  <w:tcW w:w="1149" w:type="pct"/>
                  <w:tcBorders>
                    <w:tl2br w:val="nil"/>
                    <w:tr2bl w:val="nil"/>
                  </w:tcBorders>
                  <w:noWrap w:val="0"/>
                  <w:vAlign w:val="center"/>
                </w:tcPr>
                <w:p w14:paraId="5B375F29">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是</w:t>
                  </w:r>
                </w:p>
              </w:tc>
            </w:tr>
            <w:tr w14:paraId="48AA24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6" w:type="pct"/>
                  <w:vMerge w:val="restart"/>
                  <w:tcBorders>
                    <w:tl2br w:val="nil"/>
                    <w:tr2bl w:val="nil"/>
                  </w:tcBorders>
                  <w:noWrap w:val="0"/>
                  <w:vAlign w:val="center"/>
                </w:tcPr>
                <w:p w14:paraId="56DFACBA">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固废</w:t>
                  </w:r>
                </w:p>
              </w:tc>
              <w:tc>
                <w:tcPr>
                  <w:tcW w:w="817" w:type="pct"/>
                  <w:tcBorders>
                    <w:tl2br w:val="nil"/>
                    <w:tr2bl w:val="nil"/>
                  </w:tcBorders>
                  <w:noWrap w:val="0"/>
                  <w:vAlign w:val="center"/>
                </w:tcPr>
                <w:p w14:paraId="5DB99A67">
                  <w:pPr>
                    <w:spacing w:line="400" w:lineRule="exact"/>
                    <w:jc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rPr>
                    <w:t>生活垃圾</w:t>
                  </w:r>
                </w:p>
              </w:tc>
              <w:tc>
                <w:tcPr>
                  <w:tcW w:w="1148" w:type="pct"/>
                  <w:tcBorders>
                    <w:tl2br w:val="nil"/>
                    <w:tr2bl w:val="nil"/>
                  </w:tcBorders>
                  <w:noWrap w:val="0"/>
                  <w:vAlign w:val="center"/>
                </w:tcPr>
                <w:p w14:paraId="4550EC43">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kern w:val="2"/>
                      <w:sz w:val="21"/>
                      <w:szCs w:val="21"/>
                      <w:highlight w:val="none"/>
                      <w:vertAlign w:val="baseline"/>
                      <w:lang w:val="en-US" w:eastAsia="zh-CN" w:bidi="ar-SA"/>
                    </w:rPr>
                  </w:pPr>
                  <w:r>
                    <w:rPr>
                      <w:rFonts w:hint="default" w:ascii="Times New Roman" w:hAnsi="Times New Roman" w:cs="Times New Roman"/>
                      <w:b w:val="0"/>
                      <w:bCs w:val="0"/>
                      <w:color w:val="auto"/>
                      <w:spacing w:val="0"/>
                      <w:sz w:val="21"/>
                      <w:szCs w:val="21"/>
                      <w:highlight w:val="none"/>
                      <w:vertAlign w:val="baseline"/>
                      <w:lang w:val="en-US" w:eastAsia="zh-CN"/>
                    </w:rPr>
                    <w:t>2.25</w:t>
                  </w:r>
                </w:p>
              </w:tc>
              <w:tc>
                <w:tcPr>
                  <w:tcW w:w="1148" w:type="pct"/>
                  <w:tcBorders>
                    <w:tl2br w:val="nil"/>
                    <w:tr2bl w:val="nil"/>
                  </w:tcBorders>
                  <w:noWrap w:val="0"/>
                  <w:vAlign w:val="center"/>
                </w:tcPr>
                <w:p w14:paraId="46DFAB95">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w:t>
                  </w:r>
                </w:p>
              </w:tc>
              <w:tc>
                <w:tcPr>
                  <w:tcW w:w="1149" w:type="pct"/>
                  <w:tcBorders>
                    <w:tl2br w:val="nil"/>
                    <w:tr2bl w:val="nil"/>
                  </w:tcBorders>
                  <w:noWrap w:val="0"/>
                  <w:vAlign w:val="center"/>
                </w:tcPr>
                <w:p w14:paraId="5C4101DD">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w:t>
                  </w:r>
                </w:p>
              </w:tc>
            </w:tr>
            <w:tr w14:paraId="6890CF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noWrap w:val="0"/>
                  <w:vAlign w:val="center"/>
                </w:tcPr>
                <w:p w14:paraId="01F5837C">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c>
                <w:tcPr>
                  <w:tcW w:w="817" w:type="pct"/>
                  <w:tcBorders>
                    <w:tl2br w:val="nil"/>
                    <w:tr2bl w:val="nil"/>
                  </w:tcBorders>
                  <w:noWrap w:val="0"/>
                  <w:vAlign w:val="center"/>
                </w:tcPr>
                <w:p w14:paraId="7C867436">
                  <w:pPr>
                    <w:spacing w:line="400" w:lineRule="exact"/>
                    <w:jc w:val="center"/>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cs="Times New Roman"/>
                      <w:color w:val="auto"/>
                      <w:sz w:val="21"/>
                      <w:szCs w:val="21"/>
                      <w:highlight w:val="none"/>
                    </w:rPr>
                    <w:t>收集粉尘</w:t>
                  </w:r>
                </w:p>
              </w:tc>
              <w:tc>
                <w:tcPr>
                  <w:tcW w:w="1148" w:type="pct"/>
                  <w:tcBorders>
                    <w:tl2br w:val="nil"/>
                    <w:tr2bl w:val="nil"/>
                  </w:tcBorders>
                  <w:noWrap w:val="0"/>
                  <w:vAlign w:val="center"/>
                </w:tcPr>
                <w:p w14:paraId="730222C3">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eastAsia" w:cs="Times New Roman"/>
                      <w:b w:val="0"/>
                      <w:bCs w:val="0"/>
                      <w:color w:val="auto"/>
                      <w:spacing w:val="0"/>
                      <w:sz w:val="21"/>
                      <w:szCs w:val="21"/>
                      <w:highlight w:val="none"/>
                      <w:vertAlign w:val="baseline"/>
                      <w:lang w:val="en-US" w:eastAsia="zh-CN"/>
                    </w:rPr>
                    <w:t>2.256</w:t>
                  </w:r>
                </w:p>
              </w:tc>
              <w:tc>
                <w:tcPr>
                  <w:tcW w:w="1148" w:type="pct"/>
                  <w:tcBorders>
                    <w:tl2br w:val="nil"/>
                    <w:tr2bl w:val="nil"/>
                  </w:tcBorders>
                  <w:noWrap w:val="0"/>
                  <w:vAlign w:val="center"/>
                </w:tcPr>
                <w:p w14:paraId="517E5402">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w:t>
                  </w:r>
                </w:p>
              </w:tc>
              <w:tc>
                <w:tcPr>
                  <w:tcW w:w="1149" w:type="pct"/>
                  <w:tcBorders>
                    <w:tl2br w:val="nil"/>
                    <w:tr2bl w:val="nil"/>
                  </w:tcBorders>
                  <w:noWrap w:val="0"/>
                  <w:vAlign w:val="center"/>
                </w:tcPr>
                <w:p w14:paraId="44FC4307">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w:t>
                  </w:r>
                </w:p>
              </w:tc>
            </w:tr>
            <w:tr w14:paraId="3C62E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noWrap w:val="0"/>
                  <w:vAlign w:val="center"/>
                </w:tcPr>
                <w:p w14:paraId="1ABEA835">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c>
                <w:tcPr>
                  <w:tcW w:w="817" w:type="pct"/>
                  <w:tcBorders>
                    <w:tl2br w:val="nil"/>
                    <w:tr2bl w:val="nil"/>
                  </w:tcBorders>
                  <w:noWrap w:val="0"/>
                  <w:vAlign w:val="center"/>
                </w:tcPr>
                <w:p w14:paraId="17211EE6">
                  <w:pPr>
                    <w:spacing w:line="400" w:lineRule="exact"/>
                    <w:jc w:val="center"/>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cs="Times New Roman"/>
                      <w:color w:val="auto"/>
                      <w:sz w:val="21"/>
                      <w:szCs w:val="21"/>
                      <w:highlight w:val="none"/>
                    </w:rPr>
                    <w:t>废包装袋</w:t>
                  </w:r>
                </w:p>
              </w:tc>
              <w:tc>
                <w:tcPr>
                  <w:tcW w:w="1148" w:type="pct"/>
                  <w:tcBorders>
                    <w:tl2br w:val="nil"/>
                    <w:tr2bl w:val="nil"/>
                  </w:tcBorders>
                  <w:noWrap w:val="0"/>
                  <w:vAlign w:val="center"/>
                </w:tcPr>
                <w:p w14:paraId="583E4875">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0.01</w:t>
                  </w:r>
                </w:p>
              </w:tc>
              <w:tc>
                <w:tcPr>
                  <w:tcW w:w="1148" w:type="pct"/>
                  <w:tcBorders>
                    <w:tl2br w:val="nil"/>
                    <w:tr2bl w:val="nil"/>
                  </w:tcBorders>
                  <w:noWrap w:val="0"/>
                  <w:vAlign w:val="center"/>
                </w:tcPr>
                <w:p w14:paraId="386E176B">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w:t>
                  </w:r>
                </w:p>
              </w:tc>
              <w:tc>
                <w:tcPr>
                  <w:tcW w:w="1149" w:type="pct"/>
                  <w:tcBorders>
                    <w:tl2br w:val="nil"/>
                    <w:tr2bl w:val="nil"/>
                  </w:tcBorders>
                  <w:noWrap w:val="0"/>
                  <w:vAlign w:val="center"/>
                </w:tcPr>
                <w:p w14:paraId="7D780023">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w:t>
                  </w:r>
                </w:p>
              </w:tc>
            </w:tr>
            <w:tr w14:paraId="7EEA6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tcBorders>
                    <w:tl2br w:val="nil"/>
                    <w:tr2bl w:val="nil"/>
                  </w:tcBorders>
                  <w:noWrap w:val="0"/>
                  <w:vAlign w:val="center"/>
                </w:tcPr>
                <w:p w14:paraId="3895377D">
                  <w:pPr>
                    <w:pStyle w:val="23"/>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left"/>
                    <w:textAlignment w:val="auto"/>
                    <w:rPr>
                      <w:rFonts w:hint="default" w:ascii="Times New Roman" w:hAnsi="Times New Roman" w:cs="Times New Roman"/>
                      <w:b w:val="0"/>
                      <w:bCs w:val="0"/>
                      <w:color w:val="auto"/>
                      <w:spacing w:val="0"/>
                      <w:sz w:val="21"/>
                      <w:szCs w:val="21"/>
                      <w:highlight w:val="none"/>
                      <w:vertAlign w:val="baseline"/>
                      <w:lang w:val="en-US" w:eastAsia="zh-CN"/>
                    </w:rPr>
                  </w:pPr>
                  <w:r>
                    <w:rPr>
                      <w:rFonts w:hint="default" w:ascii="Times New Roman" w:hAnsi="Times New Roman" w:cs="Times New Roman"/>
                      <w:b w:val="0"/>
                      <w:bCs w:val="0"/>
                      <w:color w:val="auto"/>
                      <w:spacing w:val="0"/>
                      <w:sz w:val="21"/>
                      <w:szCs w:val="21"/>
                      <w:highlight w:val="none"/>
                      <w:vertAlign w:val="baseline"/>
                      <w:lang w:val="en-US" w:eastAsia="zh-CN"/>
                    </w:rPr>
                    <w:t>注：二氧化硫未检出，按检出线一半折算排放量。</w:t>
                  </w:r>
                </w:p>
              </w:tc>
            </w:tr>
          </w:tbl>
          <w:p w14:paraId="02F78160">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4、现有工程存在的主要环境问题及解决方案</w:t>
            </w:r>
          </w:p>
          <w:p w14:paraId="1DE4447D">
            <w:pPr>
              <w:adjustRightInd w:val="0"/>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经现场勘查，现有厂区存在的环保问题主要如下：</w:t>
            </w:r>
          </w:p>
          <w:p w14:paraId="75A3392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表2-14  现有项目存在问题、整改意见及整改时间表</w:t>
            </w:r>
          </w:p>
          <w:tbl>
            <w:tblPr>
              <w:tblStyle w:val="24"/>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2625"/>
              <w:gridCol w:w="2897"/>
              <w:gridCol w:w="1653"/>
            </w:tblGrid>
            <w:tr w14:paraId="169D8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tcBorders>
                    <w:tl2br w:val="nil"/>
                    <w:tr2bl w:val="nil"/>
                  </w:tcBorders>
                  <w:noWrap w:val="0"/>
                  <w:vAlign w:val="center"/>
                </w:tcPr>
                <w:p w14:paraId="668DA01B">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eastAsia="zh-CN"/>
                    </w:rPr>
                  </w:pPr>
                  <w:r>
                    <w:rPr>
                      <w:rFonts w:hint="default" w:ascii="Times New Roman" w:hAnsi="Times New Roman" w:eastAsia="宋体" w:cs="Times New Roman"/>
                      <w:b w:val="0"/>
                      <w:bCs w:val="0"/>
                      <w:color w:val="auto"/>
                      <w:sz w:val="21"/>
                      <w:szCs w:val="21"/>
                      <w:vertAlign w:val="baseline"/>
                      <w:lang w:eastAsia="zh-CN"/>
                    </w:rPr>
                    <w:t>序号</w:t>
                  </w:r>
                </w:p>
              </w:tc>
              <w:tc>
                <w:tcPr>
                  <w:tcW w:w="1667" w:type="pct"/>
                  <w:tcBorders>
                    <w:tl2br w:val="nil"/>
                    <w:tr2bl w:val="nil"/>
                  </w:tcBorders>
                  <w:noWrap w:val="0"/>
                  <w:vAlign w:val="center"/>
                </w:tcPr>
                <w:p w14:paraId="01DE6972">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eastAsia="zh-CN"/>
                    </w:rPr>
                  </w:pPr>
                  <w:r>
                    <w:rPr>
                      <w:rFonts w:hint="default" w:ascii="Times New Roman" w:hAnsi="Times New Roman" w:eastAsia="宋体" w:cs="Times New Roman"/>
                      <w:b w:val="0"/>
                      <w:bCs w:val="0"/>
                      <w:color w:val="auto"/>
                      <w:sz w:val="21"/>
                      <w:szCs w:val="21"/>
                      <w:vertAlign w:val="baseline"/>
                      <w:lang w:eastAsia="zh-CN"/>
                    </w:rPr>
                    <w:t>存在问题</w:t>
                  </w:r>
                </w:p>
              </w:tc>
              <w:tc>
                <w:tcPr>
                  <w:tcW w:w="1840" w:type="pct"/>
                  <w:tcBorders>
                    <w:tl2br w:val="nil"/>
                    <w:tr2bl w:val="nil"/>
                  </w:tcBorders>
                  <w:noWrap w:val="0"/>
                  <w:vAlign w:val="center"/>
                </w:tcPr>
                <w:p w14:paraId="5C603EAC">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eastAsia="zh-CN"/>
                    </w:rPr>
                  </w:pPr>
                  <w:r>
                    <w:rPr>
                      <w:rFonts w:hint="default" w:ascii="Times New Roman" w:hAnsi="Times New Roman" w:eastAsia="宋体" w:cs="Times New Roman"/>
                      <w:b w:val="0"/>
                      <w:bCs w:val="0"/>
                      <w:color w:val="auto"/>
                      <w:sz w:val="21"/>
                      <w:szCs w:val="21"/>
                      <w:vertAlign w:val="baseline"/>
                      <w:lang w:eastAsia="zh-CN"/>
                    </w:rPr>
                    <w:t>整改意见</w:t>
                  </w:r>
                </w:p>
              </w:tc>
              <w:tc>
                <w:tcPr>
                  <w:tcW w:w="1050" w:type="pct"/>
                  <w:tcBorders>
                    <w:tl2br w:val="nil"/>
                    <w:tr2bl w:val="nil"/>
                  </w:tcBorders>
                  <w:noWrap w:val="0"/>
                  <w:vAlign w:val="center"/>
                </w:tcPr>
                <w:p w14:paraId="2D196D97">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eastAsia="zh-CN"/>
                    </w:rPr>
                  </w:pPr>
                  <w:r>
                    <w:rPr>
                      <w:rFonts w:hint="default" w:ascii="Times New Roman" w:hAnsi="Times New Roman" w:eastAsia="宋体" w:cs="Times New Roman"/>
                      <w:b w:val="0"/>
                      <w:bCs w:val="0"/>
                      <w:color w:val="auto"/>
                      <w:sz w:val="21"/>
                      <w:szCs w:val="21"/>
                      <w:vertAlign w:val="baseline"/>
                      <w:lang w:eastAsia="zh-CN"/>
                    </w:rPr>
                    <w:t>整改时间</w:t>
                  </w:r>
                </w:p>
              </w:tc>
            </w:tr>
            <w:tr w14:paraId="030778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1" w:type="pct"/>
                  <w:tcBorders>
                    <w:tl2br w:val="nil"/>
                    <w:tr2bl w:val="nil"/>
                  </w:tcBorders>
                  <w:noWrap w:val="0"/>
                  <w:vAlign w:val="center"/>
                </w:tcPr>
                <w:p w14:paraId="2FE01E30">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eastAsia="zh-CN"/>
                    </w:rPr>
                  </w:pPr>
                  <w:r>
                    <w:rPr>
                      <w:rFonts w:hint="default" w:ascii="Times New Roman" w:hAnsi="Times New Roman" w:eastAsia="宋体" w:cs="Times New Roman"/>
                      <w:b w:val="0"/>
                      <w:bCs w:val="0"/>
                      <w:color w:val="auto"/>
                      <w:sz w:val="21"/>
                      <w:szCs w:val="21"/>
                      <w:vertAlign w:val="baseline"/>
                      <w:lang w:eastAsia="zh-CN"/>
                    </w:rPr>
                    <w:t>1</w:t>
                  </w:r>
                </w:p>
              </w:tc>
              <w:tc>
                <w:tcPr>
                  <w:tcW w:w="1667" w:type="pct"/>
                  <w:tcBorders>
                    <w:tl2br w:val="nil"/>
                    <w:tr2bl w:val="nil"/>
                  </w:tcBorders>
                  <w:noWrap w:val="0"/>
                  <w:vAlign w:val="center"/>
                </w:tcPr>
                <w:p w14:paraId="17836966">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硬化地面有裂缝</w:t>
                  </w:r>
                </w:p>
              </w:tc>
              <w:tc>
                <w:tcPr>
                  <w:tcW w:w="1840" w:type="pct"/>
                  <w:tcBorders>
                    <w:tl2br w:val="nil"/>
                    <w:tr2bl w:val="nil"/>
                  </w:tcBorders>
                  <w:noWrap w:val="0"/>
                  <w:vAlign w:val="center"/>
                </w:tcPr>
                <w:p w14:paraId="7DEC95D0">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及时对地面进行修补维护</w:t>
                  </w:r>
                </w:p>
              </w:tc>
              <w:tc>
                <w:tcPr>
                  <w:tcW w:w="1050" w:type="pct"/>
                  <w:tcBorders>
                    <w:tl2br w:val="nil"/>
                    <w:tr2bl w:val="nil"/>
                  </w:tcBorders>
                  <w:noWrap w:val="0"/>
                  <w:vAlign w:val="center"/>
                </w:tcPr>
                <w:p w14:paraId="15288B8E">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202</w:t>
                  </w:r>
                  <w:r>
                    <w:rPr>
                      <w:rFonts w:hint="eastAsia" w:cs="Times New Roman"/>
                      <w:b w:val="0"/>
                      <w:bCs w:val="0"/>
                      <w:color w:val="auto"/>
                      <w:sz w:val="21"/>
                      <w:szCs w:val="21"/>
                      <w:vertAlign w:val="baseline"/>
                      <w:lang w:val="en-US" w:eastAsia="zh-CN"/>
                    </w:rPr>
                    <w:t>6</w:t>
                  </w:r>
                  <w:r>
                    <w:rPr>
                      <w:rFonts w:hint="default" w:ascii="Times New Roman" w:hAnsi="Times New Roman" w:eastAsia="宋体" w:cs="Times New Roman"/>
                      <w:b w:val="0"/>
                      <w:bCs w:val="0"/>
                      <w:color w:val="auto"/>
                      <w:sz w:val="21"/>
                      <w:szCs w:val="21"/>
                      <w:vertAlign w:val="baseline"/>
                      <w:lang w:val="en-US" w:eastAsia="zh-CN"/>
                    </w:rPr>
                    <w:t>年</w:t>
                  </w:r>
                  <w:r>
                    <w:rPr>
                      <w:rFonts w:hint="eastAsia" w:cs="Times New Roman"/>
                      <w:b w:val="0"/>
                      <w:bCs w:val="0"/>
                      <w:color w:val="auto"/>
                      <w:sz w:val="21"/>
                      <w:szCs w:val="21"/>
                      <w:vertAlign w:val="baseline"/>
                      <w:lang w:val="en-US" w:eastAsia="zh-CN"/>
                    </w:rPr>
                    <w:t>4</w:t>
                  </w:r>
                  <w:r>
                    <w:rPr>
                      <w:rFonts w:hint="default" w:ascii="Times New Roman" w:hAnsi="Times New Roman" w:eastAsia="宋体" w:cs="Times New Roman"/>
                      <w:b w:val="0"/>
                      <w:bCs w:val="0"/>
                      <w:color w:val="auto"/>
                      <w:sz w:val="21"/>
                      <w:szCs w:val="21"/>
                      <w:vertAlign w:val="baseline"/>
                      <w:lang w:val="en-US" w:eastAsia="zh-CN"/>
                    </w:rPr>
                    <w:t>月</w:t>
                  </w:r>
                </w:p>
              </w:tc>
            </w:tr>
          </w:tbl>
          <w:p w14:paraId="4B4B481A">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7291E082">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5C2B600C">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1A3F5D3F">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1FE69654">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5BBBADCB">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51678C80">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325226D6">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172080E6">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71067FF4">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7314CF51">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7E4CF86C">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31A3F5FC">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50086344">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026FA612">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28A3D211">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2D79E391">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7155838D">
            <w:pPr>
              <w:keepNext w:val="0"/>
              <w:keepLines w:val="0"/>
              <w:pageBreakBefore w:val="0"/>
              <w:widowControl w:val="0"/>
              <w:shd w:val="clear"/>
              <w:kinsoku/>
              <w:wordWrap/>
              <w:overflowPunct/>
              <w:topLinePunct w:val="0"/>
              <w:autoSpaceDE/>
              <w:autoSpaceDN/>
              <w:bidi w:val="0"/>
              <w:adjustRightInd w:val="0"/>
              <w:snapToGrid w:val="0"/>
              <w:spacing w:line="480" w:lineRule="exact"/>
              <w:jc w:val="left"/>
              <w:textAlignment w:val="auto"/>
              <w:rPr>
                <w:rFonts w:hint="default" w:ascii="Times New Roman" w:hAnsi="Times New Roman" w:eastAsia="宋体" w:cs="Times New Roman"/>
                <w:bCs/>
                <w:color w:val="auto"/>
                <w:sz w:val="24"/>
                <w:szCs w:val="24"/>
                <w:highlight w:val="none"/>
                <w:lang w:val="en-US" w:eastAsia="zh-CN"/>
              </w:rPr>
            </w:pPr>
          </w:p>
          <w:p w14:paraId="442B63D5">
            <w:pPr>
              <w:pStyle w:val="23"/>
              <w:rPr>
                <w:rFonts w:hint="default" w:ascii="Times New Roman" w:hAnsi="Times New Roman" w:eastAsia="宋体" w:cs="Times New Roman"/>
                <w:bCs/>
                <w:color w:val="auto"/>
                <w:sz w:val="24"/>
                <w:szCs w:val="24"/>
                <w:highlight w:val="none"/>
                <w:lang w:val="en-US" w:eastAsia="zh-CN"/>
              </w:rPr>
            </w:pPr>
          </w:p>
          <w:p w14:paraId="3DA2F7F2">
            <w:pPr>
              <w:rPr>
                <w:rFonts w:hint="default"/>
                <w:color w:val="auto"/>
                <w:lang w:val="en-US" w:eastAsia="zh-CN"/>
              </w:rPr>
            </w:pPr>
          </w:p>
          <w:p w14:paraId="147CA2B3">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p>
          <w:p w14:paraId="65E625AE">
            <w:pPr>
              <w:keepNext w:val="0"/>
              <w:keepLines w:val="0"/>
              <w:pageBreakBefore w:val="0"/>
              <w:widowControl w:val="0"/>
              <w:shd w:val="clear"/>
              <w:kinsoku/>
              <w:wordWrap/>
              <w:overflowPunct/>
              <w:topLinePunct w:val="0"/>
              <w:autoSpaceDE/>
              <w:autoSpaceDN/>
              <w:bidi w:val="0"/>
              <w:adjustRightInd w:val="0"/>
              <w:snapToGrid w:val="0"/>
              <w:spacing w:line="480" w:lineRule="exact"/>
              <w:jc w:val="left"/>
              <w:textAlignment w:val="auto"/>
              <w:rPr>
                <w:rFonts w:hint="default" w:ascii="Times New Roman" w:hAnsi="Times New Roman" w:eastAsia="宋体" w:cs="Times New Roman"/>
                <w:bCs/>
                <w:color w:val="auto"/>
                <w:sz w:val="24"/>
                <w:szCs w:val="24"/>
                <w:highlight w:val="none"/>
                <w:lang w:val="en-US" w:eastAsia="zh-CN"/>
              </w:rPr>
            </w:pPr>
          </w:p>
        </w:tc>
      </w:tr>
    </w:tbl>
    <w:p w14:paraId="163304B8">
      <w:pPr>
        <w:pStyle w:val="21"/>
        <w:shd w:val="clear"/>
        <w:jc w:val="center"/>
        <w:rPr>
          <w:rFonts w:hint="default" w:ascii="Times New Roman" w:hAnsi="Times New Roman" w:eastAsia="黑体" w:cs="Times New Roman"/>
          <w:snapToGrid w:val="0"/>
          <w:color w:val="auto"/>
          <w:sz w:val="36"/>
          <w:szCs w:val="36"/>
          <w:highlight w:val="none"/>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2525B70">
      <w:pPr>
        <w:pStyle w:val="21"/>
        <w:shd w:val="clear"/>
        <w:adjustRightInd w:val="0"/>
        <w:snapToGrid w:val="0"/>
        <w:spacing w:before="0" w:beforeAutospacing="0" w:after="0" w:afterAutospacing="0" w:line="14" w:lineRule="auto"/>
        <w:jc w:val="center"/>
        <w:outlineLvl w:val="0"/>
        <w:rPr>
          <w:rFonts w:hint="default" w:ascii="Times New Roman" w:hAnsi="Times New Roman" w:eastAsia="黑体" w:cs="Times New Roman"/>
          <w:snapToGrid w:val="0"/>
          <w:color w:val="auto"/>
          <w:sz w:val="30"/>
          <w:szCs w:val="30"/>
          <w:highlight w:val="none"/>
        </w:rPr>
      </w:pPr>
    </w:p>
    <w:p w14:paraId="181062CF">
      <w:pPr>
        <w:pStyle w:val="21"/>
        <w:shd w:val="clear"/>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三、区域环境质量现状、环境保护目标及评价标准</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331"/>
      </w:tblGrid>
      <w:tr w14:paraId="16D61E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659" w:type="dxa"/>
            <w:noWrap w:val="0"/>
            <w:vAlign w:val="center"/>
          </w:tcPr>
          <w:p w14:paraId="76C74C99">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区域</w:t>
            </w:r>
          </w:p>
          <w:p w14:paraId="5BC60F64">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环境</w:t>
            </w:r>
          </w:p>
          <w:p w14:paraId="30E80B2D">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质量</w:t>
            </w:r>
          </w:p>
          <w:p w14:paraId="63EAE407">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现状</w:t>
            </w:r>
          </w:p>
        </w:tc>
        <w:tc>
          <w:tcPr>
            <w:tcW w:w="8331" w:type="dxa"/>
            <w:noWrap w:val="0"/>
            <w:vAlign w:val="center"/>
          </w:tcPr>
          <w:p w14:paraId="5CB488C8">
            <w:pPr>
              <w:pStyle w:val="16"/>
              <w:keepNext w:val="0"/>
              <w:keepLines w:val="0"/>
              <w:pageBreakBefore w:val="0"/>
              <w:widowControl w:val="0"/>
              <w:kinsoku/>
              <w:wordWrap/>
              <w:overflowPunct/>
              <w:topLinePunct w:val="0"/>
              <w:autoSpaceDE/>
              <w:autoSpaceDN/>
              <w:bidi w:val="0"/>
              <w:adjustRightInd/>
              <w:snapToGrid/>
              <w:spacing w:line="360" w:lineRule="auto"/>
              <w:ind w:left="0" w:leftChars="0"/>
              <w:textAlignment w:val="auto"/>
              <w:rPr>
                <w:rFonts w:hint="default" w:ascii="Times New Roman" w:hAnsi="Times New Roman" w:eastAsia="宋体" w:cs="Times New Roman"/>
                <w:bCs/>
                <w:color w:val="auto"/>
                <w:sz w:val="24"/>
                <w:szCs w:val="24"/>
                <w:highlight w:val="none"/>
                <w:lang w:val="en-US" w:eastAsia="zh-CN"/>
              </w:rPr>
            </w:pPr>
            <w:r>
              <w:rPr>
                <w:rFonts w:hint="eastAsia" w:eastAsia="黑体" w:cs="Times New Roman"/>
                <w:color w:val="auto"/>
                <w:sz w:val="24"/>
                <w:szCs w:val="24"/>
                <w:highlight w:val="none"/>
                <w:lang w:val="en-US" w:eastAsia="zh-CN"/>
              </w:rPr>
              <w:t>1</w:t>
            </w:r>
            <w:r>
              <w:rPr>
                <w:rFonts w:hint="default" w:ascii="Times New Roman" w:hAnsi="Times New Roman" w:eastAsia="黑体" w:cs="Times New Roman"/>
                <w:color w:val="auto"/>
                <w:sz w:val="24"/>
                <w:szCs w:val="24"/>
                <w:highlight w:val="none"/>
                <w:lang w:val="en-US" w:eastAsia="zh-CN"/>
              </w:rPr>
              <w:t>、</w:t>
            </w:r>
            <w:r>
              <w:rPr>
                <w:rFonts w:hint="eastAsia" w:eastAsia="黑体" w:cs="Times New Roman"/>
                <w:color w:val="auto"/>
                <w:sz w:val="24"/>
                <w:szCs w:val="24"/>
                <w:highlight w:val="none"/>
                <w:lang w:val="en-US" w:eastAsia="zh-CN"/>
              </w:rPr>
              <w:t>环境空气质量现状</w:t>
            </w:r>
          </w:p>
          <w:p w14:paraId="7B8CF0F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sz w:val="24"/>
                <w:szCs w:val="24"/>
                <w:highlight w:val="none"/>
              </w:rPr>
            </w:pPr>
            <w:r>
              <w:rPr>
                <w:rFonts w:hint="default" w:ascii="Times New Roman" w:hAnsi="Times New Roman" w:eastAsia="宋体" w:cs="Times New Roman"/>
                <w:color w:val="auto"/>
                <w:sz w:val="24"/>
                <w:szCs w:val="24"/>
                <w:highlight w:val="none"/>
              </w:rPr>
              <w:t>根据淄博市生态环境局网站公布的《2024年12月份及全年环境空气质量情况通报》（202</w:t>
            </w: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年</w:t>
            </w:r>
            <w:r>
              <w:rPr>
                <w:rFonts w:hint="eastAsia" w:ascii="Times New Roman" w:hAnsi="Times New Roman" w:eastAsia="宋体" w:cs="Times New Roman"/>
                <w:color w:val="auto"/>
                <w:sz w:val="24"/>
                <w:szCs w:val="24"/>
                <w:highlight w:val="none"/>
                <w:lang w:val="en-US" w:eastAsia="zh-CN"/>
              </w:rPr>
              <w:t>1月27日发布</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项目所在</w:t>
            </w:r>
            <w:r>
              <w:rPr>
                <w:rFonts w:hint="eastAsia" w:ascii="Times New Roman" w:hAnsi="Times New Roman" w:eastAsia="宋体" w:cs="Times New Roman"/>
                <w:color w:val="auto"/>
                <w:sz w:val="24"/>
                <w:szCs w:val="24"/>
                <w:highlight w:val="none"/>
                <w:lang w:val="en-US" w:eastAsia="zh-CN"/>
              </w:rPr>
              <w:t>淄川区</w:t>
            </w:r>
            <w:r>
              <w:rPr>
                <w:rFonts w:hint="default" w:ascii="Times New Roman" w:hAnsi="Times New Roman" w:eastAsia="宋体" w:cs="Times New Roman"/>
                <w:color w:val="auto"/>
                <w:sz w:val="24"/>
                <w:szCs w:val="24"/>
                <w:highlight w:val="none"/>
              </w:rPr>
              <w:t>范围内</w:t>
            </w:r>
            <w:r>
              <w:rPr>
                <w:rFonts w:hint="eastAsia" w:ascii="Times New Roman" w:hAnsi="Times New Roman" w:eastAsia="宋体" w:cs="Times New Roman"/>
                <w:color w:val="auto"/>
                <w:sz w:val="24"/>
                <w:szCs w:val="24"/>
                <w:highlight w:val="none"/>
                <w:lang w:val="en-US" w:eastAsia="zh-CN"/>
              </w:rPr>
              <w:t>2024年</w:t>
            </w:r>
            <w:r>
              <w:rPr>
                <w:rFonts w:hint="default" w:ascii="Times New Roman" w:hAnsi="Times New Roman" w:eastAsia="宋体" w:cs="Times New Roman"/>
                <w:color w:val="auto"/>
                <w:sz w:val="24"/>
                <w:szCs w:val="24"/>
                <w:highlight w:val="none"/>
              </w:rPr>
              <w:t>环境空气中污染物数据统计及评价情况见表3-1</w:t>
            </w:r>
            <w:r>
              <w:rPr>
                <w:color w:val="auto"/>
                <w:sz w:val="24"/>
                <w:szCs w:val="24"/>
                <w:highlight w:val="none"/>
              </w:rPr>
              <w:t>。</w:t>
            </w:r>
          </w:p>
          <w:p w14:paraId="410E2293">
            <w:pPr>
              <w:keepNext w:val="0"/>
              <w:keepLines w:val="0"/>
              <w:pageBreakBefore w:val="0"/>
              <w:widowControl w:val="0"/>
              <w:shd w:val="clear"/>
              <w:kinsoku/>
              <w:wordWrap/>
              <w:overflowPunct/>
              <w:topLinePunct w:val="0"/>
              <w:autoSpaceDE/>
              <w:autoSpaceDN/>
              <w:bidi w:val="0"/>
              <w:adjustRightInd w:val="0"/>
              <w:snapToGrid w:val="0"/>
              <w:spacing w:line="440" w:lineRule="exact"/>
              <w:ind w:firstLine="422" w:firstLineChars="200"/>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表3-1 区域环境质量现状评价结果一览表</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3"/>
              <w:gridCol w:w="881"/>
              <w:gridCol w:w="2366"/>
              <w:gridCol w:w="992"/>
              <w:gridCol w:w="1038"/>
              <w:gridCol w:w="885"/>
              <w:gridCol w:w="1110"/>
            </w:tblGrid>
            <w:tr w14:paraId="153063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tcBorders>
                    <w:tl2br w:val="nil"/>
                    <w:tr2bl w:val="nil"/>
                  </w:tcBorders>
                  <w:noWrap w:val="0"/>
                  <w:vAlign w:val="center"/>
                </w:tcPr>
                <w:p w14:paraId="0880DB7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污染物</w:t>
                  </w:r>
                </w:p>
              </w:tc>
              <w:tc>
                <w:tcPr>
                  <w:tcW w:w="866" w:type="dxa"/>
                  <w:tcBorders>
                    <w:tl2br w:val="nil"/>
                    <w:tr2bl w:val="nil"/>
                  </w:tcBorders>
                  <w:noWrap w:val="0"/>
                  <w:vAlign w:val="center"/>
                </w:tcPr>
                <w:p w14:paraId="005182E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单位</w:t>
                  </w:r>
                </w:p>
              </w:tc>
              <w:tc>
                <w:tcPr>
                  <w:tcW w:w="2325" w:type="dxa"/>
                  <w:tcBorders>
                    <w:tl2br w:val="nil"/>
                    <w:tr2bl w:val="nil"/>
                  </w:tcBorders>
                  <w:noWrap w:val="0"/>
                  <w:vAlign w:val="center"/>
                </w:tcPr>
                <w:p w14:paraId="5F81007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年评价指标</w:t>
                  </w:r>
                </w:p>
              </w:tc>
              <w:tc>
                <w:tcPr>
                  <w:tcW w:w="975" w:type="dxa"/>
                  <w:tcBorders>
                    <w:tl2br w:val="nil"/>
                    <w:tr2bl w:val="nil"/>
                  </w:tcBorders>
                  <w:noWrap w:val="0"/>
                  <w:vAlign w:val="center"/>
                </w:tcPr>
                <w:p w14:paraId="17EE7BC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现状浓度</w:t>
                  </w:r>
                </w:p>
              </w:tc>
              <w:tc>
                <w:tcPr>
                  <w:tcW w:w="1020" w:type="dxa"/>
                  <w:tcBorders>
                    <w:tl2br w:val="nil"/>
                    <w:tr2bl w:val="nil"/>
                  </w:tcBorders>
                  <w:noWrap w:val="0"/>
                  <w:vAlign w:val="center"/>
                </w:tcPr>
                <w:p w14:paraId="1747A6E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评价标准</w:t>
                  </w:r>
                </w:p>
              </w:tc>
              <w:tc>
                <w:tcPr>
                  <w:tcW w:w="870" w:type="dxa"/>
                  <w:tcBorders>
                    <w:tl2br w:val="nil"/>
                    <w:tr2bl w:val="nil"/>
                  </w:tcBorders>
                  <w:noWrap w:val="0"/>
                  <w:vAlign w:val="center"/>
                </w:tcPr>
                <w:p w14:paraId="2505462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占标率</w:t>
                  </w:r>
                  <w:r>
                    <w:rPr>
                      <w:rFonts w:hint="eastAsia" w:cs="Times New Roman"/>
                      <w:b/>
                      <w:bCs w:val="0"/>
                      <w:color w:val="auto"/>
                      <w:sz w:val="21"/>
                      <w:szCs w:val="21"/>
                      <w:highlight w:val="none"/>
                      <w:vertAlign w:val="baseline"/>
                      <w:lang w:val="en-US" w:eastAsia="zh-CN"/>
                    </w:rPr>
                    <w:t>%</w:t>
                  </w:r>
                </w:p>
              </w:tc>
              <w:tc>
                <w:tcPr>
                  <w:tcW w:w="1090" w:type="dxa"/>
                  <w:tcBorders>
                    <w:tl2br w:val="nil"/>
                    <w:tr2bl w:val="nil"/>
                  </w:tcBorders>
                  <w:noWrap w:val="0"/>
                  <w:vAlign w:val="center"/>
                </w:tcPr>
                <w:p w14:paraId="1FD975A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达标情况</w:t>
                  </w:r>
                </w:p>
              </w:tc>
            </w:tr>
            <w:tr w14:paraId="21E374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tcBorders>
                    <w:tl2br w:val="nil"/>
                    <w:tr2bl w:val="nil"/>
                  </w:tcBorders>
                  <w:noWrap w:val="0"/>
                  <w:vAlign w:val="center"/>
                </w:tcPr>
                <w:p w14:paraId="4BCA29E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SO</w:t>
                  </w:r>
                  <w:r>
                    <w:rPr>
                      <w:rFonts w:hint="default" w:ascii="Times New Roman" w:hAnsi="Times New Roman" w:eastAsia="宋体" w:cs="Times New Roman"/>
                      <w:b w:val="0"/>
                      <w:bCs/>
                      <w:color w:val="auto"/>
                      <w:sz w:val="21"/>
                      <w:szCs w:val="21"/>
                      <w:highlight w:val="none"/>
                      <w:vertAlign w:val="subscript"/>
                      <w:lang w:val="en-US" w:eastAsia="zh-CN"/>
                    </w:rPr>
                    <w:t>2</w:t>
                  </w:r>
                </w:p>
              </w:tc>
              <w:tc>
                <w:tcPr>
                  <w:tcW w:w="866" w:type="dxa"/>
                  <w:tcBorders>
                    <w:tl2br w:val="nil"/>
                    <w:tr2bl w:val="nil"/>
                  </w:tcBorders>
                  <w:noWrap w:val="0"/>
                  <w:vAlign w:val="center"/>
                </w:tcPr>
                <w:p w14:paraId="126B1EB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μg/m</w:t>
                  </w:r>
                  <w:r>
                    <w:rPr>
                      <w:rFonts w:hint="default" w:ascii="Times New Roman" w:hAnsi="Times New Roman" w:eastAsia="宋体" w:cs="Times New Roman"/>
                      <w:b w:val="0"/>
                      <w:bCs/>
                      <w:color w:val="auto"/>
                      <w:sz w:val="21"/>
                      <w:szCs w:val="21"/>
                      <w:highlight w:val="none"/>
                      <w:vertAlign w:val="superscript"/>
                      <w:lang w:val="en-US" w:eastAsia="zh-CN"/>
                    </w:rPr>
                    <w:t>3</w:t>
                  </w:r>
                </w:p>
              </w:tc>
              <w:tc>
                <w:tcPr>
                  <w:tcW w:w="2325" w:type="dxa"/>
                  <w:tcBorders>
                    <w:tl2br w:val="nil"/>
                    <w:tr2bl w:val="nil"/>
                  </w:tcBorders>
                  <w:noWrap w:val="0"/>
                  <w:vAlign w:val="center"/>
                </w:tcPr>
                <w:p w14:paraId="4F54542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年平均质量浓度</w:t>
                  </w:r>
                </w:p>
              </w:tc>
              <w:tc>
                <w:tcPr>
                  <w:tcW w:w="975" w:type="dxa"/>
                  <w:tcBorders>
                    <w:tl2br w:val="nil"/>
                    <w:tr2bl w:val="nil"/>
                  </w:tcBorders>
                  <w:noWrap w:val="0"/>
                  <w:vAlign w:val="center"/>
                </w:tcPr>
                <w:p w14:paraId="5270C565">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12</w:t>
                  </w:r>
                </w:p>
              </w:tc>
              <w:tc>
                <w:tcPr>
                  <w:tcW w:w="1020" w:type="dxa"/>
                  <w:tcBorders>
                    <w:tl2br w:val="nil"/>
                    <w:tr2bl w:val="nil"/>
                  </w:tcBorders>
                  <w:noWrap w:val="0"/>
                  <w:vAlign w:val="center"/>
                </w:tcPr>
                <w:p w14:paraId="485AB2D7">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60</w:t>
                  </w:r>
                </w:p>
              </w:tc>
              <w:tc>
                <w:tcPr>
                  <w:tcW w:w="870" w:type="dxa"/>
                  <w:tcBorders>
                    <w:tl2br w:val="nil"/>
                    <w:tr2bl w:val="nil"/>
                  </w:tcBorders>
                  <w:noWrap w:val="0"/>
                  <w:vAlign w:val="center"/>
                </w:tcPr>
                <w:p w14:paraId="5E1E6FEE">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20</w:t>
                  </w:r>
                </w:p>
              </w:tc>
              <w:tc>
                <w:tcPr>
                  <w:tcW w:w="1090" w:type="dxa"/>
                  <w:tcBorders>
                    <w:tl2br w:val="nil"/>
                    <w:tr2bl w:val="nil"/>
                  </w:tcBorders>
                  <w:noWrap w:val="0"/>
                  <w:vAlign w:val="center"/>
                </w:tcPr>
                <w:p w14:paraId="1A3A575F">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达标</w:t>
                  </w:r>
                </w:p>
              </w:tc>
            </w:tr>
            <w:tr w14:paraId="24A1A3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tcBorders>
                    <w:tl2br w:val="nil"/>
                    <w:tr2bl w:val="nil"/>
                  </w:tcBorders>
                  <w:noWrap w:val="0"/>
                  <w:vAlign w:val="center"/>
                </w:tcPr>
                <w:p w14:paraId="6D3BCAB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NO</w:t>
                  </w:r>
                  <w:r>
                    <w:rPr>
                      <w:rFonts w:hint="default" w:ascii="Times New Roman" w:hAnsi="Times New Roman" w:eastAsia="宋体" w:cs="Times New Roman"/>
                      <w:b w:val="0"/>
                      <w:bCs/>
                      <w:color w:val="auto"/>
                      <w:sz w:val="21"/>
                      <w:szCs w:val="21"/>
                      <w:highlight w:val="none"/>
                      <w:vertAlign w:val="subscript"/>
                      <w:lang w:val="en-US" w:eastAsia="zh-CN"/>
                    </w:rPr>
                    <w:t>2</w:t>
                  </w:r>
                </w:p>
              </w:tc>
              <w:tc>
                <w:tcPr>
                  <w:tcW w:w="866" w:type="dxa"/>
                  <w:tcBorders>
                    <w:tl2br w:val="nil"/>
                    <w:tr2bl w:val="nil"/>
                  </w:tcBorders>
                  <w:noWrap w:val="0"/>
                  <w:vAlign w:val="center"/>
                </w:tcPr>
                <w:p w14:paraId="04A8FB4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μg/m</w:t>
                  </w:r>
                  <w:r>
                    <w:rPr>
                      <w:rFonts w:hint="default" w:ascii="Times New Roman" w:hAnsi="Times New Roman" w:eastAsia="宋体" w:cs="Times New Roman"/>
                      <w:b w:val="0"/>
                      <w:bCs/>
                      <w:color w:val="auto"/>
                      <w:sz w:val="21"/>
                      <w:szCs w:val="21"/>
                      <w:highlight w:val="none"/>
                      <w:vertAlign w:val="superscript"/>
                      <w:lang w:val="en-US" w:eastAsia="zh-CN"/>
                    </w:rPr>
                    <w:t>3</w:t>
                  </w:r>
                </w:p>
              </w:tc>
              <w:tc>
                <w:tcPr>
                  <w:tcW w:w="2325" w:type="dxa"/>
                  <w:tcBorders>
                    <w:tl2br w:val="nil"/>
                    <w:tr2bl w:val="nil"/>
                  </w:tcBorders>
                  <w:noWrap w:val="0"/>
                  <w:vAlign w:val="center"/>
                </w:tcPr>
                <w:p w14:paraId="04ACBE7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年平均质量浓度</w:t>
                  </w:r>
                </w:p>
              </w:tc>
              <w:tc>
                <w:tcPr>
                  <w:tcW w:w="975" w:type="dxa"/>
                  <w:tcBorders>
                    <w:tl2br w:val="nil"/>
                    <w:tr2bl w:val="nil"/>
                  </w:tcBorders>
                  <w:noWrap w:val="0"/>
                  <w:vAlign w:val="center"/>
                </w:tcPr>
                <w:p w14:paraId="41CDECC0">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30</w:t>
                  </w:r>
                </w:p>
              </w:tc>
              <w:tc>
                <w:tcPr>
                  <w:tcW w:w="1020" w:type="dxa"/>
                  <w:tcBorders>
                    <w:tl2br w:val="nil"/>
                    <w:tr2bl w:val="nil"/>
                  </w:tcBorders>
                  <w:noWrap w:val="0"/>
                  <w:vAlign w:val="center"/>
                </w:tcPr>
                <w:p w14:paraId="7DCF073A">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40</w:t>
                  </w:r>
                </w:p>
              </w:tc>
              <w:tc>
                <w:tcPr>
                  <w:tcW w:w="870" w:type="dxa"/>
                  <w:tcBorders>
                    <w:tl2br w:val="nil"/>
                    <w:tr2bl w:val="nil"/>
                  </w:tcBorders>
                  <w:noWrap w:val="0"/>
                  <w:vAlign w:val="center"/>
                </w:tcPr>
                <w:p w14:paraId="04902E62">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75</w:t>
                  </w:r>
                </w:p>
              </w:tc>
              <w:tc>
                <w:tcPr>
                  <w:tcW w:w="1090" w:type="dxa"/>
                  <w:tcBorders>
                    <w:tl2br w:val="nil"/>
                    <w:tr2bl w:val="nil"/>
                  </w:tcBorders>
                  <w:noWrap w:val="0"/>
                  <w:vAlign w:val="center"/>
                </w:tcPr>
                <w:p w14:paraId="553E6D0D">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达标</w:t>
                  </w:r>
                </w:p>
              </w:tc>
            </w:tr>
            <w:tr w14:paraId="2A57F7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tcBorders>
                    <w:tl2br w:val="nil"/>
                    <w:tr2bl w:val="nil"/>
                  </w:tcBorders>
                  <w:noWrap w:val="0"/>
                  <w:vAlign w:val="center"/>
                </w:tcPr>
                <w:p w14:paraId="5D82F4A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PM</w:t>
                  </w:r>
                  <w:r>
                    <w:rPr>
                      <w:rFonts w:hint="default" w:ascii="Times New Roman" w:hAnsi="Times New Roman" w:eastAsia="宋体" w:cs="Times New Roman"/>
                      <w:b w:val="0"/>
                      <w:bCs/>
                      <w:color w:val="auto"/>
                      <w:sz w:val="21"/>
                      <w:szCs w:val="21"/>
                      <w:highlight w:val="none"/>
                      <w:vertAlign w:val="subscript"/>
                      <w:lang w:val="en-US" w:eastAsia="zh-CN"/>
                    </w:rPr>
                    <w:t>10</w:t>
                  </w:r>
                </w:p>
              </w:tc>
              <w:tc>
                <w:tcPr>
                  <w:tcW w:w="866" w:type="dxa"/>
                  <w:tcBorders>
                    <w:tl2br w:val="nil"/>
                    <w:tr2bl w:val="nil"/>
                  </w:tcBorders>
                  <w:noWrap w:val="0"/>
                  <w:vAlign w:val="center"/>
                </w:tcPr>
                <w:p w14:paraId="541AB64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μg/m</w:t>
                  </w:r>
                  <w:r>
                    <w:rPr>
                      <w:rFonts w:hint="default" w:ascii="Times New Roman" w:hAnsi="Times New Roman" w:eastAsia="宋体" w:cs="Times New Roman"/>
                      <w:b w:val="0"/>
                      <w:bCs/>
                      <w:color w:val="auto"/>
                      <w:sz w:val="21"/>
                      <w:szCs w:val="21"/>
                      <w:highlight w:val="none"/>
                      <w:vertAlign w:val="superscript"/>
                      <w:lang w:val="en-US" w:eastAsia="zh-CN"/>
                    </w:rPr>
                    <w:t>3</w:t>
                  </w:r>
                </w:p>
              </w:tc>
              <w:tc>
                <w:tcPr>
                  <w:tcW w:w="2325" w:type="dxa"/>
                  <w:tcBorders>
                    <w:tl2br w:val="nil"/>
                    <w:tr2bl w:val="nil"/>
                  </w:tcBorders>
                  <w:noWrap w:val="0"/>
                  <w:vAlign w:val="center"/>
                </w:tcPr>
                <w:p w14:paraId="272A1BC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年平均质量浓度</w:t>
                  </w:r>
                </w:p>
              </w:tc>
              <w:tc>
                <w:tcPr>
                  <w:tcW w:w="975" w:type="dxa"/>
                  <w:tcBorders>
                    <w:tl2br w:val="nil"/>
                    <w:tr2bl w:val="nil"/>
                  </w:tcBorders>
                  <w:noWrap w:val="0"/>
                  <w:vAlign w:val="center"/>
                </w:tcPr>
                <w:p w14:paraId="78F43611">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69</w:t>
                  </w:r>
                </w:p>
              </w:tc>
              <w:tc>
                <w:tcPr>
                  <w:tcW w:w="1020" w:type="dxa"/>
                  <w:tcBorders>
                    <w:tl2br w:val="nil"/>
                    <w:tr2bl w:val="nil"/>
                  </w:tcBorders>
                  <w:noWrap w:val="0"/>
                  <w:vAlign w:val="center"/>
                </w:tcPr>
                <w:p w14:paraId="29215746">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70</w:t>
                  </w:r>
                </w:p>
              </w:tc>
              <w:tc>
                <w:tcPr>
                  <w:tcW w:w="870" w:type="dxa"/>
                  <w:tcBorders>
                    <w:tl2br w:val="nil"/>
                    <w:tr2bl w:val="nil"/>
                  </w:tcBorders>
                  <w:noWrap w:val="0"/>
                  <w:vAlign w:val="center"/>
                </w:tcPr>
                <w:p w14:paraId="677ECA76">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98.6</w:t>
                  </w:r>
                </w:p>
              </w:tc>
              <w:tc>
                <w:tcPr>
                  <w:tcW w:w="1090" w:type="dxa"/>
                  <w:tcBorders>
                    <w:tl2br w:val="nil"/>
                    <w:tr2bl w:val="nil"/>
                  </w:tcBorders>
                  <w:noWrap w:val="0"/>
                  <w:vAlign w:val="center"/>
                </w:tcPr>
                <w:p w14:paraId="786A9B6E">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达标</w:t>
                  </w:r>
                </w:p>
              </w:tc>
            </w:tr>
            <w:tr w14:paraId="74EE25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tcBorders>
                    <w:tl2br w:val="nil"/>
                    <w:tr2bl w:val="nil"/>
                  </w:tcBorders>
                  <w:noWrap w:val="0"/>
                  <w:vAlign w:val="center"/>
                </w:tcPr>
                <w:p w14:paraId="4FE1877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PM</w:t>
                  </w:r>
                  <w:r>
                    <w:rPr>
                      <w:rFonts w:hint="default" w:ascii="Times New Roman" w:hAnsi="Times New Roman" w:eastAsia="宋体" w:cs="Times New Roman"/>
                      <w:b w:val="0"/>
                      <w:bCs/>
                      <w:color w:val="auto"/>
                      <w:sz w:val="21"/>
                      <w:szCs w:val="21"/>
                      <w:highlight w:val="none"/>
                      <w:vertAlign w:val="subscript"/>
                      <w:lang w:val="en-US" w:eastAsia="zh-CN"/>
                    </w:rPr>
                    <w:t>2.5</w:t>
                  </w:r>
                </w:p>
              </w:tc>
              <w:tc>
                <w:tcPr>
                  <w:tcW w:w="866" w:type="dxa"/>
                  <w:tcBorders>
                    <w:tl2br w:val="nil"/>
                    <w:tr2bl w:val="nil"/>
                  </w:tcBorders>
                  <w:noWrap w:val="0"/>
                  <w:vAlign w:val="center"/>
                </w:tcPr>
                <w:p w14:paraId="59F0B4B2">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μg/m</w:t>
                  </w:r>
                  <w:r>
                    <w:rPr>
                      <w:rFonts w:hint="default" w:ascii="Times New Roman" w:hAnsi="Times New Roman" w:eastAsia="宋体" w:cs="Times New Roman"/>
                      <w:b w:val="0"/>
                      <w:bCs/>
                      <w:color w:val="auto"/>
                      <w:sz w:val="21"/>
                      <w:szCs w:val="21"/>
                      <w:highlight w:val="none"/>
                      <w:vertAlign w:val="superscript"/>
                      <w:lang w:val="en-US" w:eastAsia="zh-CN"/>
                    </w:rPr>
                    <w:t>3</w:t>
                  </w:r>
                </w:p>
              </w:tc>
              <w:tc>
                <w:tcPr>
                  <w:tcW w:w="2325" w:type="dxa"/>
                  <w:tcBorders>
                    <w:tl2br w:val="nil"/>
                    <w:tr2bl w:val="nil"/>
                  </w:tcBorders>
                  <w:noWrap w:val="0"/>
                  <w:vAlign w:val="center"/>
                </w:tcPr>
                <w:p w14:paraId="653F605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年平均质量浓度</w:t>
                  </w:r>
                </w:p>
              </w:tc>
              <w:tc>
                <w:tcPr>
                  <w:tcW w:w="975" w:type="dxa"/>
                  <w:tcBorders>
                    <w:tl2br w:val="nil"/>
                    <w:tr2bl w:val="nil"/>
                  </w:tcBorders>
                  <w:noWrap w:val="0"/>
                  <w:vAlign w:val="center"/>
                </w:tcPr>
                <w:p w14:paraId="5ACDE8E5">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42</w:t>
                  </w:r>
                </w:p>
              </w:tc>
              <w:tc>
                <w:tcPr>
                  <w:tcW w:w="1020" w:type="dxa"/>
                  <w:tcBorders>
                    <w:tl2br w:val="nil"/>
                    <w:tr2bl w:val="nil"/>
                  </w:tcBorders>
                  <w:noWrap w:val="0"/>
                  <w:vAlign w:val="center"/>
                </w:tcPr>
                <w:p w14:paraId="2F5B24F4">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35</w:t>
                  </w:r>
                </w:p>
              </w:tc>
              <w:tc>
                <w:tcPr>
                  <w:tcW w:w="870" w:type="dxa"/>
                  <w:tcBorders>
                    <w:tl2br w:val="nil"/>
                    <w:tr2bl w:val="nil"/>
                  </w:tcBorders>
                  <w:noWrap w:val="0"/>
                  <w:vAlign w:val="center"/>
                </w:tcPr>
                <w:p w14:paraId="38272E65">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128.6</w:t>
                  </w:r>
                </w:p>
              </w:tc>
              <w:tc>
                <w:tcPr>
                  <w:tcW w:w="1090" w:type="dxa"/>
                  <w:tcBorders>
                    <w:tl2br w:val="nil"/>
                    <w:tr2bl w:val="nil"/>
                  </w:tcBorders>
                  <w:noWrap w:val="0"/>
                  <w:vAlign w:val="center"/>
                </w:tcPr>
                <w:p w14:paraId="7E8C4273">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超标</w:t>
                  </w:r>
                </w:p>
              </w:tc>
            </w:tr>
            <w:tr w14:paraId="7A119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tcBorders>
                    <w:tl2br w:val="nil"/>
                    <w:tr2bl w:val="nil"/>
                  </w:tcBorders>
                  <w:noWrap w:val="0"/>
                  <w:vAlign w:val="center"/>
                </w:tcPr>
                <w:p w14:paraId="23897155">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CO</w:t>
                  </w:r>
                </w:p>
              </w:tc>
              <w:tc>
                <w:tcPr>
                  <w:tcW w:w="866" w:type="dxa"/>
                  <w:tcBorders>
                    <w:tl2br w:val="nil"/>
                    <w:tr2bl w:val="nil"/>
                  </w:tcBorders>
                  <w:noWrap w:val="0"/>
                  <w:vAlign w:val="center"/>
                </w:tcPr>
                <w:p w14:paraId="4EC76A58">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mg/m</w:t>
                  </w:r>
                  <w:r>
                    <w:rPr>
                      <w:rFonts w:hint="default" w:ascii="Times New Roman" w:hAnsi="Times New Roman" w:eastAsia="宋体" w:cs="Times New Roman"/>
                      <w:b w:val="0"/>
                      <w:bCs/>
                      <w:color w:val="auto"/>
                      <w:sz w:val="21"/>
                      <w:szCs w:val="21"/>
                      <w:highlight w:val="none"/>
                      <w:vertAlign w:val="superscript"/>
                      <w:lang w:val="en-US" w:eastAsia="zh-CN"/>
                    </w:rPr>
                    <w:t>3</w:t>
                  </w:r>
                </w:p>
              </w:tc>
              <w:tc>
                <w:tcPr>
                  <w:tcW w:w="2325" w:type="dxa"/>
                  <w:tcBorders>
                    <w:tl2br w:val="nil"/>
                    <w:tr2bl w:val="nil"/>
                  </w:tcBorders>
                  <w:noWrap w:val="0"/>
                  <w:vAlign w:val="center"/>
                </w:tcPr>
                <w:p w14:paraId="1DA58EE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95%保证率日平均浓度</w:t>
                  </w:r>
                </w:p>
              </w:tc>
              <w:tc>
                <w:tcPr>
                  <w:tcW w:w="975" w:type="dxa"/>
                  <w:tcBorders>
                    <w:tl2br w:val="nil"/>
                    <w:tr2bl w:val="nil"/>
                  </w:tcBorders>
                  <w:noWrap w:val="0"/>
                  <w:vAlign w:val="center"/>
                </w:tcPr>
                <w:p w14:paraId="371141C4">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1.2</w:t>
                  </w:r>
                </w:p>
              </w:tc>
              <w:tc>
                <w:tcPr>
                  <w:tcW w:w="1020" w:type="dxa"/>
                  <w:tcBorders>
                    <w:tl2br w:val="nil"/>
                    <w:tr2bl w:val="nil"/>
                  </w:tcBorders>
                  <w:noWrap w:val="0"/>
                  <w:vAlign w:val="center"/>
                </w:tcPr>
                <w:p w14:paraId="5A1670B9">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4</w:t>
                  </w:r>
                </w:p>
              </w:tc>
              <w:tc>
                <w:tcPr>
                  <w:tcW w:w="870" w:type="dxa"/>
                  <w:tcBorders>
                    <w:tl2br w:val="nil"/>
                    <w:tr2bl w:val="nil"/>
                  </w:tcBorders>
                  <w:noWrap w:val="0"/>
                  <w:vAlign w:val="center"/>
                </w:tcPr>
                <w:p w14:paraId="1E8950C6">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30</w:t>
                  </w:r>
                </w:p>
              </w:tc>
              <w:tc>
                <w:tcPr>
                  <w:tcW w:w="1090" w:type="dxa"/>
                  <w:tcBorders>
                    <w:tl2br w:val="nil"/>
                    <w:tr2bl w:val="nil"/>
                  </w:tcBorders>
                  <w:noWrap w:val="0"/>
                  <w:vAlign w:val="center"/>
                </w:tcPr>
                <w:p w14:paraId="18D82525">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达标</w:t>
                  </w:r>
                </w:p>
              </w:tc>
            </w:tr>
            <w:tr w14:paraId="3AD370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8" w:type="dxa"/>
                  <w:tcBorders>
                    <w:tl2br w:val="nil"/>
                    <w:tr2bl w:val="nil"/>
                  </w:tcBorders>
                  <w:noWrap w:val="0"/>
                  <w:vAlign w:val="center"/>
                </w:tcPr>
                <w:p w14:paraId="6100BE7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O</w:t>
                  </w:r>
                  <w:r>
                    <w:rPr>
                      <w:rFonts w:hint="default" w:ascii="Times New Roman" w:hAnsi="Times New Roman" w:eastAsia="宋体" w:cs="Times New Roman"/>
                      <w:b w:val="0"/>
                      <w:bCs/>
                      <w:color w:val="auto"/>
                      <w:sz w:val="21"/>
                      <w:szCs w:val="21"/>
                      <w:highlight w:val="none"/>
                      <w:vertAlign w:val="subscript"/>
                      <w:lang w:val="en-US" w:eastAsia="zh-CN"/>
                    </w:rPr>
                    <w:t>3</w:t>
                  </w:r>
                </w:p>
              </w:tc>
              <w:tc>
                <w:tcPr>
                  <w:tcW w:w="866" w:type="dxa"/>
                  <w:tcBorders>
                    <w:tl2br w:val="nil"/>
                    <w:tr2bl w:val="nil"/>
                  </w:tcBorders>
                  <w:noWrap w:val="0"/>
                  <w:vAlign w:val="center"/>
                </w:tcPr>
                <w:p w14:paraId="072267A7">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μg/m</w:t>
                  </w:r>
                  <w:r>
                    <w:rPr>
                      <w:rFonts w:hint="default" w:ascii="Times New Roman" w:hAnsi="Times New Roman" w:eastAsia="宋体" w:cs="Times New Roman"/>
                      <w:b w:val="0"/>
                      <w:bCs/>
                      <w:color w:val="auto"/>
                      <w:sz w:val="21"/>
                      <w:szCs w:val="21"/>
                      <w:highlight w:val="none"/>
                      <w:vertAlign w:val="superscript"/>
                      <w:lang w:val="en-US" w:eastAsia="zh-CN"/>
                    </w:rPr>
                    <w:t>3</w:t>
                  </w:r>
                </w:p>
              </w:tc>
              <w:tc>
                <w:tcPr>
                  <w:tcW w:w="2325" w:type="dxa"/>
                  <w:tcBorders>
                    <w:tl2br w:val="nil"/>
                    <w:tr2bl w:val="nil"/>
                  </w:tcBorders>
                  <w:noWrap w:val="0"/>
                  <w:vAlign w:val="center"/>
                </w:tcPr>
                <w:p w14:paraId="6899F57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vertAlign w:val="baseline"/>
                      <w:lang w:val="en-US" w:eastAsia="zh-CN"/>
                    </w:rPr>
                    <w:t>90%保证率日最大8h滑动平均浓度</w:t>
                  </w:r>
                </w:p>
              </w:tc>
              <w:tc>
                <w:tcPr>
                  <w:tcW w:w="975" w:type="dxa"/>
                  <w:tcBorders>
                    <w:tl2br w:val="nil"/>
                    <w:tr2bl w:val="nil"/>
                  </w:tcBorders>
                  <w:noWrap w:val="0"/>
                  <w:vAlign w:val="center"/>
                </w:tcPr>
                <w:p w14:paraId="78D99EFE">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190</w:t>
                  </w:r>
                </w:p>
              </w:tc>
              <w:tc>
                <w:tcPr>
                  <w:tcW w:w="1020" w:type="dxa"/>
                  <w:tcBorders>
                    <w:tl2br w:val="nil"/>
                    <w:tr2bl w:val="nil"/>
                  </w:tcBorders>
                  <w:noWrap w:val="0"/>
                  <w:vAlign w:val="center"/>
                </w:tcPr>
                <w:p w14:paraId="6874DCE6">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160</w:t>
                  </w:r>
                </w:p>
              </w:tc>
              <w:tc>
                <w:tcPr>
                  <w:tcW w:w="870" w:type="dxa"/>
                  <w:tcBorders>
                    <w:tl2br w:val="nil"/>
                    <w:tr2bl w:val="nil"/>
                  </w:tcBorders>
                  <w:noWrap w:val="0"/>
                  <w:vAlign w:val="center"/>
                </w:tcPr>
                <w:p w14:paraId="26FB9546">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118.8</w:t>
                  </w:r>
                </w:p>
              </w:tc>
              <w:tc>
                <w:tcPr>
                  <w:tcW w:w="1090" w:type="dxa"/>
                  <w:tcBorders>
                    <w:tl2br w:val="nil"/>
                    <w:tr2bl w:val="nil"/>
                  </w:tcBorders>
                  <w:noWrap w:val="0"/>
                  <w:vAlign w:val="center"/>
                </w:tcPr>
                <w:p w14:paraId="2A339B4E">
                  <w:pPr>
                    <w:pStyle w:val="54"/>
                    <w:spacing w:line="240" w:lineRule="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超标</w:t>
                  </w:r>
                </w:p>
              </w:tc>
            </w:tr>
          </w:tbl>
          <w:p w14:paraId="749CC781">
            <w:pPr>
              <w:spacing w:line="440" w:lineRule="exact"/>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eastAsia" w:ascii="Times New Roman" w:hAnsi="Times New Roman" w:eastAsia="宋体" w:cs="Times New Roman"/>
                <w:color w:val="auto"/>
                <w:sz w:val="24"/>
                <w:szCs w:val="24"/>
                <w:highlight w:val="none"/>
                <w:shd w:val="clear" w:color="auto" w:fill="auto"/>
                <w:lang w:val="en-US" w:eastAsia="zh-CN"/>
              </w:rPr>
              <w:t>由上表可以看出，项目所在区域PM</w:t>
            </w:r>
            <w:r>
              <w:rPr>
                <w:rFonts w:hint="eastAsia" w:ascii="Times New Roman" w:hAnsi="Times New Roman" w:eastAsia="宋体" w:cs="Times New Roman"/>
                <w:color w:val="auto"/>
                <w:sz w:val="24"/>
                <w:szCs w:val="24"/>
                <w:highlight w:val="none"/>
                <w:shd w:val="clear" w:color="auto" w:fill="auto"/>
                <w:vertAlign w:val="subscript"/>
                <w:lang w:val="en-US" w:eastAsia="zh-CN"/>
              </w:rPr>
              <w:t>10</w:t>
            </w:r>
            <w:r>
              <w:rPr>
                <w:rFonts w:hint="eastAsia" w:ascii="Times New Roman" w:hAnsi="Times New Roman" w:eastAsia="宋体" w:cs="Times New Roman"/>
                <w:color w:val="auto"/>
                <w:sz w:val="24"/>
                <w:szCs w:val="24"/>
                <w:highlight w:val="none"/>
                <w:shd w:val="clear" w:color="auto" w:fill="auto"/>
                <w:lang w:val="en-US" w:eastAsia="zh-CN"/>
              </w:rPr>
              <w:t>、O</w:t>
            </w:r>
            <w:r>
              <w:rPr>
                <w:rFonts w:hint="eastAsia" w:ascii="Times New Roman" w:hAnsi="Times New Roman" w:eastAsia="宋体" w:cs="Times New Roman"/>
                <w:color w:val="auto"/>
                <w:sz w:val="24"/>
                <w:szCs w:val="24"/>
                <w:highlight w:val="none"/>
                <w:shd w:val="clear" w:color="auto" w:fill="auto"/>
                <w:vertAlign w:val="subscript"/>
                <w:lang w:val="en-US" w:eastAsia="zh-CN"/>
              </w:rPr>
              <w:t>3</w:t>
            </w:r>
            <w:r>
              <w:rPr>
                <w:rFonts w:hint="eastAsia" w:ascii="Times New Roman" w:hAnsi="Times New Roman" w:eastAsia="宋体" w:cs="Times New Roman"/>
                <w:color w:val="auto"/>
                <w:sz w:val="24"/>
                <w:szCs w:val="24"/>
                <w:highlight w:val="none"/>
                <w:shd w:val="clear" w:color="auto" w:fill="auto"/>
                <w:lang w:val="en-US" w:eastAsia="zh-CN"/>
              </w:rPr>
              <w:t>浓度超标，项目区域为不达标区。</w:t>
            </w:r>
          </w:p>
          <w:p w14:paraId="0D2B9782">
            <w:pPr>
              <w:spacing w:line="440" w:lineRule="exact"/>
              <w:ind w:firstLine="480" w:firstLineChars="200"/>
              <w:rPr>
                <w:b/>
                <w:bCs/>
                <w:color w:val="auto"/>
                <w:sz w:val="24"/>
                <w:szCs w:val="24"/>
                <w:highlight w:val="none"/>
              </w:rPr>
            </w:pPr>
            <w:r>
              <w:rPr>
                <w:rFonts w:hint="eastAsia" w:ascii="Times New Roman" w:hAnsi="Times New Roman" w:eastAsia="宋体" w:cs="Times New Roman"/>
                <w:color w:val="auto"/>
                <w:sz w:val="24"/>
                <w:szCs w:val="24"/>
                <w:highlight w:val="none"/>
                <w:shd w:val="clear" w:color="auto" w:fill="auto"/>
                <w:lang w:val="en-US" w:eastAsia="zh-CN"/>
              </w:rPr>
              <w:t>为改善区域大气环境治理，淄博市出台了《淄博市“十四五”生态环境保护规划》，规划目标为，锚定2035年远景目标，到2025年，生态文明建设实现新进步，全域公园城市初步成型，生产生活方式绿色转型成效显著，能源资源利用效率大幅提高，主要污染物排放总量大幅减少，生态系统稳定性明显增强，生态环境根本好转。生产生活方式绿色转型成效显著。国土空间开发保护格局基本形成，产业结构、能源结构、交通运输结构、农业投入结构进一步优化，绿色低碳发展加快推进，能源资源配置更加合理、利用效率大幅提高，碳排放强度持续降低，简约适度、绿色低碳的生活方式加快形成。生态环境根本性改善。到2025年，PM</w:t>
            </w:r>
            <w:r>
              <w:rPr>
                <w:rFonts w:hint="eastAsia" w:ascii="Times New Roman" w:hAnsi="Times New Roman" w:eastAsia="宋体" w:cs="Times New Roman"/>
                <w:color w:val="auto"/>
                <w:sz w:val="24"/>
                <w:szCs w:val="24"/>
                <w:highlight w:val="none"/>
                <w:shd w:val="clear" w:color="auto" w:fill="auto"/>
                <w:vertAlign w:val="subscript"/>
                <w:lang w:val="en-US" w:eastAsia="zh-CN"/>
              </w:rPr>
              <w:t>2.5</w:t>
            </w:r>
            <w:r>
              <w:rPr>
                <w:rFonts w:hint="eastAsia" w:ascii="Times New Roman" w:hAnsi="Times New Roman" w:eastAsia="宋体" w:cs="Times New Roman"/>
                <w:color w:val="auto"/>
                <w:sz w:val="24"/>
                <w:szCs w:val="24"/>
                <w:highlight w:val="none"/>
                <w:shd w:val="clear" w:color="auto" w:fill="auto"/>
                <w:lang w:val="en-US" w:eastAsia="zh-CN"/>
              </w:rPr>
              <w:t>浓度达到全省中游水平，空气质量优良率达到全省中游水平，综合指数排名摆脱全国后20名、全省后3名。可以预计，项目区域环境空气质量将得到有效改善。</w:t>
            </w:r>
          </w:p>
          <w:p w14:paraId="2A584F54">
            <w:pPr>
              <w:pStyle w:val="16"/>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textAlignment w:val="auto"/>
              <w:rPr>
                <w:rFonts w:hint="eastAsia"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2、地表水环境</w:t>
            </w:r>
          </w:p>
          <w:p w14:paraId="5BC86F92">
            <w:pPr>
              <w:widowControl/>
              <w:spacing w:line="440" w:lineRule="exact"/>
              <w:ind w:firstLine="480" w:firstLineChars="200"/>
              <w:jc w:val="left"/>
              <w:rPr>
                <w:color w:val="auto"/>
                <w:sz w:val="24"/>
                <w:szCs w:val="24"/>
                <w:highlight w:val="none"/>
              </w:rPr>
            </w:pPr>
            <w:r>
              <w:rPr>
                <w:rFonts w:hint="default"/>
                <w:color w:val="auto"/>
                <w:kern w:val="0"/>
                <w:sz w:val="24"/>
                <w:szCs w:val="24"/>
                <w:highlight w:val="none"/>
                <w:lang w:bidi="ar"/>
              </w:rPr>
              <w:t>项目所在区域主要地表水体为</w:t>
            </w:r>
            <w:r>
              <w:rPr>
                <w:rFonts w:hint="eastAsia"/>
                <w:color w:val="auto"/>
                <w:kern w:val="0"/>
                <w:sz w:val="24"/>
                <w:szCs w:val="24"/>
                <w:highlight w:val="none"/>
                <w:lang w:eastAsia="zh-CN" w:bidi="ar"/>
              </w:rPr>
              <w:t>孝妇河</w:t>
            </w:r>
            <w:r>
              <w:rPr>
                <w:rFonts w:hint="eastAsia"/>
                <w:color w:val="auto"/>
                <w:kern w:val="0"/>
                <w:sz w:val="24"/>
                <w:szCs w:val="24"/>
                <w:highlight w:val="none"/>
                <w:lang w:val="en-US" w:eastAsia="zh-CN" w:bidi="ar"/>
              </w:rPr>
              <w:t>支流</w:t>
            </w:r>
            <w:r>
              <w:rPr>
                <w:rFonts w:hint="default"/>
                <w:color w:val="auto"/>
                <w:kern w:val="0"/>
                <w:sz w:val="24"/>
                <w:szCs w:val="24"/>
                <w:highlight w:val="none"/>
                <w:lang w:bidi="ar"/>
              </w:rPr>
              <w:t>，</w:t>
            </w:r>
            <w:r>
              <w:rPr>
                <w:rFonts w:hint="default" w:ascii="Times New Roman" w:hAnsi="Times New Roman" w:cs="Times New Roman"/>
                <w:color w:val="auto"/>
                <w:sz w:val="24"/>
                <w:szCs w:val="24"/>
                <w:highlight w:val="none"/>
              </w:rPr>
              <w:t>根据</w:t>
            </w:r>
            <w:r>
              <w:rPr>
                <w:rFonts w:hint="eastAsia" w:ascii="Times New Roman" w:hAnsi="Times New Roman" w:cs="Times New Roman"/>
                <w:color w:val="auto"/>
                <w:sz w:val="24"/>
                <w:szCs w:val="24"/>
                <w:highlight w:val="none"/>
                <w:lang w:val="en-US" w:eastAsia="zh-CN"/>
              </w:rPr>
              <w:t>淄博市生态环境局发布的</w:t>
            </w:r>
            <w:r>
              <w:rPr>
                <w:rFonts w:hint="eastAsia" w:ascii="Times New Roman" w:hAnsi="Times New Roman" w:eastAsia="宋体" w:cs="Times New Roman"/>
                <w:color w:val="auto"/>
                <w:sz w:val="24"/>
                <w:szCs w:val="24"/>
                <w:highlight w:val="none"/>
                <w:lang w:eastAsia="zh-CN"/>
              </w:rPr>
              <w:t>《2024年1-12月全市地表水环境质量状况》</w:t>
            </w:r>
            <w:r>
              <w:rPr>
                <w:rFonts w:hint="default" w:ascii="Times New Roman" w:hAnsi="Times New Roman" w:eastAsia="宋体" w:cs="Times New Roman"/>
                <w:color w:val="auto"/>
                <w:sz w:val="24"/>
                <w:szCs w:val="24"/>
                <w:highlight w:val="none"/>
              </w:rPr>
              <w:t>（202</w:t>
            </w: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年</w:t>
            </w:r>
            <w:r>
              <w:rPr>
                <w:rFonts w:hint="eastAsia" w:ascii="Times New Roman" w:hAnsi="Times New Roman" w:eastAsia="宋体" w:cs="Times New Roman"/>
                <w:color w:val="auto"/>
                <w:sz w:val="24"/>
                <w:szCs w:val="24"/>
                <w:highlight w:val="none"/>
                <w:lang w:val="en-US" w:eastAsia="zh-CN"/>
              </w:rPr>
              <w:t>1月25日发布</w:t>
            </w: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，距离本项目最近</w:t>
            </w:r>
            <w:r>
              <w:rPr>
                <w:rFonts w:hint="default" w:ascii="Times New Roman" w:hAnsi="Times New Roman" w:cs="Times New Roman"/>
                <w:color w:val="auto"/>
                <w:sz w:val="24"/>
                <w:szCs w:val="24"/>
                <w:highlight w:val="none"/>
              </w:rPr>
              <w:t>断面水质</w:t>
            </w:r>
            <w:r>
              <w:rPr>
                <w:rFonts w:hint="eastAsia" w:ascii="Times New Roman" w:hAnsi="Times New Roman" w:cs="Times New Roman"/>
                <w:color w:val="auto"/>
                <w:sz w:val="24"/>
                <w:szCs w:val="24"/>
                <w:highlight w:val="none"/>
                <w:lang w:eastAsia="zh-CN"/>
              </w:rPr>
              <w:t>满足</w:t>
            </w:r>
            <w:r>
              <w:rPr>
                <w:rFonts w:hint="default" w:ascii="Times New Roman" w:hAnsi="Times New Roman" w:cs="Times New Roman"/>
                <w:color w:val="auto"/>
                <w:sz w:val="24"/>
                <w:szCs w:val="24"/>
                <w:highlight w:val="none"/>
              </w:rPr>
              <w:t>《地表水环境质量标准》（GB3838-2002）</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3 \* ROMAN \* MERGEFORMAT </w:instrText>
            </w:r>
            <w:r>
              <w:rPr>
                <w:rFonts w:hint="default" w:ascii="Times New Roman" w:hAnsi="Times New Roman" w:cs="Times New Roman"/>
                <w:color w:val="auto"/>
                <w:sz w:val="24"/>
                <w:szCs w:val="24"/>
                <w:highlight w:val="none"/>
              </w:rPr>
              <w:fldChar w:fldCharType="separate"/>
            </w:r>
            <w:r>
              <w:rPr>
                <w:color w:val="auto"/>
                <w:sz w:val="24"/>
                <w:szCs w:val="24"/>
                <w:highlight w:val="none"/>
              </w:rPr>
              <w:t>III</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类水质要求</w:t>
            </w:r>
            <w:r>
              <w:rPr>
                <w:color w:val="auto"/>
                <w:kern w:val="0"/>
                <w:sz w:val="24"/>
                <w:szCs w:val="24"/>
                <w:highlight w:val="none"/>
                <w:lang w:bidi="ar"/>
              </w:rPr>
              <w:t>。</w:t>
            </w:r>
          </w:p>
          <w:p w14:paraId="0DBCA456">
            <w:pPr>
              <w:pStyle w:val="16"/>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textAlignment w:val="auto"/>
              <w:rPr>
                <w:rFonts w:hint="eastAsia"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3、声环境</w:t>
            </w:r>
          </w:p>
          <w:p w14:paraId="520D3119">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本项目厂界外50米范围内不存在声环境保护目标，区域环境噪声符合《声环境质量标准》（GB3096-2008）中2类环境噪声限值要求，声环境质量良好。</w:t>
            </w:r>
          </w:p>
          <w:p w14:paraId="1F5334CC">
            <w:pPr>
              <w:pStyle w:val="16"/>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4、</w:t>
            </w:r>
            <w:r>
              <w:rPr>
                <w:rFonts w:hint="default" w:ascii="Times New Roman" w:hAnsi="Times New Roman" w:eastAsia="黑体" w:cs="Times New Roman"/>
                <w:color w:val="auto"/>
                <w:sz w:val="24"/>
                <w:szCs w:val="24"/>
                <w:highlight w:val="none"/>
                <w:lang w:val="en-US" w:eastAsia="zh-CN"/>
              </w:rPr>
              <w:t>生态环境</w:t>
            </w:r>
          </w:p>
          <w:p w14:paraId="7A5EE4BF">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本项目位于淄博市淄川区西外环路将军路街道办事处河洼工业园北首（锦明陶瓷现有厂区内）。本项目位于现有厂区内，用地范围内无生态环境保护目标，不会对生态环境造成影响。</w:t>
            </w:r>
          </w:p>
          <w:p w14:paraId="700AD36E">
            <w:pPr>
              <w:pStyle w:val="16"/>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5、</w:t>
            </w:r>
            <w:r>
              <w:rPr>
                <w:rFonts w:hint="default" w:ascii="Times New Roman" w:hAnsi="Times New Roman" w:eastAsia="黑体" w:cs="Times New Roman"/>
                <w:color w:val="auto"/>
                <w:sz w:val="24"/>
                <w:szCs w:val="24"/>
                <w:highlight w:val="none"/>
                <w:lang w:val="en-US" w:eastAsia="zh-CN"/>
              </w:rPr>
              <w:t>土壤、地下水环境</w:t>
            </w:r>
          </w:p>
          <w:p w14:paraId="5EA16414">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Times New Roman" w:cs="Times New Roman"/>
                <w:color w:val="auto"/>
                <w:sz w:val="24"/>
                <w:szCs w:val="24"/>
                <w:highlight w:val="none"/>
                <w:lang w:val="zh-CN"/>
              </w:rPr>
              <w:t>本项目建成后，</w:t>
            </w:r>
            <w:r>
              <w:rPr>
                <w:rFonts w:hint="eastAsia" w:ascii="Times New Roman" w:hAnsi="Times New Roman" w:eastAsia="宋体" w:cs="Times New Roman"/>
                <w:color w:val="auto"/>
                <w:sz w:val="24"/>
                <w:szCs w:val="24"/>
                <w:highlight w:val="none"/>
                <w:lang w:val="en-US" w:eastAsia="zh-CN"/>
              </w:rPr>
              <w:t>采取防渗措施，项目正常运营情况下，</w:t>
            </w:r>
            <w:r>
              <w:rPr>
                <w:rFonts w:hint="default" w:ascii="Times New Roman" w:hAnsi="Times New Roman" w:eastAsia="Times New Roman" w:cs="Times New Roman"/>
                <w:color w:val="auto"/>
                <w:sz w:val="24"/>
                <w:szCs w:val="24"/>
                <w:highlight w:val="none"/>
                <w:lang w:val="zh-CN"/>
              </w:rPr>
              <w:t>不会对地下水、土壤环境造成不利影响，故本评价无需开展地下水、土壤现状调查。</w:t>
            </w:r>
          </w:p>
        </w:tc>
      </w:tr>
      <w:tr w14:paraId="760251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659" w:type="dxa"/>
            <w:noWrap w:val="0"/>
            <w:vAlign w:val="center"/>
          </w:tcPr>
          <w:p w14:paraId="35A8C4DE">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环境保护目标</w:t>
            </w:r>
          </w:p>
        </w:tc>
        <w:tc>
          <w:tcPr>
            <w:tcW w:w="8331" w:type="dxa"/>
            <w:noWrap w:val="0"/>
            <w:vAlign w:val="center"/>
          </w:tcPr>
          <w:p w14:paraId="45FDB0DB">
            <w:pPr>
              <w:keepNext w:val="0"/>
              <w:keepLines w:val="0"/>
              <w:pageBreakBefore w:val="0"/>
              <w:widowControl w:val="0"/>
              <w:numPr>
                <w:ilvl w:val="0"/>
                <w:numId w:val="3"/>
              </w:numPr>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环境空气保护目标：本项目所在厂区周边500米范围内无自然保护区</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风景名胜区</w:t>
            </w:r>
            <w:r>
              <w:rPr>
                <w:rFonts w:hint="default" w:ascii="Times New Roman" w:hAnsi="Times New Roman" w:cs="Times New Roman"/>
                <w:color w:val="auto"/>
                <w:sz w:val="24"/>
                <w:szCs w:val="24"/>
                <w:highlight w:val="none"/>
              </w:rPr>
              <w:t>等环境敏感目标，距离项目最近的敏感目标为</w:t>
            </w:r>
            <w:r>
              <w:rPr>
                <w:rFonts w:hint="default" w:ascii="Times New Roman" w:hAnsi="Times New Roman" w:cs="Times New Roman"/>
                <w:color w:val="auto"/>
                <w:sz w:val="24"/>
                <w:szCs w:val="24"/>
                <w:highlight w:val="none"/>
                <w:lang w:eastAsia="zh-CN"/>
              </w:rPr>
              <w:t>厂界</w:t>
            </w:r>
            <w:r>
              <w:rPr>
                <w:rFonts w:hint="default" w:ascii="Times New Roman" w:hAnsi="Times New Roman" w:cs="Times New Roman"/>
                <w:color w:val="auto"/>
                <w:sz w:val="24"/>
                <w:szCs w:val="24"/>
                <w:highlight w:val="none"/>
                <w:lang w:val="en-US" w:eastAsia="zh-CN"/>
              </w:rPr>
              <w:t>东南</w:t>
            </w:r>
            <w:r>
              <w:rPr>
                <w:rFonts w:hint="default" w:ascii="Times New Roman" w:hAnsi="Times New Roman" w:cs="Times New Roman"/>
                <w:color w:val="auto"/>
                <w:sz w:val="24"/>
                <w:szCs w:val="24"/>
                <w:highlight w:val="none"/>
                <w:lang w:eastAsia="zh-CN"/>
              </w:rPr>
              <w:t>侧</w:t>
            </w:r>
            <w:r>
              <w:rPr>
                <w:rFonts w:hint="default" w:ascii="Times New Roman" w:hAnsi="Times New Roman" w:cs="Times New Roman"/>
                <w:color w:val="auto"/>
                <w:sz w:val="24"/>
                <w:szCs w:val="24"/>
                <w:highlight w:val="none"/>
                <w:lang w:val="en-US" w:eastAsia="zh-CN"/>
              </w:rPr>
              <w:t>375</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rPr>
              <w:t>的</w:t>
            </w:r>
            <w:r>
              <w:rPr>
                <w:rFonts w:hint="default" w:ascii="Times New Roman" w:hAnsi="Times New Roman" w:cs="Times New Roman"/>
                <w:color w:val="auto"/>
                <w:sz w:val="24"/>
                <w:szCs w:val="24"/>
                <w:highlight w:val="none"/>
                <w:lang w:val="en-US" w:eastAsia="zh-CN"/>
              </w:rPr>
              <w:t>石门村</w:t>
            </w:r>
            <w:r>
              <w:rPr>
                <w:rFonts w:hint="default" w:ascii="Times New Roman" w:hAnsi="Times New Roman" w:cs="Times New Roman"/>
                <w:color w:val="auto"/>
                <w:sz w:val="24"/>
                <w:szCs w:val="24"/>
                <w:highlight w:val="none"/>
              </w:rPr>
              <w:t>；</w:t>
            </w:r>
          </w:p>
          <w:p w14:paraId="519C74B9">
            <w:pPr>
              <w:numPr>
                <w:ilvl w:val="0"/>
                <w:numId w:val="0"/>
              </w:num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2、声环境保护目标：项目厂界外50米范围内无声环境保护目标；</w:t>
            </w:r>
          </w:p>
          <w:p w14:paraId="5709A38A">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3、地下水环境保护目标：厂界外500米范围内无地下水集中式饮用水水源和热水、矿泉水、温泉等特殊地下水资源；</w:t>
            </w:r>
          </w:p>
          <w:p w14:paraId="42703FEA">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4、生态环境保护目标：本项目在</w:t>
            </w:r>
            <w:r>
              <w:rPr>
                <w:rFonts w:hint="default" w:ascii="Times New Roman" w:hAnsi="Times New Roman" w:cs="Times New Roman"/>
                <w:color w:val="auto"/>
                <w:sz w:val="24"/>
                <w:szCs w:val="24"/>
                <w:highlight w:val="none"/>
                <w:lang w:eastAsia="zh-CN"/>
              </w:rPr>
              <w:t>现有</w:t>
            </w:r>
            <w:r>
              <w:rPr>
                <w:rFonts w:hint="default" w:ascii="Times New Roman" w:hAnsi="Times New Roman" w:cs="Times New Roman"/>
                <w:color w:val="auto"/>
                <w:sz w:val="24"/>
                <w:szCs w:val="24"/>
                <w:highlight w:val="none"/>
              </w:rPr>
              <w:t>厂区内建设，不新增用地，故不涉及生态环境保护目标。</w:t>
            </w:r>
          </w:p>
          <w:p w14:paraId="5025F4F8">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表3-2 主要环境保护目标</w:t>
            </w:r>
          </w:p>
          <w:tbl>
            <w:tblPr>
              <w:tblStyle w:val="2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20"/>
              <w:gridCol w:w="1149"/>
              <w:gridCol w:w="1081"/>
              <w:gridCol w:w="1248"/>
              <w:gridCol w:w="3017"/>
            </w:tblGrid>
            <w:tr w14:paraId="7DE3EE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20" w:type="dxa"/>
                  <w:tcBorders>
                    <w:tl2br w:val="nil"/>
                    <w:tr2bl w:val="nil"/>
                  </w:tcBorders>
                  <w:vAlign w:val="center"/>
                </w:tcPr>
                <w:p w14:paraId="53CE135A">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环境要素</w:t>
                  </w:r>
                </w:p>
              </w:tc>
              <w:tc>
                <w:tcPr>
                  <w:tcW w:w="1149" w:type="dxa"/>
                  <w:tcBorders>
                    <w:tl2br w:val="nil"/>
                    <w:tr2bl w:val="nil"/>
                  </w:tcBorders>
                  <w:vAlign w:val="center"/>
                </w:tcPr>
                <w:p w14:paraId="69AABEB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名称</w:t>
                  </w:r>
                </w:p>
              </w:tc>
              <w:tc>
                <w:tcPr>
                  <w:tcW w:w="1081" w:type="dxa"/>
                  <w:tcBorders>
                    <w:tl2br w:val="nil"/>
                    <w:tr2bl w:val="nil"/>
                  </w:tcBorders>
                  <w:vAlign w:val="center"/>
                </w:tcPr>
                <w:p w14:paraId="2B78320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方位</w:t>
                  </w:r>
                </w:p>
              </w:tc>
              <w:tc>
                <w:tcPr>
                  <w:tcW w:w="1248" w:type="dxa"/>
                  <w:tcBorders>
                    <w:tl2br w:val="nil"/>
                    <w:tr2bl w:val="nil"/>
                  </w:tcBorders>
                  <w:vAlign w:val="center"/>
                </w:tcPr>
                <w:p w14:paraId="100694A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距离（m）</w:t>
                  </w:r>
                </w:p>
              </w:tc>
              <w:tc>
                <w:tcPr>
                  <w:tcW w:w="3017" w:type="dxa"/>
                  <w:tcBorders>
                    <w:tl2br w:val="nil"/>
                    <w:tr2bl w:val="nil"/>
                  </w:tcBorders>
                  <w:vAlign w:val="center"/>
                </w:tcPr>
                <w:p w14:paraId="364670E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保护要求</w:t>
                  </w:r>
                </w:p>
              </w:tc>
            </w:tr>
            <w:tr w14:paraId="0D8A6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20" w:type="dxa"/>
                  <w:tcBorders>
                    <w:tl2br w:val="nil"/>
                    <w:tr2bl w:val="nil"/>
                  </w:tcBorders>
                  <w:vAlign w:val="center"/>
                </w:tcPr>
                <w:p w14:paraId="221EAE8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大气环境</w:t>
                  </w:r>
                </w:p>
              </w:tc>
              <w:tc>
                <w:tcPr>
                  <w:tcW w:w="1149" w:type="dxa"/>
                  <w:tcBorders>
                    <w:tl2br w:val="nil"/>
                    <w:tr2bl w:val="nil"/>
                  </w:tcBorders>
                  <w:vAlign w:val="center"/>
                </w:tcPr>
                <w:p w14:paraId="4A621A3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石门村</w:t>
                  </w:r>
                </w:p>
              </w:tc>
              <w:tc>
                <w:tcPr>
                  <w:tcW w:w="1081" w:type="dxa"/>
                  <w:tcBorders>
                    <w:tl2br w:val="nil"/>
                    <w:tr2bl w:val="nil"/>
                  </w:tcBorders>
                  <w:vAlign w:val="center"/>
                </w:tcPr>
                <w:p w14:paraId="1FF7302F">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ES</w:t>
                  </w:r>
                </w:p>
              </w:tc>
              <w:tc>
                <w:tcPr>
                  <w:tcW w:w="1248" w:type="dxa"/>
                  <w:tcBorders>
                    <w:tl2br w:val="nil"/>
                    <w:tr2bl w:val="nil"/>
                  </w:tcBorders>
                  <w:vAlign w:val="center"/>
                </w:tcPr>
                <w:p w14:paraId="72D5B4EC">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375</w:t>
                  </w:r>
                </w:p>
              </w:tc>
              <w:tc>
                <w:tcPr>
                  <w:tcW w:w="3017" w:type="dxa"/>
                  <w:tcBorders>
                    <w:tl2br w:val="nil"/>
                    <w:tr2bl w:val="nil"/>
                  </w:tcBorders>
                  <w:vAlign w:val="center"/>
                </w:tcPr>
                <w:p w14:paraId="2A71A68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《环境空气质量标准》（GB3095-2012）二级标准</w:t>
                  </w:r>
                </w:p>
              </w:tc>
            </w:tr>
            <w:tr w14:paraId="01F3F9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20" w:type="dxa"/>
                  <w:tcBorders>
                    <w:tl2br w:val="nil"/>
                    <w:tr2bl w:val="nil"/>
                  </w:tcBorders>
                  <w:vAlign w:val="center"/>
                </w:tcPr>
                <w:p w14:paraId="4E5799BB">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声环境</w:t>
                  </w:r>
                </w:p>
              </w:tc>
              <w:tc>
                <w:tcPr>
                  <w:tcW w:w="3478" w:type="dxa"/>
                  <w:gridSpan w:val="3"/>
                  <w:tcBorders>
                    <w:tl2br w:val="nil"/>
                    <w:tr2bl w:val="nil"/>
                  </w:tcBorders>
                  <w:vAlign w:val="center"/>
                </w:tcPr>
                <w:p w14:paraId="1E12DAC3">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无</w:t>
                  </w:r>
                </w:p>
              </w:tc>
              <w:tc>
                <w:tcPr>
                  <w:tcW w:w="3017" w:type="dxa"/>
                  <w:tcBorders>
                    <w:tl2br w:val="nil"/>
                    <w:tr2bl w:val="nil"/>
                  </w:tcBorders>
                  <w:vAlign w:val="center"/>
                </w:tcPr>
                <w:p w14:paraId="52380004">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《声环境质量标准》（GB3096-2008）2类标准</w:t>
                  </w:r>
                </w:p>
              </w:tc>
            </w:tr>
            <w:tr w14:paraId="6D271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20" w:type="dxa"/>
                  <w:tcBorders>
                    <w:tl2br w:val="nil"/>
                    <w:tr2bl w:val="nil"/>
                  </w:tcBorders>
                  <w:vAlign w:val="center"/>
                </w:tcPr>
                <w:p w14:paraId="050CB18D">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地下水环境</w:t>
                  </w:r>
                </w:p>
              </w:tc>
              <w:tc>
                <w:tcPr>
                  <w:tcW w:w="3478" w:type="dxa"/>
                  <w:gridSpan w:val="3"/>
                  <w:tcBorders>
                    <w:tl2br w:val="nil"/>
                    <w:tr2bl w:val="nil"/>
                  </w:tcBorders>
                  <w:vAlign w:val="center"/>
                </w:tcPr>
                <w:p w14:paraId="681209F1">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无</w:t>
                  </w:r>
                </w:p>
              </w:tc>
              <w:tc>
                <w:tcPr>
                  <w:tcW w:w="3017" w:type="dxa"/>
                  <w:tcBorders>
                    <w:tl2br w:val="nil"/>
                    <w:tr2bl w:val="nil"/>
                  </w:tcBorders>
                  <w:vAlign w:val="center"/>
                </w:tcPr>
                <w:p w14:paraId="47ADF91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《地下水质量标准》（GB/T14848-2017）</w:t>
                  </w:r>
                  <w:r>
                    <w:rPr>
                      <w:rFonts w:hint="default" w:ascii="Times New Roman" w:hAnsi="Times New Roman" w:eastAsia="宋体" w:cs="Times New Roman"/>
                      <w:b w:val="0"/>
                      <w:bCs/>
                      <w:color w:val="auto"/>
                      <w:sz w:val="21"/>
                      <w:szCs w:val="21"/>
                      <w:highlight w:val="none"/>
                      <w:vertAlign w:val="baseline"/>
                      <w:lang w:val="en-US" w:eastAsia="zh-CN"/>
                    </w:rPr>
                    <w:t>Ⅲ</w:t>
                  </w:r>
                  <w:r>
                    <w:rPr>
                      <w:rFonts w:hint="default" w:ascii="Times New Roman" w:hAnsi="Times New Roman" w:cs="Times New Roman"/>
                      <w:b w:val="0"/>
                      <w:bCs/>
                      <w:color w:val="auto"/>
                      <w:sz w:val="21"/>
                      <w:szCs w:val="21"/>
                      <w:highlight w:val="none"/>
                      <w:vertAlign w:val="baseline"/>
                      <w:lang w:val="en-US" w:eastAsia="zh-CN"/>
                    </w:rPr>
                    <w:t>类标准</w:t>
                  </w:r>
                </w:p>
              </w:tc>
            </w:tr>
            <w:tr w14:paraId="173A5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20" w:type="dxa"/>
                  <w:tcBorders>
                    <w:tl2br w:val="nil"/>
                    <w:tr2bl w:val="nil"/>
                  </w:tcBorders>
                  <w:vAlign w:val="center"/>
                </w:tcPr>
                <w:p w14:paraId="61907D0E">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生态环境</w:t>
                  </w:r>
                </w:p>
              </w:tc>
              <w:tc>
                <w:tcPr>
                  <w:tcW w:w="3478" w:type="dxa"/>
                  <w:gridSpan w:val="3"/>
                  <w:tcBorders>
                    <w:tl2br w:val="nil"/>
                    <w:tr2bl w:val="nil"/>
                  </w:tcBorders>
                  <w:vAlign w:val="center"/>
                </w:tcPr>
                <w:p w14:paraId="71E17C80">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无</w:t>
                  </w:r>
                </w:p>
              </w:tc>
              <w:tc>
                <w:tcPr>
                  <w:tcW w:w="3017" w:type="dxa"/>
                  <w:tcBorders>
                    <w:tl2br w:val="nil"/>
                    <w:tr2bl w:val="nil"/>
                  </w:tcBorders>
                  <w:vAlign w:val="center"/>
                </w:tcPr>
                <w:p w14:paraId="4476A559">
                  <w:pPr>
                    <w:keepNext w:val="0"/>
                    <w:keepLines w:val="0"/>
                    <w:pageBreakBefore w:val="0"/>
                    <w:widowControl w:val="0"/>
                    <w:shd w:val="clear"/>
                    <w:kinsoku/>
                    <w:wordWrap/>
                    <w:overflowPunct/>
                    <w:topLinePunct w:val="0"/>
                    <w:autoSpaceDE/>
                    <w:autoSpaceDN/>
                    <w:bidi w:val="0"/>
                    <w:adjustRightInd w:val="0"/>
                    <w:snapToGrid w:val="0"/>
                    <w:spacing w:line="312" w:lineRule="exact"/>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w:t>
                  </w:r>
                </w:p>
              </w:tc>
            </w:tr>
          </w:tbl>
          <w:p w14:paraId="3C471FC2">
            <w:pPr>
              <w:keepNext w:val="0"/>
              <w:keepLines w:val="0"/>
              <w:pageBreakBefore w:val="0"/>
              <w:widowControl w:val="0"/>
              <w:shd w:val="clear"/>
              <w:kinsoku/>
              <w:wordWrap/>
              <w:overflowPunct/>
              <w:topLinePunct w:val="0"/>
              <w:autoSpaceDE/>
              <w:autoSpaceDN/>
              <w:bidi w:val="0"/>
              <w:adjustRightInd w:val="0"/>
              <w:snapToGrid w:val="0"/>
              <w:spacing w:line="480" w:lineRule="exact"/>
              <w:jc w:val="left"/>
              <w:textAlignment w:val="auto"/>
              <w:rPr>
                <w:rFonts w:hint="default" w:ascii="Times New Roman" w:hAnsi="Times New Roman" w:eastAsia="宋体" w:cs="Times New Roman"/>
                <w:bCs/>
                <w:color w:val="auto"/>
                <w:sz w:val="24"/>
                <w:szCs w:val="24"/>
                <w:highlight w:val="none"/>
                <w:lang w:val="en-US" w:eastAsia="zh-CN"/>
              </w:rPr>
            </w:pPr>
          </w:p>
        </w:tc>
      </w:tr>
      <w:tr w14:paraId="2768E4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59" w:type="dxa"/>
            <w:noWrap w:val="0"/>
            <w:tcMar>
              <w:left w:w="28" w:type="dxa"/>
              <w:right w:w="28" w:type="dxa"/>
            </w:tcMar>
            <w:vAlign w:val="center"/>
          </w:tcPr>
          <w:p w14:paraId="0942E79B">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污染物排放控制标准</w:t>
            </w:r>
          </w:p>
        </w:tc>
        <w:tc>
          <w:tcPr>
            <w:tcW w:w="8331" w:type="dxa"/>
            <w:noWrap w:val="0"/>
            <w:vAlign w:val="center"/>
          </w:tcPr>
          <w:p w14:paraId="0A2FE372">
            <w:pPr>
              <w:keepNext w:val="0"/>
              <w:keepLines w:val="0"/>
              <w:pageBreakBefore w:val="0"/>
              <w:widowControl w:val="0"/>
              <w:numPr>
                <w:ilvl w:val="0"/>
                <w:numId w:val="4"/>
              </w:numPr>
              <w:kinsoku/>
              <w:wordWrap/>
              <w:overflowPunct/>
              <w:topLinePunct w:val="0"/>
              <w:autoSpaceDE/>
              <w:autoSpaceDN/>
              <w:bidi w:val="0"/>
              <w:adjustRightInd/>
              <w:snapToGrid w:val="0"/>
              <w:spacing w:before="157" w:beforeLines="50"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废气</w:t>
            </w:r>
          </w:p>
          <w:p w14:paraId="6B9A8EB8">
            <w:pPr>
              <w:pStyle w:val="30"/>
              <w:snapToGrid w:val="0"/>
              <w:spacing w:line="360" w:lineRule="auto"/>
              <w:ind w:firstLine="480" w:firstLineChars="200"/>
              <w:jc w:val="left"/>
              <w:rPr>
                <w:rFonts w:ascii="Times New Roman" w:hAnsi="Times New Roman" w:cs="Times New Roman"/>
                <w:bCs/>
                <w:color w:val="auto"/>
              </w:rPr>
            </w:pPr>
            <w:r>
              <w:rPr>
                <w:rFonts w:hint="eastAsia" w:ascii="Times New Roman" w:hAnsi="Times New Roman" w:eastAsia="宋体" w:cs="Times New Roman"/>
                <w:color w:val="auto"/>
                <w:sz w:val="24"/>
                <w:szCs w:val="24"/>
                <w:lang w:val="en-US" w:eastAsia="zh-CN"/>
              </w:rPr>
              <w:t>施工</w:t>
            </w:r>
            <w:r>
              <w:rPr>
                <w:rFonts w:hint="eastAsia" w:ascii="Times New Roman" w:hAnsi="Times New Roman" w:eastAsia="宋体" w:cs="Times New Roman"/>
                <w:color w:val="auto"/>
                <w:kern w:val="2"/>
                <w:sz w:val="24"/>
                <w:szCs w:val="24"/>
                <w:highlight w:val="none"/>
                <w:lang w:val="en-US" w:eastAsia="zh-CN" w:bidi="ar-SA"/>
              </w:rPr>
              <w:t>期：</w:t>
            </w:r>
            <w:r>
              <w:rPr>
                <w:rFonts w:hint="default" w:ascii="Times New Roman" w:hAnsi="Times New Roman" w:eastAsia="宋体" w:cs="Times New Roman"/>
                <w:color w:val="auto"/>
                <w:kern w:val="2"/>
                <w:sz w:val="24"/>
                <w:szCs w:val="24"/>
                <w:highlight w:val="none"/>
                <w:lang w:val="en-US" w:eastAsia="zh-CN" w:bidi="ar-SA"/>
              </w:rPr>
              <w:t>施工期颗粒物排放执行《大气污染物综合排放标准》（GB16297-1996）表2中无组织排放监控浓度限值</w:t>
            </w:r>
            <w:r>
              <w:rPr>
                <w:rFonts w:hint="eastAsia" w:ascii="Times New Roman" w:hAnsi="Times New Roman" w:eastAsia="宋体" w:cs="Times New Roman"/>
                <w:color w:val="auto"/>
                <w:kern w:val="2"/>
                <w:sz w:val="24"/>
                <w:szCs w:val="24"/>
                <w:highlight w:val="none"/>
                <w:lang w:val="en-US" w:eastAsia="zh-CN" w:bidi="ar-SA"/>
              </w:rPr>
              <w:t>。</w:t>
            </w:r>
          </w:p>
          <w:p w14:paraId="438F77AE">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3-3</w:t>
            </w:r>
            <w:r>
              <w:rPr>
                <w:rFonts w:hint="default" w:ascii="Times New Roman" w:hAnsi="Times New Roman" w:eastAsia="黑体" w:cs="Times New Roman"/>
                <w:b w:val="0"/>
                <w:bCs w:val="0"/>
                <w:color w:val="auto"/>
                <w:kern w:val="0"/>
                <w:sz w:val="24"/>
                <w:szCs w:val="24"/>
                <w:lang w:val="en-US" w:eastAsia="zh-CN"/>
              </w:rPr>
              <w:t xml:space="preserve"> 施工期废气排放标准</w:t>
            </w:r>
          </w:p>
          <w:tbl>
            <w:tblPr>
              <w:tblStyle w:val="24"/>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88"/>
              <w:gridCol w:w="2911"/>
              <w:gridCol w:w="4013"/>
            </w:tblGrid>
            <w:tr w14:paraId="22DD48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732" w:type="pct"/>
                  <w:tcBorders>
                    <w:tl2br w:val="nil"/>
                    <w:tr2bl w:val="nil"/>
                  </w:tcBorders>
                  <w:noWrap w:val="0"/>
                  <w:vAlign w:val="center"/>
                </w:tcPr>
                <w:p w14:paraId="4FD2A030">
                  <w:pPr>
                    <w:widowControl/>
                    <w:tabs>
                      <w:tab w:val="left" w:pos="5420"/>
                    </w:tabs>
                    <w:adjustRightInd w:val="0"/>
                    <w:snapToGrid w:val="0"/>
                    <w:jc w:val="center"/>
                    <w:rPr>
                      <w:rFonts w:ascii="Times New Roman" w:hAnsi="Times New Roman"/>
                      <w:color w:val="auto"/>
                      <w:szCs w:val="21"/>
                    </w:rPr>
                  </w:pPr>
                  <w:r>
                    <w:rPr>
                      <w:rFonts w:ascii="Times New Roman" w:hAnsi="Times New Roman"/>
                      <w:color w:val="auto"/>
                      <w:szCs w:val="21"/>
                    </w:rPr>
                    <w:t>污染物</w:t>
                  </w:r>
                </w:p>
              </w:tc>
              <w:tc>
                <w:tcPr>
                  <w:tcW w:w="1794" w:type="pct"/>
                  <w:tcBorders>
                    <w:tl2br w:val="nil"/>
                    <w:tr2bl w:val="nil"/>
                  </w:tcBorders>
                  <w:noWrap w:val="0"/>
                  <w:vAlign w:val="center"/>
                </w:tcPr>
                <w:p w14:paraId="41E473CA">
                  <w:pPr>
                    <w:widowControl/>
                    <w:tabs>
                      <w:tab w:val="left" w:pos="5420"/>
                    </w:tabs>
                    <w:adjustRightInd w:val="0"/>
                    <w:snapToGrid w:val="0"/>
                    <w:jc w:val="center"/>
                    <w:rPr>
                      <w:rFonts w:ascii="Times New Roman" w:hAnsi="Times New Roman"/>
                      <w:color w:val="auto"/>
                      <w:szCs w:val="21"/>
                    </w:rPr>
                  </w:pPr>
                  <w:r>
                    <w:rPr>
                      <w:rFonts w:ascii="Times New Roman" w:hAnsi="Times New Roman"/>
                      <w:color w:val="auto"/>
                      <w:szCs w:val="21"/>
                    </w:rPr>
                    <w:t>厂界监控点浓度（mg/m</w:t>
                  </w:r>
                  <w:r>
                    <w:rPr>
                      <w:rFonts w:ascii="Times New Roman" w:hAnsi="Times New Roman"/>
                      <w:color w:val="auto"/>
                      <w:szCs w:val="21"/>
                      <w:vertAlign w:val="superscript"/>
                    </w:rPr>
                    <w:t>3</w:t>
                  </w:r>
                  <w:r>
                    <w:rPr>
                      <w:rFonts w:ascii="Times New Roman" w:hAnsi="Times New Roman"/>
                      <w:color w:val="auto"/>
                      <w:szCs w:val="21"/>
                    </w:rPr>
                    <w:t>）</w:t>
                  </w:r>
                </w:p>
              </w:tc>
              <w:tc>
                <w:tcPr>
                  <w:tcW w:w="2473" w:type="pct"/>
                  <w:tcBorders>
                    <w:tl2br w:val="nil"/>
                    <w:tr2bl w:val="nil"/>
                  </w:tcBorders>
                  <w:noWrap w:val="0"/>
                  <w:vAlign w:val="center"/>
                </w:tcPr>
                <w:p w14:paraId="3706E21C">
                  <w:pPr>
                    <w:widowControl/>
                    <w:tabs>
                      <w:tab w:val="left" w:pos="5420"/>
                    </w:tabs>
                    <w:adjustRightInd w:val="0"/>
                    <w:snapToGrid w:val="0"/>
                    <w:jc w:val="center"/>
                    <w:rPr>
                      <w:rFonts w:ascii="Times New Roman" w:hAnsi="Times New Roman"/>
                      <w:color w:val="auto"/>
                      <w:szCs w:val="21"/>
                    </w:rPr>
                  </w:pPr>
                  <w:r>
                    <w:rPr>
                      <w:rFonts w:ascii="Times New Roman" w:hAnsi="Times New Roman"/>
                      <w:color w:val="auto"/>
                      <w:szCs w:val="21"/>
                    </w:rPr>
                    <w:t>标准来源</w:t>
                  </w:r>
                </w:p>
              </w:tc>
            </w:tr>
            <w:tr w14:paraId="36ED99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732" w:type="pct"/>
                  <w:tcBorders>
                    <w:tl2br w:val="nil"/>
                    <w:tr2bl w:val="nil"/>
                  </w:tcBorders>
                  <w:noWrap w:val="0"/>
                  <w:vAlign w:val="center"/>
                </w:tcPr>
                <w:p w14:paraId="50C21E0B">
                  <w:pPr>
                    <w:widowControl/>
                    <w:tabs>
                      <w:tab w:val="left" w:pos="5420"/>
                    </w:tabs>
                    <w:adjustRightInd w:val="0"/>
                    <w:snapToGrid w:val="0"/>
                    <w:jc w:val="center"/>
                    <w:rPr>
                      <w:rFonts w:ascii="Times New Roman" w:hAnsi="Times New Roman"/>
                      <w:color w:val="auto"/>
                      <w:szCs w:val="21"/>
                    </w:rPr>
                  </w:pPr>
                  <w:r>
                    <w:rPr>
                      <w:rFonts w:ascii="Times New Roman" w:hAnsi="Times New Roman"/>
                      <w:color w:val="auto"/>
                      <w:szCs w:val="21"/>
                    </w:rPr>
                    <w:t>颗粒物</w:t>
                  </w:r>
                </w:p>
              </w:tc>
              <w:tc>
                <w:tcPr>
                  <w:tcW w:w="1794" w:type="pct"/>
                  <w:tcBorders>
                    <w:tl2br w:val="nil"/>
                    <w:tr2bl w:val="nil"/>
                  </w:tcBorders>
                  <w:noWrap w:val="0"/>
                  <w:vAlign w:val="center"/>
                </w:tcPr>
                <w:p w14:paraId="036B311A">
                  <w:pPr>
                    <w:widowControl/>
                    <w:tabs>
                      <w:tab w:val="left" w:pos="5420"/>
                    </w:tabs>
                    <w:adjustRightInd w:val="0"/>
                    <w:snapToGrid w:val="0"/>
                    <w:jc w:val="center"/>
                    <w:rPr>
                      <w:rFonts w:ascii="Times New Roman" w:hAnsi="Times New Roman"/>
                      <w:color w:val="auto"/>
                      <w:szCs w:val="21"/>
                    </w:rPr>
                  </w:pPr>
                  <w:r>
                    <w:rPr>
                      <w:rFonts w:ascii="Times New Roman" w:hAnsi="Times New Roman"/>
                      <w:color w:val="auto"/>
                      <w:szCs w:val="21"/>
                    </w:rPr>
                    <w:t>1.0</w:t>
                  </w:r>
                </w:p>
              </w:tc>
              <w:tc>
                <w:tcPr>
                  <w:tcW w:w="2473" w:type="pct"/>
                  <w:tcBorders>
                    <w:tl2br w:val="nil"/>
                    <w:tr2bl w:val="nil"/>
                  </w:tcBorders>
                  <w:noWrap w:val="0"/>
                  <w:vAlign w:val="center"/>
                </w:tcPr>
                <w:p w14:paraId="3E40933E">
                  <w:pPr>
                    <w:widowControl/>
                    <w:tabs>
                      <w:tab w:val="left" w:pos="5420"/>
                    </w:tabs>
                    <w:adjustRightInd w:val="0"/>
                    <w:snapToGrid w:val="0"/>
                    <w:jc w:val="center"/>
                    <w:rPr>
                      <w:rFonts w:ascii="Times New Roman" w:hAnsi="Times New Roman"/>
                      <w:color w:val="auto"/>
                      <w:szCs w:val="21"/>
                    </w:rPr>
                  </w:pPr>
                  <w:r>
                    <w:rPr>
                      <w:rFonts w:ascii="Times New Roman" w:hAnsi="Times New Roman"/>
                      <w:color w:val="auto"/>
                      <w:szCs w:val="21"/>
                    </w:rPr>
                    <w:t>《大气污染物综合排放标准》（GB16297- 1996）表2无组织排放监控浓度限值</w:t>
                  </w:r>
                </w:p>
              </w:tc>
            </w:tr>
          </w:tbl>
          <w:p w14:paraId="7F02DFF8">
            <w:pPr>
              <w:keepNext w:val="0"/>
              <w:keepLines w:val="0"/>
              <w:pageBreakBefore w:val="0"/>
              <w:widowControl w:val="0"/>
              <w:numPr>
                <w:ilvl w:val="0"/>
                <w:numId w:val="0"/>
              </w:numPr>
              <w:kinsoku/>
              <w:wordWrap/>
              <w:overflowPunct/>
              <w:topLinePunct w:val="0"/>
              <w:autoSpaceDE/>
              <w:autoSpaceDN/>
              <w:bidi w:val="0"/>
              <w:adjustRightInd/>
              <w:snapToGrid w:val="0"/>
              <w:spacing w:before="157" w:beforeLines="50" w:line="360" w:lineRule="auto"/>
              <w:ind w:firstLine="480" w:firstLineChars="20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运营期：</w:t>
            </w:r>
            <w:r>
              <w:rPr>
                <w:rFonts w:hint="default" w:ascii="Times New Roman" w:hAnsi="Times New Roman" w:cs="Times New Roman"/>
                <w:color w:val="auto"/>
                <w:sz w:val="24"/>
                <w:szCs w:val="24"/>
                <w:highlight w:val="none"/>
              </w:rPr>
              <w:t>本项目有组织二氧化硫、氮氧化物、颗粒物执行《区域性大气污染物综合排放标准》(DB37/2376-2019)中表1中重点控制区限值要求(颗粒物：10mg/m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、二氧化硫：50mg/m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、氮氧化物：100mg/m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)，烟气黑度执行《工业炉窑大气污染物排放标准》(DB37/2375-2019)标准要求(烟气黑度：1.0级)，无组织颗粒物执行《大气污染物综合排放标准》(GB16297-1996)表2中颗粒物无组织监控点浓度限值(颗粒物：1.0mg/m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氨逃逸参照《淄川区重污染天气消除攻坚行动方案》要求，其他使用液氨、氨水、尿素等氨基吸收剂作为还原剂脱硝的行业企业，氨逃逸浓度应≤8mg/m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，无组织氨执行《恶臭污染物排放标准》（GB14554-93）表1恶臭污染物厂界标准值（氨：1.5mg/m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有组织</w:t>
            </w:r>
            <w:r>
              <w:rPr>
                <w:rFonts w:hint="default" w:ascii="Times New Roman" w:hAnsi="Times New Roman" w:cs="Times New Roman"/>
                <w:color w:val="auto"/>
                <w:sz w:val="24"/>
                <w:szCs w:val="24"/>
                <w:highlight w:val="none"/>
                <w:lang w:val="en-US" w:eastAsia="zh-CN"/>
              </w:rPr>
              <w:t>VOCs</w:t>
            </w:r>
            <w:r>
              <w:rPr>
                <w:rFonts w:hint="default" w:ascii="Times New Roman" w:hAnsi="Times New Roman" w:cs="Times New Roman"/>
                <w:color w:val="auto"/>
                <w:sz w:val="24"/>
                <w:szCs w:val="24"/>
                <w:highlight w:val="none"/>
              </w:rPr>
              <w:t>执行《</w:t>
            </w:r>
            <w:r>
              <w:rPr>
                <w:rFonts w:hint="default" w:ascii="Times New Roman" w:hAnsi="Times New Roman" w:cs="Times New Roman"/>
                <w:color w:val="auto"/>
                <w:sz w:val="24"/>
                <w:szCs w:val="24"/>
                <w:highlight w:val="none"/>
                <w:lang w:val="en-US" w:eastAsia="zh-CN"/>
              </w:rPr>
              <w:t>挥发性有机物排放标准 第6部分：有机化工行业</w:t>
            </w:r>
            <w:r>
              <w:rPr>
                <w:rFonts w:hint="default" w:ascii="Times New Roman" w:hAnsi="Times New Roman" w:cs="Times New Roman"/>
                <w:color w:val="auto"/>
                <w:sz w:val="24"/>
                <w:szCs w:val="24"/>
                <w:highlight w:val="none"/>
              </w:rPr>
              <w:t>》(DB37/2</w:t>
            </w:r>
            <w:r>
              <w:rPr>
                <w:rFonts w:hint="default" w:ascii="Times New Roman" w:hAnsi="Times New Roman" w:cs="Times New Roman"/>
                <w:color w:val="auto"/>
                <w:sz w:val="24"/>
                <w:szCs w:val="24"/>
                <w:highlight w:val="none"/>
                <w:lang w:val="en-US" w:eastAsia="zh-CN"/>
              </w:rPr>
              <w:t>801.6-2018</w:t>
            </w:r>
            <w:r>
              <w:rPr>
                <w:rFonts w:hint="default" w:ascii="Times New Roman" w:hAnsi="Times New Roman" w:cs="Times New Roman"/>
                <w:color w:val="auto"/>
                <w:sz w:val="24"/>
                <w:szCs w:val="24"/>
                <w:highlight w:val="none"/>
              </w:rPr>
              <w:t>)中表1中Ⅱ时段限值要求(</w:t>
            </w:r>
            <w:r>
              <w:rPr>
                <w:rFonts w:hint="default" w:ascii="Times New Roman" w:hAnsi="Times New Roman" w:cs="Times New Roman"/>
                <w:color w:val="auto"/>
                <w:sz w:val="24"/>
                <w:szCs w:val="24"/>
                <w:highlight w:val="none"/>
                <w:lang w:val="en-US" w:eastAsia="zh-CN"/>
              </w:rPr>
              <w:t>50</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3.0kg/h</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无组织</w:t>
            </w:r>
            <w:r>
              <w:rPr>
                <w:rFonts w:hint="default" w:ascii="Times New Roman" w:hAnsi="Times New Roman" w:cs="Times New Roman"/>
                <w:color w:val="auto"/>
                <w:sz w:val="24"/>
                <w:szCs w:val="24"/>
                <w:highlight w:val="none"/>
              </w:rPr>
              <w:t xml:space="preserve">VOCs厂界浓度限值执行《挥发性有机物排放标准 </w:t>
            </w:r>
            <w:r>
              <w:rPr>
                <w:rFonts w:hint="default" w:ascii="Times New Roman" w:hAnsi="Times New Roman" w:cs="Times New Roman"/>
                <w:color w:val="auto"/>
                <w:sz w:val="24"/>
                <w:szCs w:val="24"/>
                <w:highlight w:val="none"/>
                <w:lang w:eastAsia="zh-CN"/>
              </w:rPr>
              <w:t>第6部分</w:t>
            </w:r>
            <w:r>
              <w:rPr>
                <w:rFonts w:hint="default" w:ascii="Times New Roman" w:hAnsi="Times New Roman" w:cs="Times New Roman"/>
                <w:color w:val="auto"/>
                <w:sz w:val="24"/>
                <w:szCs w:val="24"/>
                <w:highlight w:val="none"/>
              </w:rPr>
              <w:t xml:space="preserve"> </w:t>
            </w:r>
            <w:r>
              <w:rPr>
                <w:rFonts w:hint="default" w:ascii="Times New Roman" w:hAnsi="Times New Roman" w:cs="Times New Roman"/>
                <w:color w:val="auto"/>
                <w:sz w:val="24"/>
                <w:szCs w:val="24"/>
                <w:highlight w:val="none"/>
                <w:lang w:eastAsia="zh-CN"/>
              </w:rPr>
              <w:t>有机化工行业</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DB37/2801.6-2018</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表3厂界监控点浓度限值（</w:t>
            </w:r>
            <w:r>
              <w:rPr>
                <w:rFonts w:hint="default" w:ascii="Times New Roman" w:hAnsi="Times New Roman" w:cs="Times New Roman"/>
                <w:color w:val="auto"/>
                <w:sz w:val="24"/>
                <w:szCs w:val="24"/>
                <w:highlight w:val="none"/>
                <w:lang w:val="en-US" w:eastAsia="zh-CN"/>
              </w:rPr>
              <w:t>VOCs</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厂区内VOCs无组织排放控制执行《挥发性有机物无组织排放控制标准》（GB37822-2019）。</w:t>
            </w:r>
          </w:p>
          <w:p w14:paraId="57677A7D">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表3-</w:t>
            </w:r>
            <w:r>
              <w:rPr>
                <w:rFonts w:hint="eastAsia" w:eastAsia="黑体" w:cs="Times New Roman"/>
                <w:b w:val="0"/>
                <w:bCs w:val="0"/>
                <w:color w:val="auto"/>
                <w:kern w:val="0"/>
                <w:sz w:val="24"/>
                <w:szCs w:val="24"/>
                <w:lang w:val="en-US" w:eastAsia="zh-CN"/>
              </w:rPr>
              <w:t>4</w:t>
            </w:r>
            <w:r>
              <w:rPr>
                <w:rFonts w:hint="default" w:ascii="Times New Roman" w:hAnsi="Times New Roman" w:eastAsia="黑体" w:cs="Times New Roman"/>
                <w:b w:val="0"/>
                <w:bCs w:val="0"/>
                <w:color w:val="auto"/>
                <w:kern w:val="0"/>
                <w:sz w:val="24"/>
                <w:szCs w:val="24"/>
                <w:lang w:val="en-US" w:eastAsia="zh-CN"/>
              </w:rPr>
              <w:t xml:space="preserve">  废气排放标准限值表</w:t>
            </w:r>
          </w:p>
          <w:tbl>
            <w:tblPr>
              <w:tblStyle w:val="24"/>
              <w:tblW w:w="4996"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8"/>
              <w:gridCol w:w="1043"/>
              <w:gridCol w:w="2261"/>
              <w:gridCol w:w="2672"/>
              <w:gridCol w:w="1355"/>
            </w:tblGrid>
            <w:tr w14:paraId="112906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tcBorders>
                    <w:tl2br w:val="nil"/>
                    <w:tr2bl w:val="nil"/>
                  </w:tcBorders>
                  <w:noWrap w:val="0"/>
                  <w:vAlign w:val="center"/>
                </w:tcPr>
                <w:p w14:paraId="2B08C7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p>
              </w:tc>
              <w:tc>
                <w:tcPr>
                  <w:tcW w:w="643" w:type="pct"/>
                  <w:tcBorders>
                    <w:tl2br w:val="nil"/>
                    <w:tr2bl w:val="nil"/>
                  </w:tcBorders>
                  <w:noWrap w:val="0"/>
                  <w:vAlign w:val="center"/>
                </w:tcPr>
                <w:p w14:paraId="27FF55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3041" w:type="pct"/>
                  <w:gridSpan w:val="2"/>
                  <w:tcBorders>
                    <w:tl2br w:val="nil"/>
                    <w:tr2bl w:val="nil"/>
                  </w:tcBorders>
                  <w:noWrap w:val="0"/>
                  <w:vAlign w:val="center"/>
                </w:tcPr>
                <w:p w14:paraId="2A498F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执行标准</w:t>
                  </w:r>
                </w:p>
              </w:tc>
              <w:tc>
                <w:tcPr>
                  <w:tcW w:w="835" w:type="pct"/>
                  <w:tcBorders>
                    <w:tl2br w:val="nil"/>
                    <w:tr2bl w:val="nil"/>
                  </w:tcBorders>
                  <w:noWrap w:val="0"/>
                  <w:vAlign w:val="center"/>
                </w:tcPr>
                <w:p w14:paraId="3D03AA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限值</w:t>
                  </w:r>
                </w:p>
              </w:tc>
            </w:tr>
            <w:tr w14:paraId="46DF7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restart"/>
                  <w:tcBorders>
                    <w:tl2br w:val="nil"/>
                    <w:tr2bl w:val="nil"/>
                  </w:tcBorders>
                  <w:noWrap w:val="0"/>
                  <w:vAlign w:val="center"/>
                </w:tcPr>
                <w:p w14:paraId="511154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有组织</w:t>
                  </w:r>
                </w:p>
              </w:tc>
              <w:tc>
                <w:tcPr>
                  <w:tcW w:w="643" w:type="pct"/>
                  <w:tcBorders>
                    <w:tl2br w:val="nil"/>
                    <w:tr2bl w:val="nil"/>
                  </w:tcBorders>
                  <w:noWrap w:val="0"/>
                  <w:vAlign w:val="center"/>
                </w:tcPr>
                <w:p w14:paraId="3C75A4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颗粒物</w:t>
                  </w:r>
                </w:p>
              </w:tc>
              <w:tc>
                <w:tcPr>
                  <w:tcW w:w="3041" w:type="pct"/>
                  <w:gridSpan w:val="2"/>
                  <w:vMerge w:val="restart"/>
                  <w:tcBorders>
                    <w:tl2br w:val="nil"/>
                    <w:tr2bl w:val="nil"/>
                  </w:tcBorders>
                  <w:noWrap w:val="0"/>
                  <w:vAlign w:val="center"/>
                </w:tcPr>
                <w:p w14:paraId="2424C974">
                  <w:pPr>
                    <w:spacing w:before="57" w:line="239" w:lineRule="auto"/>
                    <w:ind w:right="101"/>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1"/>
                      <w:sz w:val="21"/>
                      <w:szCs w:val="21"/>
                    </w:rPr>
                    <w:t>《区域性大气污染物综合排放标</w:t>
                  </w:r>
                  <w:r>
                    <w:rPr>
                      <w:rFonts w:hint="default" w:ascii="Times New Roman" w:hAnsi="Times New Roman" w:eastAsia="宋体" w:cs="Times New Roman"/>
                      <w:color w:val="auto"/>
                      <w:sz w:val="21"/>
                      <w:szCs w:val="21"/>
                    </w:rPr>
                    <w:t>准》</w:t>
                  </w:r>
                  <w:r>
                    <w:rPr>
                      <w:rFonts w:hint="default" w:ascii="Times New Roman" w:hAnsi="Times New Roman" w:eastAsia="宋体" w:cs="Times New Roman"/>
                      <w:color w:val="auto"/>
                      <w:spacing w:val="7"/>
                      <w:sz w:val="21"/>
                      <w:szCs w:val="21"/>
                    </w:rPr>
                    <w:t>(</w:t>
                  </w:r>
                  <w:r>
                    <w:rPr>
                      <w:rFonts w:hint="default" w:ascii="Times New Roman" w:hAnsi="Times New Roman" w:eastAsia="Times New Roman" w:cs="Times New Roman"/>
                      <w:color w:val="auto"/>
                      <w:sz w:val="21"/>
                      <w:szCs w:val="21"/>
                    </w:rPr>
                    <w:t>DB</w:t>
                  </w:r>
                  <w:r>
                    <w:rPr>
                      <w:rFonts w:hint="default" w:ascii="Times New Roman" w:hAnsi="Times New Roman" w:eastAsia="Times New Roman" w:cs="Times New Roman"/>
                      <w:color w:val="auto"/>
                      <w:spacing w:val="4"/>
                      <w:sz w:val="21"/>
                      <w:szCs w:val="21"/>
                    </w:rPr>
                    <w:t>37/2376-2019</w:t>
                  </w:r>
                  <w:r>
                    <w:rPr>
                      <w:rFonts w:hint="default" w:ascii="Times New Roman" w:hAnsi="Times New Roman" w:eastAsia="宋体" w:cs="Times New Roman"/>
                      <w:color w:val="auto"/>
                      <w:spacing w:val="4"/>
                      <w:sz w:val="21"/>
                      <w:szCs w:val="21"/>
                    </w:rPr>
                    <w:t>)中表</w:t>
                  </w:r>
                  <w:r>
                    <w:rPr>
                      <w:rFonts w:hint="default" w:ascii="Times New Roman" w:hAnsi="Times New Roman" w:eastAsia="Times New Roman" w:cs="Times New Roman"/>
                      <w:color w:val="auto"/>
                      <w:spacing w:val="4"/>
                      <w:sz w:val="21"/>
                      <w:szCs w:val="21"/>
                    </w:rPr>
                    <w:t>1</w:t>
                  </w:r>
                  <w:r>
                    <w:rPr>
                      <w:rFonts w:hint="default" w:ascii="Times New Roman" w:hAnsi="Times New Roman" w:eastAsia="宋体" w:cs="Times New Roman"/>
                      <w:color w:val="auto"/>
                      <w:spacing w:val="4"/>
                      <w:sz w:val="21"/>
                      <w:szCs w:val="21"/>
                    </w:rPr>
                    <w:t>中重点控制区</w:t>
                  </w:r>
                  <w:r>
                    <w:rPr>
                      <w:rFonts w:hint="default" w:ascii="Times New Roman" w:hAnsi="Times New Roman" w:eastAsia="宋体" w:cs="Times New Roman"/>
                      <w:color w:val="auto"/>
                      <w:spacing w:val="-5"/>
                      <w:sz w:val="21"/>
                      <w:szCs w:val="21"/>
                    </w:rPr>
                    <w:t>限值要求</w:t>
                  </w:r>
                </w:p>
              </w:tc>
              <w:tc>
                <w:tcPr>
                  <w:tcW w:w="835" w:type="pct"/>
                  <w:tcBorders>
                    <w:tl2br w:val="nil"/>
                    <w:tr2bl w:val="nil"/>
                  </w:tcBorders>
                  <w:noWrap w:val="0"/>
                  <w:vAlign w:val="center"/>
                </w:tcPr>
                <w:p w14:paraId="590FCF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10mg/m</w:t>
                  </w:r>
                  <w:r>
                    <w:rPr>
                      <w:rFonts w:hint="default" w:ascii="Times New Roman" w:hAnsi="Times New Roman" w:cs="Times New Roman"/>
                      <w:color w:val="auto"/>
                      <w:sz w:val="21"/>
                      <w:szCs w:val="21"/>
                      <w:highlight w:val="none"/>
                      <w:vertAlign w:val="superscript"/>
                      <w:lang w:val="en-US" w:eastAsia="zh-CN"/>
                    </w:rPr>
                    <w:t>3</w:t>
                  </w:r>
                </w:p>
              </w:tc>
            </w:tr>
            <w:tr w14:paraId="7FD6D7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480" w:type="pct"/>
                  <w:vMerge w:val="continue"/>
                  <w:tcBorders>
                    <w:tl2br w:val="nil"/>
                    <w:tr2bl w:val="nil"/>
                  </w:tcBorders>
                  <w:noWrap w:val="0"/>
                  <w:vAlign w:val="center"/>
                </w:tcPr>
                <w:p w14:paraId="3FC1F2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643" w:type="pct"/>
                  <w:tcBorders>
                    <w:tl2br w:val="nil"/>
                    <w:tr2bl w:val="nil"/>
                  </w:tcBorders>
                  <w:noWrap w:val="0"/>
                  <w:vAlign w:val="center"/>
                </w:tcPr>
                <w:p w14:paraId="0B399A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二氧化硫</w:t>
                  </w:r>
                </w:p>
              </w:tc>
              <w:tc>
                <w:tcPr>
                  <w:tcW w:w="3041" w:type="pct"/>
                  <w:gridSpan w:val="2"/>
                  <w:vMerge w:val="continue"/>
                  <w:tcBorders>
                    <w:tl2br w:val="nil"/>
                    <w:tr2bl w:val="nil"/>
                  </w:tcBorders>
                  <w:noWrap w:val="0"/>
                  <w:vAlign w:val="center"/>
                </w:tcPr>
                <w:p w14:paraId="6AC4E4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835" w:type="pct"/>
                  <w:tcBorders>
                    <w:tl2br w:val="nil"/>
                    <w:tr2bl w:val="nil"/>
                  </w:tcBorders>
                  <w:noWrap w:val="0"/>
                  <w:vAlign w:val="center"/>
                </w:tcPr>
                <w:p w14:paraId="3602C3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50mg/m</w:t>
                  </w:r>
                  <w:r>
                    <w:rPr>
                      <w:rFonts w:hint="default" w:ascii="Times New Roman" w:hAnsi="Times New Roman" w:cs="Times New Roman"/>
                      <w:color w:val="auto"/>
                      <w:sz w:val="21"/>
                      <w:szCs w:val="21"/>
                      <w:highlight w:val="none"/>
                      <w:vertAlign w:val="superscript"/>
                      <w:lang w:val="en-US" w:eastAsia="zh-CN"/>
                    </w:rPr>
                    <w:t>3</w:t>
                  </w:r>
                </w:p>
              </w:tc>
            </w:tr>
            <w:tr w14:paraId="5C13F8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480" w:type="pct"/>
                  <w:vMerge w:val="continue"/>
                  <w:tcBorders>
                    <w:tl2br w:val="nil"/>
                    <w:tr2bl w:val="nil"/>
                  </w:tcBorders>
                  <w:noWrap w:val="0"/>
                  <w:vAlign w:val="center"/>
                </w:tcPr>
                <w:p w14:paraId="1031B7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643" w:type="pct"/>
                  <w:tcBorders>
                    <w:tl2br w:val="nil"/>
                    <w:tr2bl w:val="nil"/>
                  </w:tcBorders>
                  <w:noWrap w:val="0"/>
                  <w:vAlign w:val="center"/>
                </w:tcPr>
                <w:p w14:paraId="19A497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氮氧化物</w:t>
                  </w:r>
                </w:p>
              </w:tc>
              <w:tc>
                <w:tcPr>
                  <w:tcW w:w="3041" w:type="pct"/>
                  <w:gridSpan w:val="2"/>
                  <w:vMerge w:val="continue"/>
                  <w:tcBorders>
                    <w:tl2br w:val="nil"/>
                    <w:tr2bl w:val="nil"/>
                  </w:tcBorders>
                  <w:noWrap w:val="0"/>
                  <w:vAlign w:val="center"/>
                </w:tcPr>
                <w:p w14:paraId="315723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835" w:type="pct"/>
                  <w:tcBorders>
                    <w:tl2br w:val="nil"/>
                    <w:tr2bl w:val="nil"/>
                  </w:tcBorders>
                  <w:noWrap w:val="0"/>
                  <w:vAlign w:val="center"/>
                </w:tcPr>
                <w:p w14:paraId="7F5594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100mg/m</w:t>
                  </w:r>
                  <w:r>
                    <w:rPr>
                      <w:rFonts w:hint="default" w:ascii="Times New Roman" w:hAnsi="Times New Roman" w:cs="Times New Roman"/>
                      <w:color w:val="auto"/>
                      <w:sz w:val="21"/>
                      <w:szCs w:val="21"/>
                      <w:highlight w:val="none"/>
                      <w:vertAlign w:val="superscript"/>
                      <w:lang w:val="en-US" w:eastAsia="zh-CN"/>
                    </w:rPr>
                    <w:t>3</w:t>
                  </w:r>
                </w:p>
              </w:tc>
            </w:tr>
            <w:tr w14:paraId="00B9B1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480" w:type="pct"/>
                  <w:vMerge w:val="continue"/>
                  <w:tcBorders>
                    <w:tl2br w:val="nil"/>
                    <w:tr2bl w:val="nil"/>
                  </w:tcBorders>
                  <w:noWrap w:val="0"/>
                  <w:vAlign w:val="center"/>
                </w:tcPr>
                <w:p w14:paraId="3F646C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643" w:type="pct"/>
                  <w:tcBorders>
                    <w:tl2br w:val="nil"/>
                    <w:tr2bl w:val="nil"/>
                  </w:tcBorders>
                  <w:noWrap w:val="0"/>
                  <w:vAlign w:val="center"/>
                </w:tcPr>
                <w:p w14:paraId="39F019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烟气黑度</w:t>
                  </w:r>
                </w:p>
              </w:tc>
              <w:tc>
                <w:tcPr>
                  <w:tcW w:w="3041" w:type="pct"/>
                  <w:gridSpan w:val="2"/>
                  <w:tcBorders>
                    <w:tl2br w:val="nil"/>
                    <w:tr2bl w:val="nil"/>
                  </w:tcBorders>
                  <w:noWrap w:val="0"/>
                  <w:vAlign w:val="center"/>
                </w:tcPr>
                <w:p w14:paraId="27EC3D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1"/>
                      <w:sz w:val="21"/>
                      <w:szCs w:val="21"/>
                    </w:rPr>
                    <w:t>《工业炉窑大气污染物排放标准》</w:t>
                  </w:r>
                  <w:r>
                    <w:rPr>
                      <w:rFonts w:hint="default" w:ascii="Times New Roman" w:hAnsi="Times New Roman" w:eastAsia="宋体" w:cs="Times New Roman"/>
                      <w:color w:val="auto"/>
                      <w:spacing w:val="12"/>
                      <w:sz w:val="21"/>
                      <w:szCs w:val="21"/>
                    </w:rPr>
                    <w:t>(</w:t>
                  </w:r>
                  <w:r>
                    <w:rPr>
                      <w:rFonts w:hint="default" w:ascii="Times New Roman" w:hAnsi="Times New Roman" w:eastAsia="Times New Roman" w:cs="Times New Roman"/>
                      <w:color w:val="auto"/>
                      <w:sz w:val="21"/>
                      <w:szCs w:val="21"/>
                    </w:rPr>
                    <w:t>DB</w:t>
                  </w:r>
                  <w:r>
                    <w:rPr>
                      <w:rFonts w:hint="default" w:ascii="Times New Roman" w:hAnsi="Times New Roman" w:eastAsia="Times New Roman" w:cs="Times New Roman"/>
                      <w:color w:val="auto"/>
                      <w:spacing w:val="11"/>
                      <w:sz w:val="21"/>
                      <w:szCs w:val="21"/>
                    </w:rPr>
                    <w:t>37/2375-2019</w:t>
                  </w:r>
                  <w:r>
                    <w:rPr>
                      <w:rFonts w:hint="default" w:ascii="Times New Roman" w:hAnsi="Times New Roman" w:eastAsia="宋体" w:cs="Times New Roman"/>
                      <w:color w:val="auto"/>
                      <w:spacing w:val="11"/>
                      <w:sz w:val="21"/>
                      <w:szCs w:val="21"/>
                    </w:rPr>
                    <w:t>)标准要求</w:t>
                  </w:r>
                </w:p>
              </w:tc>
              <w:tc>
                <w:tcPr>
                  <w:tcW w:w="835" w:type="pct"/>
                  <w:tcBorders>
                    <w:tl2br w:val="nil"/>
                    <w:tr2bl w:val="nil"/>
                  </w:tcBorders>
                  <w:noWrap w:val="0"/>
                  <w:vAlign w:val="center"/>
                </w:tcPr>
                <w:p w14:paraId="61B665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1.0级</w:t>
                  </w:r>
                </w:p>
              </w:tc>
            </w:tr>
            <w:tr w14:paraId="0F5398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480" w:type="pct"/>
                  <w:vMerge w:val="continue"/>
                  <w:tcBorders>
                    <w:tl2br w:val="nil"/>
                    <w:tr2bl w:val="nil"/>
                  </w:tcBorders>
                  <w:noWrap w:val="0"/>
                  <w:vAlign w:val="center"/>
                </w:tcPr>
                <w:p w14:paraId="3928B8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p>
              </w:tc>
              <w:tc>
                <w:tcPr>
                  <w:tcW w:w="643" w:type="pct"/>
                  <w:tcBorders>
                    <w:tl2br w:val="nil"/>
                    <w:tr2bl w:val="nil"/>
                  </w:tcBorders>
                  <w:noWrap w:val="0"/>
                  <w:vAlign w:val="center"/>
                </w:tcPr>
                <w:p w14:paraId="7A4E01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氨</w:t>
                  </w:r>
                </w:p>
              </w:tc>
              <w:tc>
                <w:tcPr>
                  <w:tcW w:w="3041" w:type="pct"/>
                  <w:gridSpan w:val="2"/>
                  <w:tcBorders>
                    <w:tl2br w:val="nil"/>
                    <w:tr2bl w:val="nil"/>
                  </w:tcBorders>
                  <w:noWrap w:val="0"/>
                  <w:vAlign w:val="center"/>
                </w:tcPr>
                <w:p w14:paraId="734F89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《淄川区重污染天气消除攻坚行动方案》</w:t>
                  </w:r>
                </w:p>
              </w:tc>
              <w:tc>
                <w:tcPr>
                  <w:tcW w:w="835" w:type="pct"/>
                  <w:tcBorders>
                    <w:tl2br w:val="nil"/>
                    <w:tr2bl w:val="nil"/>
                  </w:tcBorders>
                  <w:noWrap w:val="0"/>
                  <w:vAlign w:val="center"/>
                </w:tcPr>
                <w:p w14:paraId="07B83F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w:t>
                  </w:r>
                  <w:r>
                    <w:rPr>
                      <w:rFonts w:hint="default" w:ascii="Times New Roman" w:hAnsi="Times New Roman" w:cs="Times New Roman"/>
                      <w:color w:val="auto"/>
                      <w:sz w:val="21"/>
                      <w:szCs w:val="21"/>
                      <w:highlight w:val="none"/>
                      <w:lang w:val="en-US" w:eastAsia="zh-CN"/>
                    </w:rPr>
                    <w:t>mg/m</w:t>
                  </w:r>
                  <w:r>
                    <w:rPr>
                      <w:rFonts w:hint="default" w:ascii="Times New Roman" w:hAnsi="Times New Roman" w:cs="Times New Roman"/>
                      <w:color w:val="auto"/>
                      <w:sz w:val="21"/>
                      <w:szCs w:val="21"/>
                      <w:highlight w:val="none"/>
                      <w:vertAlign w:val="superscript"/>
                      <w:lang w:val="en-US" w:eastAsia="zh-CN"/>
                    </w:rPr>
                    <w:t>3</w:t>
                  </w:r>
                </w:p>
              </w:tc>
            </w:tr>
            <w:tr w14:paraId="6307C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480" w:type="pct"/>
                  <w:vMerge w:val="continue"/>
                  <w:tcBorders>
                    <w:tl2br w:val="nil"/>
                    <w:tr2bl w:val="nil"/>
                  </w:tcBorders>
                  <w:noWrap w:val="0"/>
                  <w:vAlign w:val="center"/>
                </w:tcPr>
                <w:p w14:paraId="3A2DCB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643" w:type="pct"/>
                  <w:tcBorders>
                    <w:tl2br w:val="nil"/>
                    <w:tr2bl w:val="nil"/>
                  </w:tcBorders>
                  <w:noWrap w:val="0"/>
                  <w:vAlign w:val="center"/>
                </w:tcPr>
                <w:p w14:paraId="5FD0E6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VOCs</w:t>
                  </w:r>
                </w:p>
              </w:tc>
              <w:tc>
                <w:tcPr>
                  <w:tcW w:w="3041" w:type="pct"/>
                  <w:gridSpan w:val="2"/>
                  <w:tcBorders>
                    <w:tl2br w:val="nil"/>
                    <w:tr2bl w:val="nil"/>
                  </w:tcBorders>
                  <w:noWrap w:val="0"/>
                  <w:vAlign w:val="center"/>
                </w:tcPr>
                <w:p w14:paraId="3E51AA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挥发性有机物排放标准 第6部分：有机化工行业</w:t>
                  </w:r>
                  <w:r>
                    <w:rPr>
                      <w:rFonts w:hint="default" w:ascii="Times New Roman" w:hAnsi="Times New Roman" w:cs="Times New Roman"/>
                      <w:color w:val="auto"/>
                      <w:sz w:val="21"/>
                      <w:szCs w:val="21"/>
                      <w:highlight w:val="none"/>
                    </w:rPr>
                    <w:t>》(DB37/2</w:t>
                  </w:r>
                  <w:r>
                    <w:rPr>
                      <w:rFonts w:hint="default" w:ascii="Times New Roman" w:hAnsi="Times New Roman" w:cs="Times New Roman"/>
                      <w:color w:val="auto"/>
                      <w:sz w:val="21"/>
                      <w:szCs w:val="21"/>
                      <w:highlight w:val="none"/>
                      <w:lang w:val="en-US" w:eastAsia="zh-CN"/>
                    </w:rPr>
                    <w:t>801.6-2018</w:t>
                  </w:r>
                  <w:r>
                    <w:rPr>
                      <w:rFonts w:hint="default" w:ascii="Times New Roman" w:hAnsi="Times New Roman" w:cs="Times New Roman"/>
                      <w:color w:val="auto"/>
                      <w:sz w:val="21"/>
                      <w:szCs w:val="21"/>
                      <w:highlight w:val="none"/>
                    </w:rPr>
                    <w:t>)中表1中Ⅱ时段限值要求</w:t>
                  </w:r>
                </w:p>
              </w:tc>
              <w:tc>
                <w:tcPr>
                  <w:tcW w:w="835" w:type="pct"/>
                  <w:tcBorders>
                    <w:tl2br w:val="nil"/>
                    <w:tr2bl w:val="nil"/>
                  </w:tcBorders>
                  <w:noWrap w:val="0"/>
                  <w:vAlign w:val="center"/>
                </w:tcPr>
                <w:p w14:paraId="1CE0CC4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50</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lang w:val="en-US" w:eastAsia="zh-CN"/>
                    </w:rPr>
                    <w:t>3.0kg/h</w:t>
                  </w:r>
                </w:p>
              </w:tc>
            </w:tr>
            <w:tr w14:paraId="18692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480" w:type="pct"/>
                  <w:vMerge w:val="restart"/>
                  <w:tcBorders>
                    <w:tl2br w:val="nil"/>
                    <w:tr2bl w:val="nil"/>
                  </w:tcBorders>
                  <w:noWrap w:val="0"/>
                  <w:vAlign w:val="center"/>
                </w:tcPr>
                <w:p w14:paraId="28F8A5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无组织</w:t>
                  </w:r>
                </w:p>
              </w:tc>
              <w:tc>
                <w:tcPr>
                  <w:tcW w:w="643" w:type="pct"/>
                  <w:tcBorders>
                    <w:tl2br w:val="nil"/>
                    <w:tr2bl w:val="nil"/>
                  </w:tcBorders>
                  <w:noWrap w:val="0"/>
                  <w:vAlign w:val="center"/>
                </w:tcPr>
                <w:p w14:paraId="716F20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颗粒物</w:t>
                  </w:r>
                </w:p>
              </w:tc>
              <w:tc>
                <w:tcPr>
                  <w:tcW w:w="3041" w:type="pct"/>
                  <w:gridSpan w:val="2"/>
                  <w:tcBorders>
                    <w:tl2br w:val="nil"/>
                    <w:tr2bl w:val="nil"/>
                  </w:tcBorders>
                  <w:noWrap w:val="0"/>
                  <w:vAlign w:val="center"/>
                </w:tcPr>
                <w:p w14:paraId="1B57C30F">
                  <w:pPr>
                    <w:spacing w:before="31" w:line="239" w:lineRule="auto"/>
                    <w:ind w:right="101"/>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rPr>
                    <w:t>《大</w:t>
                  </w:r>
                  <w:r>
                    <w:rPr>
                      <w:rFonts w:hint="default" w:ascii="Times New Roman" w:hAnsi="Times New Roman" w:eastAsia="宋体" w:cs="Times New Roman"/>
                      <w:color w:val="auto"/>
                      <w:spacing w:val="-1"/>
                      <w:sz w:val="21"/>
                      <w:szCs w:val="21"/>
                    </w:rPr>
                    <w:t>气污染物综合排放标准》</w:t>
                  </w:r>
                  <w:r>
                    <w:rPr>
                      <w:rFonts w:hint="default" w:ascii="Times New Roman" w:hAnsi="Times New Roman" w:eastAsia="宋体" w:cs="Times New Roman"/>
                      <w:color w:val="auto"/>
                      <w:spacing w:val="4"/>
                      <w:sz w:val="21"/>
                      <w:szCs w:val="21"/>
                    </w:rPr>
                    <w:t>(</w:t>
                  </w:r>
                  <w:r>
                    <w:rPr>
                      <w:rFonts w:hint="default" w:ascii="Times New Roman" w:hAnsi="Times New Roman" w:eastAsia="Times New Roman" w:cs="Times New Roman"/>
                      <w:color w:val="auto"/>
                      <w:sz w:val="21"/>
                      <w:szCs w:val="21"/>
                    </w:rPr>
                    <w:t>GB</w:t>
                  </w:r>
                  <w:r>
                    <w:rPr>
                      <w:rFonts w:hint="default" w:ascii="Times New Roman" w:hAnsi="Times New Roman" w:eastAsia="Times New Roman" w:cs="Times New Roman"/>
                      <w:color w:val="auto"/>
                      <w:spacing w:val="4"/>
                      <w:sz w:val="21"/>
                      <w:szCs w:val="21"/>
                    </w:rPr>
                    <w:t>1629</w:t>
                  </w:r>
                  <w:r>
                    <w:rPr>
                      <w:rFonts w:hint="default" w:ascii="Times New Roman" w:hAnsi="Times New Roman" w:eastAsia="Times New Roman" w:cs="Times New Roman"/>
                      <w:color w:val="auto"/>
                      <w:spacing w:val="2"/>
                      <w:sz w:val="21"/>
                      <w:szCs w:val="21"/>
                    </w:rPr>
                    <w:t>7-1996</w:t>
                  </w:r>
                  <w:r>
                    <w:rPr>
                      <w:rFonts w:hint="default" w:ascii="Times New Roman" w:hAnsi="Times New Roman" w:eastAsia="宋体" w:cs="Times New Roman"/>
                      <w:color w:val="auto"/>
                      <w:spacing w:val="2"/>
                      <w:sz w:val="21"/>
                      <w:szCs w:val="21"/>
                    </w:rPr>
                    <w:t>)表</w:t>
                  </w:r>
                  <w:r>
                    <w:rPr>
                      <w:rFonts w:hint="default" w:ascii="Times New Roman" w:hAnsi="Times New Roman" w:eastAsia="Times New Roman" w:cs="Times New Roman"/>
                      <w:color w:val="auto"/>
                      <w:spacing w:val="2"/>
                      <w:sz w:val="21"/>
                      <w:szCs w:val="21"/>
                    </w:rPr>
                    <w:t>2</w:t>
                  </w:r>
                  <w:r>
                    <w:rPr>
                      <w:rFonts w:hint="default" w:ascii="Times New Roman" w:hAnsi="Times New Roman" w:eastAsia="宋体" w:cs="Times New Roman"/>
                      <w:color w:val="auto"/>
                      <w:spacing w:val="2"/>
                      <w:sz w:val="21"/>
                      <w:szCs w:val="21"/>
                    </w:rPr>
                    <w:t>中颗粒物无组织监</w:t>
                  </w:r>
                  <w:r>
                    <w:rPr>
                      <w:rFonts w:hint="default" w:ascii="Times New Roman" w:hAnsi="Times New Roman" w:eastAsia="宋体" w:cs="Times New Roman"/>
                      <w:color w:val="auto"/>
                      <w:spacing w:val="-1"/>
                      <w:sz w:val="21"/>
                      <w:szCs w:val="21"/>
                    </w:rPr>
                    <w:t>控点浓度</w:t>
                  </w:r>
                  <w:r>
                    <w:rPr>
                      <w:rFonts w:hint="default" w:ascii="Times New Roman" w:hAnsi="Times New Roman" w:eastAsia="宋体" w:cs="Times New Roman"/>
                      <w:color w:val="auto"/>
                      <w:sz w:val="21"/>
                      <w:szCs w:val="21"/>
                    </w:rPr>
                    <w:t>限值</w:t>
                  </w:r>
                </w:p>
              </w:tc>
              <w:tc>
                <w:tcPr>
                  <w:tcW w:w="835" w:type="pct"/>
                  <w:tcBorders>
                    <w:tl2br w:val="nil"/>
                    <w:tr2bl w:val="nil"/>
                  </w:tcBorders>
                  <w:noWrap w:val="0"/>
                  <w:vAlign w:val="center"/>
                </w:tcPr>
                <w:p w14:paraId="5291A5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1.0mg/m</w:t>
                  </w:r>
                  <w:r>
                    <w:rPr>
                      <w:rFonts w:hint="default" w:ascii="Times New Roman" w:hAnsi="Times New Roman" w:cs="Times New Roman"/>
                      <w:color w:val="auto"/>
                      <w:sz w:val="21"/>
                      <w:szCs w:val="21"/>
                      <w:highlight w:val="none"/>
                      <w:vertAlign w:val="superscript"/>
                      <w:lang w:val="en-US" w:eastAsia="zh-CN"/>
                    </w:rPr>
                    <w:t>3</w:t>
                  </w:r>
                </w:p>
              </w:tc>
            </w:tr>
            <w:tr w14:paraId="02EA9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480" w:type="pct"/>
                  <w:vMerge w:val="continue"/>
                  <w:tcBorders>
                    <w:tl2br w:val="nil"/>
                    <w:tr2bl w:val="nil"/>
                  </w:tcBorders>
                  <w:noWrap w:val="0"/>
                  <w:vAlign w:val="center"/>
                </w:tcPr>
                <w:p w14:paraId="5AEFAE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p>
              </w:tc>
              <w:tc>
                <w:tcPr>
                  <w:tcW w:w="643" w:type="pct"/>
                  <w:tcBorders>
                    <w:tl2br w:val="nil"/>
                    <w:tr2bl w:val="nil"/>
                  </w:tcBorders>
                  <w:noWrap w:val="0"/>
                  <w:vAlign w:val="center"/>
                </w:tcPr>
                <w:p w14:paraId="6C18A7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氨</w:t>
                  </w:r>
                </w:p>
              </w:tc>
              <w:tc>
                <w:tcPr>
                  <w:tcW w:w="3041" w:type="pct"/>
                  <w:gridSpan w:val="2"/>
                  <w:tcBorders>
                    <w:tl2br w:val="nil"/>
                    <w:tr2bl w:val="nil"/>
                  </w:tcBorders>
                  <w:noWrap w:val="0"/>
                  <w:vAlign w:val="center"/>
                </w:tcPr>
                <w:p w14:paraId="2A56DE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《恶臭污染物排放标准》（GB14554-93）表1恶臭污染物厂界标准值</w:t>
                  </w:r>
                </w:p>
              </w:tc>
              <w:tc>
                <w:tcPr>
                  <w:tcW w:w="835" w:type="pct"/>
                  <w:tcBorders>
                    <w:tl2br w:val="nil"/>
                    <w:tr2bl w:val="nil"/>
                  </w:tcBorders>
                  <w:noWrap w:val="0"/>
                  <w:vAlign w:val="center"/>
                </w:tcPr>
                <w:p w14:paraId="716209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mg/m</w:t>
                  </w:r>
                  <w:r>
                    <w:rPr>
                      <w:rFonts w:hint="default" w:ascii="Times New Roman" w:hAnsi="Times New Roman" w:cs="Times New Roman"/>
                      <w:color w:val="auto"/>
                      <w:sz w:val="21"/>
                      <w:szCs w:val="21"/>
                      <w:highlight w:val="none"/>
                      <w:vertAlign w:val="superscript"/>
                      <w:lang w:val="en-US" w:eastAsia="zh-CN"/>
                    </w:rPr>
                    <w:t>3</w:t>
                  </w:r>
                </w:p>
              </w:tc>
            </w:tr>
            <w:tr w14:paraId="2A6357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Borders>
                    <w:tl2br w:val="nil"/>
                    <w:tr2bl w:val="nil"/>
                  </w:tcBorders>
                  <w:noWrap w:val="0"/>
                  <w:vAlign w:val="center"/>
                </w:tcPr>
                <w:p w14:paraId="048351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643" w:type="pct"/>
                  <w:tcBorders>
                    <w:tl2br w:val="nil"/>
                    <w:tr2bl w:val="nil"/>
                  </w:tcBorders>
                  <w:noWrap w:val="0"/>
                  <w:vAlign w:val="center"/>
                </w:tcPr>
                <w:p w14:paraId="07B3B9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VOCs</w:t>
                  </w:r>
                </w:p>
              </w:tc>
              <w:tc>
                <w:tcPr>
                  <w:tcW w:w="3041" w:type="pct"/>
                  <w:gridSpan w:val="2"/>
                  <w:tcBorders>
                    <w:tl2br w:val="nil"/>
                    <w:tr2bl w:val="nil"/>
                  </w:tcBorders>
                  <w:noWrap w:val="0"/>
                  <w:vAlign w:val="center"/>
                </w:tcPr>
                <w:p w14:paraId="41595525">
                  <w:pPr>
                    <w:spacing w:before="31" w:line="239" w:lineRule="auto"/>
                    <w:ind w:right="101"/>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《挥发性有机物排放标准 第6部分 有机化工行业》（DB37/2801.6-2018）表3厂界监控点浓度限值</w:t>
                  </w:r>
                </w:p>
              </w:tc>
              <w:tc>
                <w:tcPr>
                  <w:tcW w:w="835" w:type="pct"/>
                  <w:tcBorders>
                    <w:tl2br w:val="nil"/>
                    <w:tr2bl w:val="nil"/>
                  </w:tcBorders>
                  <w:noWrap w:val="0"/>
                  <w:vAlign w:val="center"/>
                </w:tcPr>
                <w:p w14:paraId="05A449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2.0mg/m</w:t>
                  </w:r>
                  <w:r>
                    <w:rPr>
                      <w:rFonts w:hint="default" w:ascii="Times New Roman" w:hAnsi="Times New Roman" w:cs="Times New Roman"/>
                      <w:color w:val="auto"/>
                      <w:sz w:val="21"/>
                      <w:szCs w:val="21"/>
                      <w:highlight w:val="none"/>
                      <w:vertAlign w:val="superscript"/>
                      <w:lang w:val="en-US" w:eastAsia="zh-CN"/>
                    </w:rPr>
                    <w:t>3</w:t>
                  </w:r>
                </w:p>
              </w:tc>
            </w:tr>
            <w:tr w14:paraId="3976A5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restart"/>
                  <w:tcBorders>
                    <w:tl2br w:val="nil"/>
                    <w:tr2bl w:val="nil"/>
                  </w:tcBorders>
                  <w:noWrap w:val="0"/>
                  <w:vAlign w:val="center"/>
                </w:tcPr>
                <w:p w14:paraId="66CEDC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厂区内</w:t>
                  </w:r>
                </w:p>
              </w:tc>
              <w:tc>
                <w:tcPr>
                  <w:tcW w:w="643" w:type="pct"/>
                  <w:vMerge w:val="restart"/>
                  <w:tcBorders>
                    <w:tl2br w:val="nil"/>
                    <w:tr2bl w:val="nil"/>
                  </w:tcBorders>
                  <w:noWrap w:val="0"/>
                  <w:vAlign w:val="center"/>
                </w:tcPr>
                <w:p w14:paraId="004947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VOCs</w:t>
                  </w:r>
                </w:p>
              </w:tc>
              <w:tc>
                <w:tcPr>
                  <w:tcW w:w="1394" w:type="pct"/>
                  <w:vMerge w:val="restart"/>
                  <w:tcBorders>
                    <w:tl2br w:val="nil"/>
                    <w:tr2bl w:val="nil"/>
                  </w:tcBorders>
                  <w:noWrap w:val="0"/>
                  <w:vAlign w:val="center"/>
                </w:tcPr>
                <w:p w14:paraId="15A86E47">
                  <w:pPr>
                    <w:spacing w:before="31" w:line="239" w:lineRule="auto"/>
                    <w:ind w:right="101"/>
                    <w:jc w:val="center"/>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《挥发性有机物无组织排放控制标准》（GB37822-2019）表2浓度限值</w:t>
                  </w:r>
                </w:p>
              </w:tc>
              <w:tc>
                <w:tcPr>
                  <w:tcW w:w="1646" w:type="pct"/>
                  <w:tcBorders>
                    <w:tl2br w:val="nil"/>
                    <w:tr2bl w:val="nil"/>
                  </w:tcBorders>
                  <w:noWrap w:val="0"/>
                  <w:vAlign w:val="center"/>
                </w:tcPr>
                <w:p w14:paraId="3BE63718">
                  <w:pPr>
                    <w:pStyle w:val="68"/>
                    <w:ind w:firstLine="0" w:firstLineChars="0"/>
                    <w:jc w:val="center"/>
                    <w:rPr>
                      <w:rFonts w:hint="default" w:ascii="Times New Roman" w:hAnsi="Times New Roman" w:eastAsia="宋体" w:cs="Times New Roman"/>
                      <w:b w:val="0"/>
                      <w:bCs w:val="0"/>
                      <w:snapToGrid w:val="0"/>
                      <w:color w:val="auto"/>
                      <w:kern w:val="32"/>
                      <w:sz w:val="21"/>
                      <w:szCs w:val="21"/>
                      <w:lang w:val="en-US" w:eastAsia="zh-CN" w:bidi="ar-SA"/>
                    </w:rPr>
                  </w:pPr>
                  <w:r>
                    <w:rPr>
                      <w:rFonts w:hint="eastAsia" w:ascii="Times New Roman" w:cs="Times New Roman"/>
                      <w:b w:val="0"/>
                      <w:bCs w:val="0"/>
                      <w:snapToGrid w:val="0"/>
                      <w:color w:val="auto"/>
                      <w:kern w:val="32"/>
                      <w:szCs w:val="21"/>
                      <w:lang w:val="en-US" w:eastAsia="zh-CN"/>
                    </w:rPr>
                    <w:t>监测点处1h平均浓度值</w:t>
                  </w:r>
                </w:p>
              </w:tc>
              <w:tc>
                <w:tcPr>
                  <w:tcW w:w="835" w:type="pct"/>
                  <w:tcBorders>
                    <w:tl2br w:val="nil"/>
                    <w:tr2bl w:val="nil"/>
                  </w:tcBorders>
                  <w:noWrap w:val="0"/>
                  <w:vAlign w:val="center"/>
                </w:tcPr>
                <w:p w14:paraId="4F5CBD67">
                  <w:pPr>
                    <w:pStyle w:val="68"/>
                    <w:ind w:firstLine="0" w:firstLineChars="0"/>
                    <w:jc w:val="center"/>
                    <w:rPr>
                      <w:rFonts w:hint="default" w:ascii="Times New Roman" w:hAnsi="Times New Roman" w:eastAsia="宋体" w:cs="Times New Roman"/>
                      <w:b w:val="0"/>
                      <w:bCs w:val="0"/>
                      <w:snapToGrid w:val="0"/>
                      <w:color w:val="auto"/>
                      <w:kern w:val="32"/>
                      <w:sz w:val="21"/>
                      <w:szCs w:val="21"/>
                      <w:lang w:val="en-US" w:eastAsia="zh-CN" w:bidi="ar-SA"/>
                    </w:rPr>
                  </w:pPr>
                  <w:r>
                    <w:rPr>
                      <w:rFonts w:hint="eastAsia" w:ascii="Times New Roman" w:hAnsi="Times New Roman" w:eastAsia="宋体" w:cs="Times New Roman"/>
                      <w:b w:val="0"/>
                      <w:bCs w:val="0"/>
                      <w:snapToGrid w:val="0"/>
                      <w:color w:val="auto"/>
                      <w:kern w:val="32"/>
                      <w:szCs w:val="21"/>
                      <w:lang w:val="en-US" w:eastAsia="zh-CN"/>
                    </w:rPr>
                    <w:t>6</w:t>
                  </w:r>
                  <w:r>
                    <w:rPr>
                      <w:rFonts w:hint="default" w:ascii="Times New Roman" w:hAnsi="Times New Roman" w:eastAsia="宋体" w:cs="Times New Roman"/>
                      <w:b w:val="0"/>
                      <w:bCs w:val="0"/>
                      <w:color w:val="auto"/>
                      <w:sz w:val="21"/>
                      <w:szCs w:val="21"/>
                      <w:lang w:val="en-US" w:eastAsia="zh-CN"/>
                    </w:rPr>
                    <w:t>mg/m</w:t>
                  </w:r>
                  <w:r>
                    <w:rPr>
                      <w:rFonts w:hint="default" w:ascii="Times New Roman" w:hAnsi="Times New Roman" w:eastAsia="宋体" w:cs="Times New Roman"/>
                      <w:b w:val="0"/>
                      <w:bCs w:val="0"/>
                      <w:color w:val="auto"/>
                      <w:sz w:val="21"/>
                      <w:szCs w:val="21"/>
                      <w:vertAlign w:val="superscript"/>
                      <w:lang w:val="en-US" w:eastAsia="zh-CN"/>
                    </w:rPr>
                    <w:t>3</w:t>
                  </w:r>
                </w:p>
              </w:tc>
            </w:tr>
            <w:tr w14:paraId="25745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pct"/>
                  <w:vMerge w:val="continue"/>
                </w:tcPr>
                <w:p w14:paraId="5754EB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643" w:type="pct"/>
                  <w:vMerge w:val="continue"/>
                </w:tcPr>
                <w:p w14:paraId="22118A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p>
              </w:tc>
              <w:tc>
                <w:tcPr>
                  <w:tcW w:w="1394" w:type="pct"/>
                  <w:vMerge w:val="continue"/>
                </w:tcPr>
                <w:p w14:paraId="304D26C2">
                  <w:pPr>
                    <w:spacing w:before="31" w:line="239" w:lineRule="auto"/>
                    <w:ind w:right="101"/>
                    <w:jc w:val="center"/>
                    <w:rPr>
                      <w:rFonts w:hint="default" w:ascii="Times New Roman" w:hAnsi="Times New Roman" w:eastAsia="宋体" w:cs="Times New Roman"/>
                      <w:color w:val="auto"/>
                      <w:spacing w:val="-2"/>
                      <w:sz w:val="21"/>
                      <w:szCs w:val="21"/>
                    </w:rPr>
                  </w:pPr>
                </w:p>
              </w:tc>
              <w:tc>
                <w:tcPr>
                  <w:tcW w:w="1646" w:type="pct"/>
                  <w:vAlign w:val="center"/>
                </w:tcPr>
                <w:p w14:paraId="363DB317">
                  <w:pPr>
                    <w:pStyle w:val="68"/>
                    <w:ind w:firstLine="0" w:firstLineChars="0"/>
                    <w:jc w:val="center"/>
                    <w:rPr>
                      <w:rFonts w:hint="default" w:ascii="Times New Roman" w:hAnsi="Times New Roman" w:eastAsia="宋体" w:cs="Times New Roman"/>
                      <w:b w:val="0"/>
                      <w:bCs w:val="0"/>
                      <w:snapToGrid w:val="0"/>
                      <w:color w:val="auto"/>
                      <w:kern w:val="32"/>
                      <w:sz w:val="21"/>
                      <w:szCs w:val="21"/>
                      <w:lang w:val="en-US" w:eastAsia="zh-CN" w:bidi="ar-SA"/>
                    </w:rPr>
                  </w:pPr>
                  <w:r>
                    <w:rPr>
                      <w:rFonts w:hint="eastAsia" w:ascii="Times New Roman" w:cs="Times New Roman"/>
                      <w:b w:val="0"/>
                      <w:bCs w:val="0"/>
                      <w:snapToGrid w:val="0"/>
                      <w:color w:val="auto"/>
                      <w:kern w:val="32"/>
                      <w:szCs w:val="21"/>
                      <w:lang w:val="en-US" w:eastAsia="zh-CN"/>
                    </w:rPr>
                    <w:t>监测点处任意一次浓度值</w:t>
                  </w:r>
                </w:p>
              </w:tc>
              <w:tc>
                <w:tcPr>
                  <w:tcW w:w="835" w:type="pct"/>
                  <w:vAlign w:val="center"/>
                </w:tcPr>
                <w:p w14:paraId="60C53DCB">
                  <w:pPr>
                    <w:pStyle w:val="68"/>
                    <w:ind w:firstLine="0" w:firstLineChars="0"/>
                    <w:jc w:val="center"/>
                    <w:rPr>
                      <w:rFonts w:hint="default" w:ascii="Times New Roman" w:hAnsi="Times New Roman" w:eastAsia="宋体" w:cs="Times New Roman"/>
                      <w:b w:val="0"/>
                      <w:bCs w:val="0"/>
                      <w:snapToGrid w:val="0"/>
                      <w:color w:val="auto"/>
                      <w:kern w:val="32"/>
                      <w:sz w:val="21"/>
                      <w:szCs w:val="21"/>
                      <w:lang w:val="en-US" w:eastAsia="zh-CN" w:bidi="ar-SA"/>
                    </w:rPr>
                  </w:pPr>
                  <w:r>
                    <w:rPr>
                      <w:rFonts w:hint="eastAsia" w:ascii="Times New Roman" w:hAnsi="Times New Roman" w:eastAsia="宋体" w:cs="Times New Roman"/>
                      <w:b w:val="0"/>
                      <w:bCs w:val="0"/>
                      <w:snapToGrid w:val="0"/>
                      <w:color w:val="auto"/>
                      <w:kern w:val="32"/>
                      <w:szCs w:val="21"/>
                      <w:lang w:val="en-US" w:eastAsia="zh-CN"/>
                    </w:rPr>
                    <w:t>20</w:t>
                  </w:r>
                  <w:r>
                    <w:rPr>
                      <w:rFonts w:hint="default" w:ascii="Times New Roman" w:hAnsi="Times New Roman" w:eastAsia="宋体" w:cs="Times New Roman"/>
                      <w:b w:val="0"/>
                      <w:bCs w:val="0"/>
                      <w:color w:val="auto"/>
                      <w:sz w:val="21"/>
                      <w:szCs w:val="21"/>
                      <w:lang w:val="en-US" w:eastAsia="zh-CN"/>
                    </w:rPr>
                    <w:t>mg/m</w:t>
                  </w:r>
                  <w:r>
                    <w:rPr>
                      <w:rFonts w:hint="default" w:ascii="Times New Roman" w:hAnsi="Times New Roman" w:eastAsia="宋体" w:cs="Times New Roman"/>
                      <w:b w:val="0"/>
                      <w:bCs w:val="0"/>
                      <w:color w:val="auto"/>
                      <w:sz w:val="21"/>
                      <w:szCs w:val="21"/>
                      <w:vertAlign w:val="superscript"/>
                      <w:lang w:val="en-US" w:eastAsia="zh-CN"/>
                    </w:rPr>
                    <w:t>3</w:t>
                  </w:r>
                </w:p>
              </w:tc>
            </w:tr>
          </w:tbl>
          <w:p w14:paraId="24752DB2">
            <w:pPr>
              <w:keepNext w:val="0"/>
              <w:keepLines w:val="0"/>
              <w:pageBreakBefore w:val="0"/>
              <w:widowControl w:val="0"/>
              <w:numPr>
                <w:ilvl w:val="0"/>
                <w:numId w:val="3"/>
              </w:numPr>
              <w:kinsoku/>
              <w:wordWrap/>
              <w:overflowPunct/>
              <w:topLinePunct w:val="0"/>
              <w:bidi w:val="0"/>
              <w:adjustRightInd/>
              <w:snapToGrid w:val="0"/>
              <w:spacing w:line="360" w:lineRule="auto"/>
              <w:ind w:left="0" w:lef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废水：本项目无废水产生，现有项目职工生活污水经化粪池收集后定期清挖堆肥。</w:t>
            </w:r>
          </w:p>
          <w:p w14:paraId="13ACDEA2">
            <w:pPr>
              <w:keepNext w:val="0"/>
              <w:keepLines w:val="0"/>
              <w:pageBreakBefore w:val="0"/>
              <w:widowControl w:val="0"/>
              <w:kinsoku/>
              <w:wordWrap/>
              <w:overflowPunct/>
              <w:topLinePunct w:val="0"/>
              <w:autoSpaceDE w:val="0"/>
              <w:autoSpaceDN w:val="0"/>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噪声：</w:t>
            </w:r>
            <w:r>
              <w:rPr>
                <w:rFonts w:hint="default" w:ascii="Times New Roman" w:hAnsi="Times New Roman" w:cs="Times New Roman"/>
                <w:color w:val="auto"/>
                <w:sz w:val="24"/>
                <w:szCs w:val="24"/>
                <w:highlight w:val="none"/>
                <w:lang w:val="en-US" w:eastAsia="zh-CN"/>
              </w:rPr>
              <w:t>施工期噪声执行《</w:t>
            </w:r>
            <w:r>
              <w:rPr>
                <w:rFonts w:hint="eastAsia" w:cs="Times New Roman"/>
                <w:color w:val="auto"/>
                <w:sz w:val="24"/>
                <w:szCs w:val="24"/>
                <w:highlight w:val="none"/>
                <w:lang w:val="en-US" w:eastAsia="zh-CN"/>
              </w:rPr>
              <w:t>建筑施工噪声排放标准</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GB12523-2025</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营运期噪声执行《工业企业厂界环境噪声排放标准》（GB12348-2008）</w:t>
            </w:r>
            <w:r>
              <w:rPr>
                <w:rFonts w:hint="default" w:ascii="Times New Roman" w:hAnsi="Times New Roman" w:cs="Times New Roman"/>
                <w:color w:val="auto"/>
                <w:sz w:val="24"/>
                <w:szCs w:val="24"/>
                <w:highlight w:val="none"/>
                <w:lang w:val="en-US" w:eastAsia="zh-CN"/>
              </w:rPr>
              <w:t>2类标准</w:t>
            </w:r>
            <w:r>
              <w:rPr>
                <w:rFonts w:hint="default" w:ascii="Times New Roman" w:hAnsi="Times New Roman" w:cs="Times New Roman"/>
                <w:color w:val="auto"/>
                <w:sz w:val="24"/>
                <w:szCs w:val="24"/>
                <w:highlight w:val="none"/>
              </w:rPr>
              <w:t>（昼间≤</w:t>
            </w:r>
            <w:r>
              <w:rPr>
                <w:rFonts w:hint="default" w:ascii="Times New Roman" w:hAnsi="Times New Roman" w:cs="Times New Roman"/>
                <w:color w:val="auto"/>
                <w:sz w:val="24"/>
                <w:szCs w:val="24"/>
                <w:highlight w:val="none"/>
                <w:lang w:eastAsia="zh-CN"/>
              </w:rPr>
              <w:t>6</w:t>
            </w:r>
            <w:r>
              <w:rPr>
                <w:rFonts w:hint="default"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lang w:eastAsia="zh-CN"/>
              </w:rPr>
              <w:t>dB</w:t>
            </w:r>
            <w:r>
              <w:rPr>
                <w:rFonts w:hint="default" w:ascii="Times New Roman" w:hAnsi="Times New Roman" w:cs="Times New Roman"/>
                <w:color w:val="auto"/>
                <w:sz w:val="24"/>
                <w:szCs w:val="24"/>
                <w:highlight w:val="none"/>
              </w:rPr>
              <w:t>(A)、夜间≤</w:t>
            </w:r>
            <w:r>
              <w:rPr>
                <w:rFonts w:hint="default" w:ascii="Times New Roman" w:hAnsi="Times New Roman" w:cs="Times New Roman"/>
                <w:color w:val="auto"/>
                <w:sz w:val="24"/>
                <w:szCs w:val="24"/>
                <w:highlight w:val="none"/>
                <w:lang w:eastAsia="zh-CN"/>
              </w:rPr>
              <w:t>5</w:t>
            </w:r>
            <w:r>
              <w:rPr>
                <w:rFonts w:hint="default"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lang w:eastAsia="zh-CN"/>
              </w:rPr>
              <w:t>dB</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p>
          <w:p w14:paraId="03597099">
            <w:pPr>
              <w:pStyle w:val="16"/>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kern w:val="0"/>
                <w:sz w:val="24"/>
                <w:szCs w:val="24"/>
                <w:highlight w:val="none"/>
              </w:rPr>
              <w:t>一般固废执行《一般工业固体废物贮存和填埋污染控制标准》（GB18599-2020）；危险废物执行</w:t>
            </w:r>
            <w:r>
              <w:rPr>
                <w:rFonts w:hint="default" w:ascii="Times New Roman" w:hAnsi="Times New Roman" w:cs="Times New Roman"/>
                <w:color w:val="auto"/>
                <w:kern w:val="0"/>
                <w:sz w:val="24"/>
                <w:szCs w:val="24"/>
                <w:highlight w:val="none"/>
                <w:lang w:eastAsia="zh-CN"/>
              </w:rPr>
              <w:t>《危险废物贮存污染控制标准》（GB18597-2023）</w:t>
            </w:r>
            <w:r>
              <w:rPr>
                <w:rFonts w:hint="default" w:ascii="Times New Roman" w:hAnsi="Times New Roman" w:cs="Times New Roman"/>
                <w:color w:val="auto"/>
                <w:kern w:val="0"/>
                <w:sz w:val="24"/>
                <w:szCs w:val="24"/>
                <w:highlight w:val="none"/>
              </w:rPr>
              <w:t>。</w:t>
            </w:r>
          </w:p>
        </w:tc>
      </w:tr>
      <w:tr w14:paraId="5CF2D3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659" w:type="dxa"/>
            <w:noWrap w:val="0"/>
            <w:vAlign w:val="center"/>
          </w:tcPr>
          <w:p w14:paraId="1E9A7EA0">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总量</w:t>
            </w:r>
          </w:p>
          <w:p w14:paraId="10A97584">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控制</w:t>
            </w:r>
          </w:p>
          <w:p w14:paraId="58FB4B25">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指标</w:t>
            </w:r>
          </w:p>
        </w:tc>
        <w:tc>
          <w:tcPr>
            <w:tcW w:w="8331" w:type="dxa"/>
            <w:noWrap w:val="0"/>
            <w:vAlign w:val="center"/>
          </w:tcPr>
          <w:p w14:paraId="50BEF9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1.总量控制对象</w:t>
            </w:r>
          </w:p>
          <w:p w14:paraId="70C9C918">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根据《山东省人民政府〈关于印发山东省</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十四五</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生态环境保护规划〉的通知》（鲁政发〔2021〕12号），</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十四五</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期间主要控制污染物为SO</w:t>
            </w:r>
            <w:r>
              <w:rPr>
                <w:rFonts w:hint="default" w:ascii="Times New Roman" w:hAnsi="Times New Roman" w:eastAsia="宋体" w:cs="Times New Roman"/>
                <w:color w:val="auto"/>
                <w:kern w:val="0"/>
                <w:sz w:val="24"/>
                <w:szCs w:val="24"/>
                <w:highlight w:val="none"/>
                <w:vertAlign w:val="subscript"/>
                <w:lang w:val="en-US" w:eastAsia="zh-CN"/>
              </w:rPr>
              <w:t>2</w:t>
            </w:r>
            <w:r>
              <w:rPr>
                <w:rFonts w:hint="default" w:ascii="Times New Roman" w:hAnsi="Times New Roman" w:eastAsia="宋体" w:cs="Times New Roman"/>
                <w:color w:val="auto"/>
                <w:kern w:val="0"/>
                <w:sz w:val="24"/>
                <w:szCs w:val="24"/>
                <w:highlight w:val="none"/>
                <w:lang w:val="en-US" w:eastAsia="zh-CN"/>
              </w:rPr>
              <w:t>、NO</w:t>
            </w:r>
            <w:r>
              <w:rPr>
                <w:rFonts w:hint="default" w:ascii="Times New Roman" w:hAnsi="Times New Roman" w:eastAsia="宋体" w:cs="Times New Roman"/>
                <w:color w:val="auto"/>
                <w:kern w:val="0"/>
                <w:sz w:val="24"/>
                <w:szCs w:val="24"/>
                <w:highlight w:val="none"/>
                <w:vertAlign w:val="subscript"/>
                <w:lang w:val="en-US" w:eastAsia="zh-CN"/>
              </w:rPr>
              <w:t>x</w:t>
            </w:r>
            <w:r>
              <w:rPr>
                <w:rFonts w:hint="default" w:ascii="Times New Roman" w:hAnsi="Times New Roman" w:eastAsia="宋体" w:cs="Times New Roman"/>
                <w:color w:val="auto"/>
                <w:kern w:val="0"/>
                <w:sz w:val="24"/>
                <w:szCs w:val="24"/>
                <w:highlight w:val="none"/>
                <w:lang w:val="en-US" w:eastAsia="zh-CN"/>
              </w:rPr>
              <w:t>、COD及氨氮4项指标。另外，根据《淄博市人民政府〈关于印发淄博市</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十四五</w:t>
            </w:r>
            <w:r>
              <w:rPr>
                <w:rFonts w:hint="default" w:ascii="Times New Roman" w:hAnsi="Times New Roman" w:cs="Times New Roman"/>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rPr>
              <w:t>生态环境保护规划〉的通知》（淄政字〔2021〕107号）及淄博市环境保护主管部门提出的主要污染物总量控制计划，纳入总量控制计划的指标为COD、氨氮、二氧化硫、氮氧化物、VOCs和颗粒物。</w:t>
            </w:r>
          </w:p>
          <w:p w14:paraId="02771E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2.总量控制指标</w:t>
            </w:r>
          </w:p>
          <w:p w14:paraId="14AD0289">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color w:val="auto"/>
                <w:sz w:val="24"/>
                <w:szCs w:val="24"/>
              </w:rPr>
              <w:t>根据《关于统筹使用“十四五”建设项目主要大气污染物总量指标的通知》（淄环函〔2021〕55 号）要求。若上一年度细颗粒物年平均浓度超标，实行二氧化硫、氮氧化物、烟粉尘、挥发性有机物四项污染物总量指标2倍削减替代；达标时实行等量替代。</w:t>
            </w:r>
          </w:p>
          <w:p w14:paraId="3CE48125">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本项目</w:t>
            </w:r>
            <w:r>
              <w:rPr>
                <w:rFonts w:hint="default" w:ascii="Times New Roman" w:hAnsi="Times New Roman" w:cs="Times New Roman"/>
                <w:b w:val="0"/>
                <w:bCs w:val="0"/>
                <w:color w:val="auto"/>
                <w:kern w:val="0"/>
                <w:sz w:val="24"/>
                <w:szCs w:val="24"/>
                <w:highlight w:val="none"/>
                <w:lang w:val="en-US" w:eastAsia="zh-CN"/>
              </w:rPr>
              <w:t>无废水产生，现有项目职工生活污水经化粪池收集后定期清挖堆肥。</w:t>
            </w:r>
          </w:p>
          <w:p w14:paraId="3197B381">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kern w:val="0"/>
                <w:sz w:val="24"/>
                <w:szCs w:val="24"/>
                <w:highlight w:val="yellow"/>
                <w:lang w:val="en-US" w:eastAsia="zh-CN"/>
              </w:rPr>
            </w:pPr>
            <w:r>
              <w:rPr>
                <w:rFonts w:hint="default" w:ascii="Times New Roman" w:hAnsi="Times New Roman" w:eastAsia="宋体" w:cs="Times New Roman"/>
                <w:b w:val="0"/>
                <w:bCs w:val="0"/>
                <w:color w:val="auto"/>
                <w:kern w:val="0"/>
                <w:sz w:val="24"/>
                <w:szCs w:val="24"/>
                <w:highlight w:val="none"/>
                <w:lang w:val="en-US" w:eastAsia="zh-CN"/>
              </w:rPr>
              <w:t>根据工程分析</w:t>
            </w:r>
            <w:r>
              <w:rPr>
                <w:rFonts w:hint="default" w:ascii="Times New Roman" w:hAnsi="Times New Roman" w:cs="Times New Roman"/>
                <w:b w:val="0"/>
                <w:bCs w:val="0"/>
                <w:color w:val="auto"/>
                <w:kern w:val="0"/>
                <w:sz w:val="24"/>
                <w:szCs w:val="24"/>
                <w:highlight w:val="none"/>
                <w:lang w:val="en-US" w:eastAsia="zh-CN"/>
              </w:rPr>
              <w:t>可知</w:t>
            </w:r>
            <w:r>
              <w:rPr>
                <w:rFonts w:hint="default" w:ascii="Times New Roman" w:hAnsi="Times New Roman" w:eastAsia="宋体" w:cs="Times New Roman"/>
                <w:b w:val="0"/>
                <w:bCs w:val="0"/>
                <w:color w:val="auto"/>
                <w:kern w:val="0"/>
                <w:sz w:val="24"/>
                <w:szCs w:val="24"/>
                <w:highlight w:val="none"/>
                <w:lang w:val="en-US" w:eastAsia="zh-CN"/>
              </w:rPr>
              <w:t>，</w:t>
            </w:r>
            <w:r>
              <w:rPr>
                <w:rFonts w:hint="default" w:ascii="Times New Roman" w:hAnsi="Times New Roman" w:cs="Times New Roman"/>
                <w:b w:val="0"/>
                <w:bCs w:val="0"/>
                <w:color w:val="auto"/>
                <w:kern w:val="0"/>
                <w:sz w:val="24"/>
                <w:szCs w:val="24"/>
                <w:highlight w:val="none"/>
                <w:lang w:val="en-US" w:eastAsia="zh-CN"/>
              </w:rPr>
              <w:t>本项目建设完成后，全厂有组织颗粒物排放量为</w:t>
            </w:r>
            <w:r>
              <w:rPr>
                <w:rFonts w:hint="eastAsia" w:cs="Times New Roman"/>
                <w:b w:val="0"/>
                <w:bCs w:val="0"/>
                <w:color w:val="auto"/>
                <w:kern w:val="0"/>
                <w:sz w:val="24"/>
                <w:szCs w:val="24"/>
                <w:highlight w:val="none"/>
                <w:lang w:val="en-US" w:eastAsia="zh-CN"/>
              </w:rPr>
              <w:t>0.141</w:t>
            </w:r>
            <w:r>
              <w:rPr>
                <w:rFonts w:hint="default" w:ascii="Times New Roman" w:hAnsi="Times New Roman" w:cs="Times New Roman"/>
                <w:b w:val="0"/>
                <w:bCs w:val="0"/>
                <w:color w:val="auto"/>
                <w:kern w:val="0"/>
                <w:sz w:val="24"/>
                <w:szCs w:val="24"/>
                <w:highlight w:val="none"/>
                <w:lang w:val="en-US" w:eastAsia="zh-CN"/>
              </w:rPr>
              <w:t>t/a、有组织二氧化硫排放量为</w:t>
            </w:r>
            <w:r>
              <w:rPr>
                <w:rFonts w:hint="eastAsia" w:cs="Times New Roman"/>
                <w:b w:val="0"/>
                <w:bCs w:val="0"/>
                <w:color w:val="auto"/>
                <w:kern w:val="0"/>
                <w:sz w:val="24"/>
                <w:szCs w:val="24"/>
                <w:highlight w:val="none"/>
                <w:lang w:val="en-US" w:eastAsia="zh-CN"/>
              </w:rPr>
              <w:t>0.009</w:t>
            </w:r>
            <w:r>
              <w:rPr>
                <w:rFonts w:hint="default" w:ascii="Times New Roman" w:hAnsi="Times New Roman" w:cs="Times New Roman"/>
                <w:b w:val="0"/>
                <w:bCs w:val="0"/>
                <w:color w:val="auto"/>
                <w:kern w:val="0"/>
                <w:sz w:val="24"/>
                <w:szCs w:val="24"/>
                <w:highlight w:val="none"/>
                <w:lang w:val="en-US" w:eastAsia="zh-CN"/>
              </w:rPr>
              <w:t>t/a、有组织氮氧化物排放量为</w:t>
            </w:r>
            <w:r>
              <w:rPr>
                <w:rFonts w:hint="eastAsia" w:cs="Times New Roman"/>
                <w:b w:val="0"/>
                <w:bCs w:val="0"/>
                <w:color w:val="auto"/>
                <w:kern w:val="0"/>
                <w:sz w:val="24"/>
                <w:szCs w:val="24"/>
                <w:highlight w:val="none"/>
                <w:lang w:val="en-US" w:eastAsia="zh-CN"/>
              </w:rPr>
              <w:t>0.085</w:t>
            </w:r>
            <w:r>
              <w:rPr>
                <w:rFonts w:hint="default" w:ascii="Times New Roman" w:hAnsi="Times New Roman" w:cs="Times New Roman"/>
                <w:b w:val="0"/>
                <w:bCs w:val="0"/>
                <w:color w:val="auto"/>
                <w:kern w:val="0"/>
                <w:sz w:val="24"/>
                <w:szCs w:val="24"/>
                <w:highlight w:val="none"/>
                <w:lang w:val="en-US" w:eastAsia="zh-CN"/>
              </w:rPr>
              <w:t>t/a、有组织VOCs排放量为0.013t/a。</w:t>
            </w:r>
          </w:p>
          <w:p w14:paraId="216B7057">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ind w:firstLine="0" w:firstLineChars="0"/>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表3-</w:t>
            </w:r>
            <w:r>
              <w:rPr>
                <w:rFonts w:hint="eastAsia" w:eastAsia="黑体" w:cs="Times New Roman"/>
                <w:b w:val="0"/>
                <w:bCs w:val="0"/>
                <w:color w:val="auto"/>
                <w:kern w:val="0"/>
                <w:sz w:val="24"/>
                <w:szCs w:val="24"/>
                <w:highlight w:val="none"/>
                <w:lang w:val="en-US" w:eastAsia="zh-CN"/>
              </w:rPr>
              <w:t>5</w:t>
            </w:r>
            <w:r>
              <w:rPr>
                <w:rFonts w:hint="default" w:ascii="Times New Roman" w:hAnsi="Times New Roman" w:eastAsia="黑体" w:cs="Times New Roman"/>
                <w:b w:val="0"/>
                <w:bCs w:val="0"/>
                <w:color w:val="auto"/>
                <w:kern w:val="0"/>
                <w:sz w:val="24"/>
                <w:szCs w:val="24"/>
                <w:highlight w:val="none"/>
                <w:lang w:val="en-US" w:eastAsia="zh-CN"/>
              </w:rPr>
              <w:t xml:space="preserve"> 技改后全厂污染物总量控制情况一览表</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7"/>
              <w:gridCol w:w="2389"/>
              <w:gridCol w:w="2491"/>
              <w:gridCol w:w="2055"/>
            </w:tblGrid>
            <w:tr w14:paraId="10CF9F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pct"/>
                  <w:tcBorders>
                    <w:tl2br w:val="nil"/>
                    <w:tr2bl w:val="nil"/>
                  </w:tcBorders>
                  <w:noWrap w:val="0"/>
                  <w:vAlign w:val="center"/>
                </w:tcPr>
                <w:p w14:paraId="786EDF50">
                  <w:pPr>
                    <w:pStyle w:val="61"/>
                    <w:keepNext w:val="0"/>
                    <w:keepLines w:val="0"/>
                    <w:pageBreakBefore w:val="0"/>
                    <w:kinsoku/>
                    <w:wordWrap/>
                    <w:overflowPunct/>
                    <w:topLinePunct w:val="0"/>
                    <w:bidi w:val="0"/>
                    <w:adjustRightInd/>
                    <w:spacing w:line="240" w:lineRule="auto"/>
                    <w:ind w:firstLine="0" w:firstLineChars="0"/>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污染物</w:t>
                  </w:r>
                </w:p>
              </w:tc>
              <w:tc>
                <w:tcPr>
                  <w:tcW w:w="1472" w:type="pct"/>
                  <w:tcBorders>
                    <w:tl2br w:val="nil"/>
                    <w:tr2bl w:val="nil"/>
                  </w:tcBorders>
                  <w:noWrap w:val="0"/>
                  <w:vAlign w:val="center"/>
                </w:tcPr>
                <w:p w14:paraId="7B2B8208">
                  <w:pPr>
                    <w:pStyle w:val="61"/>
                    <w:keepNext w:val="0"/>
                    <w:keepLines w:val="0"/>
                    <w:pageBreakBefore w:val="0"/>
                    <w:kinsoku/>
                    <w:wordWrap/>
                    <w:overflowPunct/>
                    <w:topLinePunct w:val="0"/>
                    <w:bidi w:val="0"/>
                    <w:adjustRightInd/>
                    <w:spacing w:line="240" w:lineRule="auto"/>
                    <w:ind w:left="0" w:leftChars="0"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技改后全厂排放量t/a</w:t>
                  </w:r>
                </w:p>
              </w:tc>
              <w:tc>
                <w:tcPr>
                  <w:tcW w:w="1535" w:type="pct"/>
                  <w:tcBorders>
                    <w:tl2br w:val="nil"/>
                    <w:tr2bl w:val="nil"/>
                  </w:tcBorders>
                  <w:noWrap w:val="0"/>
                  <w:vAlign w:val="center"/>
                </w:tcPr>
                <w:p w14:paraId="3C5B4767">
                  <w:pPr>
                    <w:pStyle w:val="61"/>
                    <w:keepNext w:val="0"/>
                    <w:keepLines w:val="0"/>
                    <w:pageBreakBefore w:val="0"/>
                    <w:kinsoku/>
                    <w:wordWrap/>
                    <w:overflowPunct/>
                    <w:topLinePunct w:val="0"/>
                    <w:bidi w:val="0"/>
                    <w:adjustRightInd/>
                    <w:spacing w:line="240" w:lineRule="auto"/>
                    <w:ind w:left="0" w:leftChars="0" w:firstLine="0" w:firstLineChars="0"/>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现有</w:t>
                  </w:r>
                  <w:r>
                    <w:rPr>
                      <w:rFonts w:hint="default" w:ascii="Times New Roman" w:hAnsi="Times New Roman" w:eastAsia="宋体" w:cs="Times New Roman"/>
                      <w:color w:val="auto"/>
                      <w:szCs w:val="21"/>
                      <w:highlight w:val="none"/>
                      <w:lang w:val="en-US" w:eastAsia="zh-CN"/>
                    </w:rPr>
                    <w:t>总量控制指标t/a</w:t>
                  </w:r>
                </w:p>
              </w:tc>
              <w:tc>
                <w:tcPr>
                  <w:tcW w:w="1266" w:type="pct"/>
                  <w:tcBorders>
                    <w:tl2br w:val="nil"/>
                    <w:tr2bl w:val="nil"/>
                  </w:tcBorders>
                  <w:noWrap w:val="0"/>
                  <w:vAlign w:val="center"/>
                </w:tcPr>
                <w:p w14:paraId="4560119B">
                  <w:pPr>
                    <w:pStyle w:val="61"/>
                    <w:keepNext w:val="0"/>
                    <w:keepLines w:val="0"/>
                    <w:pageBreakBefore w:val="0"/>
                    <w:kinsoku/>
                    <w:wordWrap/>
                    <w:overflowPunct/>
                    <w:topLinePunct w:val="0"/>
                    <w:bidi w:val="0"/>
                    <w:adjustRightInd/>
                    <w:spacing w:line="240" w:lineRule="auto"/>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是否满足总量控制</w:t>
                  </w:r>
                </w:p>
              </w:tc>
            </w:tr>
            <w:tr w14:paraId="0AB729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pct"/>
                  <w:tcBorders>
                    <w:tl2br w:val="nil"/>
                    <w:tr2bl w:val="nil"/>
                  </w:tcBorders>
                  <w:noWrap w:val="0"/>
                  <w:vAlign w:val="center"/>
                </w:tcPr>
                <w:p w14:paraId="4C37C040">
                  <w:pPr>
                    <w:pStyle w:val="46"/>
                    <w:keepNext w:val="0"/>
                    <w:keepLines w:val="0"/>
                    <w:pageBreakBefore w:val="0"/>
                    <w:shd w:val="clear"/>
                    <w:kinsoku/>
                    <w:wordWrap/>
                    <w:overflowPunct/>
                    <w:topLinePunct w:val="0"/>
                    <w:bidi w:val="0"/>
                    <w:spacing w:beforeLines="0" w:afterLines="0" w:line="240" w:lineRule="auto"/>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snapToGrid w:val="0"/>
                      <w:color w:val="auto"/>
                      <w:kern w:val="21"/>
                      <w:szCs w:val="21"/>
                      <w:highlight w:val="none"/>
                      <w:lang w:eastAsia="zh-CN"/>
                    </w:rPr>
                    <w:t>颗粒物</w:t>
                  </w:r>
                </w:p>
              </w:tc>
              <w:tc>
                <w:tcPr>
                  <w:tcW w:w="1472" w:type="pct"/>
                  <w:tcBorders>
                    <w:tl2br w:val="nil"/>
                    <w:tr2bl w:val="nil"/>
                  </w:tcBorders>
                  <w:noWrap w:val="0"/>
                  <w:vAlign w:val="center"/>
                </w:tcPr>
                <w:p w14:paraId="6B4102E9">
                  <w:pPr>
                    <w:keepNext w:val="0"/>
                    <w:keepLines w:val="0"/>
                    <w:pageBreakBefore w:val="0"/>
                    <w:widowControl/>
                    <w:suppressLineNumbers w:val="0"/>
                    <w:kinsoku/>
                    <w:wordWrap/>
                    <w:overflowPunct/>
                    <w:topLinePunct w:val="0"/>
                    <w:bidi w:val="0"/>
                    <w:ind w:firstLine="0" w:firstLineChars="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i w:val="0"/>
                      <w:iCs w:val="0"/>
                      <w:color w:val="auto"/>
                      <w:kern w:val="0"/>
                      <w:sz w:val="21"/>
                      <w:szCs w:val="21"/>
                      <w:highlight w:val="none"/>
                      <w:u w:val="none"/>
                      <w:lang w:val="en-US" w:eastAsia="zh-CN" w:bidi="ar"/>
                    </w:rPr>
                    <w:t>0.141</w:t>
                  </w:r>
                </w:p>
              </w:tc>
              <w:tc>
                <w:tcPr>
                  <w:tcW w:w="1535" w:type="pct"/>
                  <w:tcBorders>
                    <w:tl2br w:val="nil"/>
                    <w:tr2bl w:val="nil"/>
                  </w:tcBorders>
                  <w:noWrap w:val="0"/>
                  <w:vAlign w:val="center"/>
                </w:tcPr>
                <w:p w14:paraId="40CDE7A7">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0.51</w:t>
                  </w:r>
                </w:p>
              </w:tc>
              <w:tc>
                <w:tcPr>
                  <w:tcW w:w="1266" w:type="pct"/>
                  <w:tcBorders>
                    <w:tl2br w:val="nil"/>
                    <w:tr2bl w:val="nil"/>
                  </w:tcBorders>
                  <w:noWrap w:val="0"/>
                  <w:vAlign w:val="center"/>
                </w:tcPr>
                <w:p w14:paraId="706B2AC3">
                  <w:pPr>
                    <w:pStyle w:val="61"/>
                    <w:keepNext w:val="0"/>
                    <w:keepLines w:val="0"/>
                    <w:pageBreakBefore w:val="0"/>
                    <w:kinsoku/>
                    <w:wordWrap/>
                    <w:overflowPunct/>
                    <w:topLinePunct w:val="0"/>
                    <w:bidi w:val="0"/>
                    <w:adjustRightInd/>
                    <w:spacing w:line="240" w:lineRule="auto"/>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满足</w:t>
                  </w:r>
                </w:p>
              </w:tc>
            </w:tr>
            <w:tr w14:paraId="579292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pct"/>
                  <w:tcBorders>
                    <w:tl2br w:val="nil"/>
                    <w:tr2bl w:val="nil"/>
                  </w:tcBorders>
                  <w:noWrap w:val="0"/>
                  <w:vAlign w:val="center"/>
                </w:tcPr>
                <w:p w14:paraId="2621A092">
                  <w:pPr>
                    <w:pStyle w:val="46"/>
                    <w:keepNext w:val="0"/>
                    <w:keepLines w:val="0"/>
                    <w:pageBreakBefore w:val="0"/>
                    <w:shd w:val="clear"/>
                    <w:kinsoku/>
                    <w:wordWrap/>
                    <w:overflowPunct/>
                    <w:topLinePunct w:val="0"/>
                    <w:bidi w:val="0"/>
                    <w:spacing w:beforeLines="0" w:afterLines="0" w:line="240" w:lineRule="auto"/>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二氧化硫</w:t>
                  </w:r>
                </w:p>
              </w:tc>
              <w:tc>
                <w:tcPr>
                  <w:tcW w:w="1472" w:type="pct"/>
                  <w:tcBorders>
                    <w:tl2br w:val="nil"/>
                    <w:tr2bl w:val="nil"/>
                  </w:tcBorders>
                  <w:noWrap w:val="0"/>
                  <w:vAlign w:val="center"/>
                </w:tcPr>
                <w:p w14:paraId="687A2865">
                  <w:pPr>
                    <w:keepNext w:val="0"/>
                    <w:keepLines w:val="0"/>
                    <w:pageBreakBefore w:val="0"/>
                    <w:widowControl/>
                    <w:suppressLineNumbers w:val="0"/>
                    <w:kinsoku/>
                    <w:wordWrap/>
                    <w:overflowPunct/>
                    <w:topLinePunct w:val="0"/>
                    <w:bidi w:val="0"/>
                    <w:ind w:firstLine="0" w:firstLineChars="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i w:val="0"/>
                      <w:iCs w:val="0"/>
                      <w:color w:val="auto"/>
                      <w:kern w:val="0"/>
                      <w:sz w:val="21"/>
                      <w:szCs w:val="21"/>
                      <w:highlight w:val="none"/>
                      <w:u w:val="none"/>
                      <w:lang w:val="en-US" w:eastAsia="zh-CN" w:bidi="ar"/>
                    </w:rPr>
                    <w:t>0.009</w:t>
                  </w:r>
                </w:p>
              </w:tc>
              <w:tc>
                <w:tcPr>
                  <w:tcW w:w="1535" w:type="pct"/>
                  <w:tcBorders>
                    <w:tl2br w:val="nil"/>
                    <w:tr2bl w:val="nil"/>
                  </w:tcBorders>
                  <w:noWrap w:val="0"/>
                  <w:vAlign w:val="center"/>
                </w:tcPr>
                <w:p w14:paraId="0B6340CD">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0.06</w:t>
                  </w:r>
                </w:p>
              </w:tc>
              <w:tc>
                <w:tcPr>
                  <w:tcW w:w="1266" w:type="pct"/>
                  <w:tcBorders>
                    <w:tl2br w:val="nil"/>
                    <w:tr2bl w:val="nil"/>
                  </w:tcBorders>
                  <w:noWrap w:val="0"/>
                  <w:vAlign w:val="center"/>
                </w:tcPr>
                <w:p w14:paraId="45BBBBCB">
                  <w:pPr>
                    <w:pStyle w:val="61"/>
                    <w:keepNext w:val="0"/>
                    <w:keepLines w:val="0"/>
                    <w:pageBreakBefore w:val="0"/>
                    <w:kinsoku/>
                    <w:wordWrap/>
                    <w:overflowPunct/>
                    <w:topLinePunct w:val="0"/>
                    <w:bidi w:val="0"/>
                    <w:adjustRightInd/>
                    <w:spacing w:line="240" w:lineRule="auto"/>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满足</w:t>
                  </w:r>
                </w:p>
              </w:tc>
            </w:tr>
            <w:tr w14:paraId="77244C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pct"/>
                  <w:tcBorders>
                    <w:tl2br w:val="nil"/>
                    <w:tr2bl w:val="nil"/>
                  </w:tcBorders>
                  <w:noWrap w:val="0"/>
                  <w:vAlign w:val="center"/>
                </w:tcPr>
                <w:p w14:paraId="15482A75">
                  <w:pPr>
                    <w:pStyle w:val="46"/>
                    <w:keepNext w:val="0"/>
                    <w:keepLines w:val="0"/>
                    <w:pageBreakBefore w:val="0"/>
                    <w:shd w:val="clear"/>
                    <w:kinsoku/>
                    <w:wordWrap/>
                    <w:overflowPunct/>
                    <w:topLinePunct w:val="0"/>
                    <w:bidi w:val="0"/>
                    <w:spacing w:beforeLines="0" w:afterLines="0" w:line="240" w:lineRule="auto"/>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氮氧化物</w:t>
                  </w:r>
                </w:p>
              </w:tc>
              <w:tc>
                <w:tcPr>
                  <w:tcW w:w="1472" w:type="pct"/>
                  <w:tcBorders>
                    <w:tl2br w:val="nil"/>
                    <w:tr2bl w:val="nil"/>
                  </w:tcBorders>
                  <w:noWrap w:val="0"/>
                  <w:vAlign w:val="center"/>
                </w:tcPr>
                <w:p w14:paraId="6DAFDF02">
                  <w:pPr>
                    <w:keepNext w:val="0"/>
                    <w:keepLines w:val="0"/>
                    <w:pageBreakBefore w:val="0"/>
                    <w:widowControl/>
                    <w:suppressLineNumbers w:val="0"/>
                    <w:kinsoku/>
                    <w:wordWrap/>
                    <w:overflowPunct/>
                    <w:topLinePunct w:val="0"/>
                    <w:bidi w:val="0"/>
                    <w:ind w:firstLine="0" w:firstLineChars="0"/>
                    <w:jc w:val="center"/>
                    <w:textAlignment w:val="center"/>
                    <w:rPr>
                      <w:rFonts w:hint="default" w:ascii="Times New Roman" w:hAnsi="Times New Roman" w:eastAsia="宋体" w:cs="Times New Roman"/>
                      <w:color w:val="auto"/>
                      <w:szCs w:val="21"/>
                      <w:highlight w:val="none"/>
                      <w:lang w:val="en-US" w:eastAsia="zh-CN"/>
                    </w:rPr>
                  </w:pPr>
                  <w:r>
                    <w:rPr>
                      <w:rFonts w:hint="eastAsia" w:cs="Times New Roman"/>
                      <w:i w:val="0"/>
                      <w:iCs w:val="0"/>
                      <w:color w:val="auto"/>
                      <w:kern w:val="0"/>
                      <w:sz w:val="21"/>
                      <w:szCs w:val="21"/>
                      <w:highlight w:val="none"/>
                      <w:u w:val="none"/>
                      <w:lang w:val="en-US" w:eastAsia="zh-CN" w:bidi="ar"/>
                    </w:rPr>
                    <w:t>0.085</w:t>
                  </w:r>
                </w:p>
              </w:tc>
              <w:tc>
                <w:tcPr>
                  <w:tcW w:w="1535" w:type="pct"/>
                  <w:tcBorders>
                    <w:tl2br w:val="nil"/>
                    <w:tr2bl w:val="nil"/>
                  </w:tcBorders>
                  <w:noWrap w:val="0"/>
                  <w:vAlign w:val="center"/>
                </w:tcPr>
                <w:p w14:paraId="45B7FDBD">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0.2</w:t>
                  </w:r>
                </w:p>
              </w:tc>
              <w:tc>
                <w:tcPr>
                  <w:tcW w:w="1266" w:type="pct"/>
                  <w:tcBorders>
                    <w:tl2br w:val="nil"/>
                    <w:tr2bl w:val="nil"/>
                  </w:tcBorders>
                  <w:noWrap w:val="0"/>
                  <w:vAlign w:val="center"/>
                </w:tcPr>
                <w:p w14:paraId="6EBEC057">
                  <w:pPr>
                    <w:pStyle w:val="61"/>
                    <w:keepNext w:val="0"/>
                    <w:keepLines w:val="0"/>
                    <w:pageBreakBefore w:val="0"/>
                    <w:kinsoku/>
                    <w:wordWrap/>
                    <w:overflowPunct/>
                    <w:topLinePunct w:val="0"/>
                    <w:bidi w:val="0"/>
                    <w:adjustRightInd/>
                    <w:spacing w:line="240" w:lineRule="auto"/>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满足</w:t>
                  </w:r>
                </w:p>
              </w:tc>
            </w:tr>
            <w:tr w14:paraId="7EB0B9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pct"/>
                  <w:tcBorders>
                    <w:tl2br w:val="nil"/>
                    <w:tr2bl w:val="nil"/>
                  </w:tcBorders>
                  <w:noWrap w:val="0"/>
                  <w:vAlign w:val="center"/>
                </w:tcPr>
                <w:p w14:paraId="27961E76">
                  <w:pPr>
                    <w:pStyle w:val="46"/>
                    <w:keepNext w:val="0"/>
                    <w:keepLines w:val="0"/>
                    <w:pageBreakBefore w:val="0"/>
                    <w:shd w:val="clear"/>
                    <w:kinsoku/>
                    <w:wordWrap/>
                    <w:overflowPunct/>
                    <w:topLinePunct w:val="0"/>
                    <w:bidi w:val="0"/>
                    <w:spacing w:beforeLines="0" w:afterLines="0" w:line="240" w:lineRule="auto"/>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VOCs</w:t>
                  </w:r>
                </w:p>
              </w:tc>
              <w:tc>
                <w:tcPr>
                  <w:tcW w:w="1472" w:type="pct"/>
                  <w:tcBorders>
                    <w:tl2br w:val="nil"/>
                    <w:tr2bl w:val="nil"/>
                  </w:tcBorders>
                  <w:noWrap w:val="0"/>
                  <w:vAlign w:val="center"/>
                </w:tcPr>
                <w:p w14:paraId="12398DA5">
                  <w:pPr>
                    <w:keepNext w:val="0"/>
                    <w:keepLines w:val="0"/>
                    <w:pageBreakBefore w:val="0"/>
                    <w:widowControl/>
                    <w:suppressLineNumbers w:val="0"/>
                    <w:kinsoku/>
                    <w:wordWrap/>
                    <w:overflowPunct/>
                    <w:topLinePunct w:val="0"/>
                    <w:bidi w:val="0"/>
                    <w:ind w:firstLine="0" w:firstLineChars="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0.013</w:t>
                  </w:r>
                </w:p>
              </w:tc>
              <w:tc>
                <w:tcPr>
                  <w:tcW w:w="1535" w:type="pct"/>
                  <w:tcBorders>
                    <w:tl2br w:val="nil"/>
                    <w:tr2bl w:val="nil"/>
                  </w:tcBorders>
                  <w:noWrap w:val="0"/>
                  <w:vAlign w:val="center"/>
                </w:tcPr>
                <w:p w14:paraId="3028C8C6">
                  <w:pPr>
                    <w:keepNext w:val="0"/>
                    <w:keepLines w:val="0"/>
                    <w:pageBreakBefore w:val="0"/>
                    <w:widowControl/>
                    <w:suppressLineNumbers w:val="0"/>
                    <w:kinsoku/>
                    <w:wordWrap/>
                    <w:overflowPunct/>
                    <w:topLinePunct w:val="0"/>
                    <w:bidi w:val="0"/>
                    <w:ind w:firstLine="0" w:firstLineChars="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0</w:t>
                  </w:r>
                </w:p>
              </w:tc>
              <w:tc>
                <w:tcPr>
                  <w:tcW w:w="1266" w:type="pct"/>
                  <w:tcBorders>
                    <w:tl2br w:val="nil"/>
                    <w:tr2bl w:val="nil"/>
                  </w:tcBorders>
                  <w:noWrap w:val="0"/>
                  <w:vAlign w:val="center"/>
                </w:tcPr>
                <w:p w14:paraId="7F42C682">
                  <w:pPr>
                    <w:pStyle w:val="61"/>
                    <w:keepNext w:val="0"/>
                    <w:keepLines w:val="0"/>
                    <w:pageBreakBefore w:val="0"/>
                    <w:kinsoku/>
                    <w:wordWrap/>
                    <w:overflowPunct/>
                    <w:topLinePunct w:val="0"/>
                    <w:bidi w:val="0"/>
                    <w:adjustRightInd/>
                    <w:spacing w:line="240" w:lineRule="auto"/>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不满足</w:t>
                  </w:r>
                </w:p>
              </w:tc>
            </w:tr>
          </w:tbl>
          <w:p w14:paraId="36A4433D">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综上</w:t>
            </w:r>
            <w:r>
              <w:rPr>
                <w:rFonts w:hint="eastAsia" w:ascii="Times New Roman" w:hAnsi="Times New Roman" w:eastAsia="宋体" w:cs="Times New Roman"/>
                <w:b w:val="0"/>
                <w:bCs w:val="0"/>
                <w:color w:val="auto"/>
                <w:kern w:val="0"/>
                <w:sz w:val="24"/>
                <w:szCs w:val="24"/>
                <w:highlight w:val="none"/>
                <w:lang w:val="en-US" w:eastAsia="zh-CN"/>
              </w:rPr>
              <w:t>所述</w:t>
            </w:r>
            <w:r>
              <w:rPr>
                <w:rFonts w:hint="default" w:ascii="Times New Roman" w:hAnsi="Times New Roman" w:eastAsia="宋体" w:cs="Times New Roman"/>
                <w:b w:val="0"/>
                <w:bCs w:val="0"/>
                <w:color w:val="auto"/>
                <w:kern w:val="0"/>
                <w:sz w:val="24"/>
                <w:szCs w:val="24"/>
                <w:highlight w:val="none"/>
                <w:lang w:val="en-US" w:eastAsia="zh-CN"/>
              </w:rPr>
              <w:t>，本项目</w:t>
            </w:r>
            <w:r>
              <w:rPr>
                <w:rFonts w:hint="eastAsia" w:ascii="Times New Roman" w:hAnsi="Times New Roman" w:eastAsia="宋体" w:cs="Times New Roman"/>
                <w:b w:val="0"/>
                <w:bCs w:val="0"/>
                <w:color w:val="auto"/>
                <w:kern w:val="0"/>
                <w:sz w:val="24"/>
                <w:szCs w:val="24"/>
                <w:highlight w:val="none"/>
                <w:lang w:val="en-US" w:eastAsia="zh-CN"/>
              </w:rPr>
              <w:t>需申请总量控制指标为：</w:t>
            </w:r>
            <w:r>
              <w:rPr>
                <w:rFonts w:hint="default" w:ascii="Times New Roman" w:hAnsi="Times New Roman" w:eastAsia="宋体" w:cs="Times New Roman"/>
                <w:b w:val="0"/>
                <w:bCs w:val="0"/>
                <w:color w:val="auto"/>
                <w:kern w:val="0"/>
                <w:sz w:val="24"/>
                <w:szCs w:val="24"/>
                <w:highlight w:val="none"/>
                <w:lang w:val="en-US" w:eastAsia="zh-CN"/>
              </w:rPr>
              <w:t>VOCs0.013t/a</w:t>
            </w:r>
            <w:r>
              <w:rPr>
                <w:rFonts w:hint="eastAsia" w:ascii="Times New Roman" w:hAnsi="Times New Roman" w:eastAsia="宋体" w:cs="Times New Roman"/>
                <w:b w:val="0"/>
                <w:bCs w:val="0"/>
                <w:color w:val="auto"/>
                <w:kern w:val="0"/>
                <w:sz w:val="24"/>
                <w:szCs w:val="24"/>
                <w:highlight w:val="none"/>
                <w:lang w:val="en-US" w:eastAsia="zh-CN"/>
              </w:rPr>
              <w:t>；需要替代的污染物的量为：VOCs0.026t/a</w:t>
            </w:r>
            <w:r>
              <w:rPr>
                <w:rFonts w:hint="default" w:ascii="Times New Roman" w:hAnsi="Times New Roman" w:eastAsia="宋体" w:cs="Times New Roman"/>
                <w:b w:val="0"/>
                <w:bCs w:val="0"/>
                <w:color w:val="auto"/>
                <w:kern w:val="0"/>
                <w:sz w:val="24"/>
                <w:szCs w:val="24"/>
                <w:highlight w:val="none"/>
                <w:lang w:val="en-US" w:eastAsia="zh-CN"/>
              </w:rPr>
              <w:t>。</w:t>
            </w:r>
          </w:p>
          <w:p w14:paraId="775F238F">
            <w:pPr>
              <w:keepNext w:val="0"/>
              <w:keepLines w:val="0"/>
              <w:pageBreakBefore w:val="0"/>
              <w:widowControl w:val="0"/>
              <w:shd w:val="clear"/>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b w:val="0"/>
                <w:bCs w:val="0"/>
                <w:color w:val="auto"/>
                <w:kern w:val="0"/>
                <w:sz w:val="24"/>
                <w:szCs w:val="24"/>
                <w:highlight w:val="none"/>
                <w:lang w:val="en-US" w:eastAsia="zh-CN"/>
              </w:rPr>
            </w:pPr>
          </w:p>
          <w:p w14:paraId="6BA19D85">
            <w:pPr>
              <w:keepNext w:val="0"/>
              <w:keepLines w:val="0"/>
              <w:pageBreakBefore w:val="0"/>
              <w:widowControl w:val="0"/>
              <w:shd w:val="clear"/>
              <w:kinsoku/>
              <w:wordWrap/>
              <w:overflowPunct/>
              <w:topLinePunct w:val="0"/>
              <w:autoSpaceDE/>
              <w:autoSpaceDN/>
              <w:bidi w:val="0"/>
              <w:adjustRightInd w:val="0"/>
              <w:snapToGrid w:val="0"/>
              <w:spacing w:line="480" w:lineRule="exact"/>
              <w:jc w:val="both"/>
              <w:textAlignment w:val="auto"/>
              <w:rPr>
                <w:rFonts w:hint="default" w:ascii="Times New Roman" w:hAnsi="Times New Roman" w:eastAsia="宋体" w:cs="Times New Roman"/>
                <w:bCs/>
                <w:color w:val="auto"/>
                <w:sz w:val="24"/>
                <w:szCs w:val="24"/>
                <w:highlight w:val="none"/>
                <w:lang w:val="en-US" w:eastAsia="zh-CN"/>
              </w:rPr>
            </w:pPr>
          </w:p>
          <w:p w14:paraId="029F3675">
            <w:pPr>
              <w:keepNext w:val="0"/>
              <w:keepLines w:val="0"/>
              <w:pageBreakBefore w:val="0"/>
              <w:widowControl w:val="0"/>
              <w:shd w:val="clear"/>
              <w:kinsoku/>
              <w:wordWrap/>
              <w:overflowPunct/>
              <w:topLinePunct w:val="0"/>
              <w:autoSpaceDE/>
              <w:autoSpaceDN/>
              <w:bidi w:val="0"/>
              <w:adjustRightInd w:val="0"/>
              <w:snapToGrid w:val="0"/>
              <w:spacing w:line="480" w:lineRule="exact"/>
              <w:jc w:val="both"/>
              <w:textAlignment w:val="auto"/>
              <w:rPr>
                <w:rFonts w:hint="default" w:ascii="Times New Roman" w:hAnsi="Times New Roman" w:eastAsia="宋体" w:cs="Times New Roman"/>
                <w:bCs/>
                <w:color w:val="auto"/>
                <w:sz w:val="24"/>
                <w:szCs w:val="24"/>
                <w:highlight w:val="none"/>
                <w:lang w:val="en-US" w:eastAsia="zh-CN"/>
              </w:rPr>
            </w:pPr>
          </w:p>
        </w:tc>
      </w:tr>
    </w:tbl>
    <w:p w14:paraId="012DF67D">
      <w:pPr>
        <w:pStyle w:val="21"/>
        <w:shd w:val="clear"/>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6"/>
          <w:szCs w:val="36"/>
          <w:highlight w:val="none"/>
        </w:rPr>
        <w:br w:type="page"/>
      </w:r>
      <w:r>
        <w:rPr>
          <w:rFonts w:hint="default" w:ascii="Times New Roman" w:hAnsi="Times New Roman" w:eastAsia="黑体" w:cs="Times New Roman"/>
          <w:snapToGrid w:val="0"/>
          <w:color w:val="auto"/>
          <w:sz w:val="30"/>
          <w:szCs w:val="30"/>
          <w:highlight w:val="none"/>
        </w:rPr>
        <w:t>四、主要环境影响和保护措施</w:t>
      </w:r>
    </w:p>
    <w:tbl>
      <w:tblPr>
        <w:tblStyle w:val="2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9"/>
        <w:gridCol w:w="8359"/>
      </w:tblGrid>
      <w:tr w14:paraId="4FD66E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9" w:type="dxa"/>
            <w:noWrap w:val="0"/>
            <w:tcMar>
              <w:left w:w="28" w:type="dxa"/>
              <w:right w:w="28" w:type="dxa"/>
            </w:tcMar>
            <w:vAlign w:val="center"/>
          </w:tcPr>
          <w:p w14:paraId="0E949625">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施工期环境保护措施</w:t>
            </w:r>
          </w:p>
        </w:tc>
        <w:tc>
          <w:tcPr>
            <w:tcW w:w="8359" w:type="dxa"/>
            <w:noWrap w:val="0"/>
            <w:vAlign w:val="center"/>
          </w:tcPr>
          <w:p w14:paraId="3FF007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val="en-US" w:eastAsia="zh-CN"/>
              </w:rPr>
              <w:t>依托现有厂房建设</w:t>
            </w:r>
            <w:r>
              <w:rPr>
                <w:rFonts w:hint="default" w:ascii="Times New Roman" w:hAnsi="Times New Roman" w:eastAsia="宋体" w:cs="Times New Roman"/>
                <w:color w:val="auto"/>
                <w:sz w:val="24"/>
                <w:szCs w:val="24"/>
              </w:rPr>
              <w:t>，构筑物已建成，仅对构筑物进行装修改造</w:t>
            </w:r>
            <w:r>
              <w:rPr>
                <w:rFonts w:hint="default" w:ascii="Times New Roman" w:hAnsi="Times New Roman" w:eastAsia="宋体" w:cs="Times New Roman"/>
                <w:color w:val="auto"/>
                <w:sz w:val="24"/>
                <w:szCs w:val="24"/>
                <w:lang w:val="en-US" w:eastAsia="zh-CN"/>
              </w:rPr>
              <w:t>及设备安装</w:t>
            </w:r>
            <w:r>
              <w:rPr>
                <w:rFonts w:hint="default" w:ascii="Times New Roman" w:hAnsi="Times New Roman" w:eastAsia="宋体" w:cs="Times New Roman"/>
                <w:color w:val="auto"/>
                <w:sz w:val="24"/>
                <w:szCs w:val="24"/>
              </w:rPr>
              <w:t>。施工期产生的污染物主要为装修废气、施工扬尘、施工噪声、施工人员产生的生活污水、废建筑材料和生活垃圾等，污染物产生量较少。经过合理处置后对周边环境影响较小，且项目施工期影响是暂时的，随着施工活动结束而消失。</w:t>
            </w:r>
          </w:p>
          <w:p w14:paraId="7F17F28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1、废气环境影响</w:t>
            </w:r>
          </w:p>
          <w:p w14:paraId="537C09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本项目施工期废气主要为装修粉刷产生的挥发性有机物和</w:t>
            </w:r>
            <w:r>
              <w:rPr>
                <w:rFonts w:hint="default" w:ascii="Times New Roman" w:hAnsi="Times New Roman" w:eastAsia="宋体" w:cs="Times New Roman"/>
                <w:color w:val="auto"/>
                <w:sz w:val="24"/>
                <w:szCs w:val="24"/>
                <w:lang w:val="en-US" w:eastAsia="zh-CN"/>
              </w:rPr>
              <w:t>施工</w:t>
            </w:r>
            <w:r>
              <w:rPr>
                <w:rFonts w:hint="default" w:ascii="Times New Roman" w:hAnsi="Times New Roman" w:eastAsia="宋体" w:cs="Times New Roman"/>
                <w:color w:val="auto"/>
                <w:sz w:val="24"/>
                <w:szCs w:val="24"/>
              </w:rPr>
              <w:t>过程中产生的扬尘。装修过程使用绿色环保型涂装材料，产生的有机废气量较小。随着施工期的结束而消失。</w:t>
            </w:r>
          </w:p>
          <w:p w14:paraId="637D94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施工</w:t>
            </w:r>
            <w:r>
              <w:rPr>
                <w:rFonts w:hint="default" w:ascii="Times New Roman" w:hAnsi="Times New Roman" w:eastAsia="宋体" w:cs="Times New Roman"/>
                <w:color w:val="auto"/>
                <w:sz w:val="24"/>
                <w:szCs w:val="24"/>
              </w:rPr>
              <w:t>过程中会产生扬尘，需严格落</w:t>
            </w:r>
            <w:r>
              <w:rPr>
                <w:rFonts w:hint="default" w:ascii="Times New Roman" w:hAnsi="Times New Roman" w:eastAsia="宋体" w:cs="Times New Roman"/>
                <w:color w:val="auto"/>
                <w:sz w:val="24"/>
                <w:szCs w:val="24"/>
                <w:lang w:val="en-US" w:eastAsia="zh-CN"/>
              </w:rPr>
              <w:t>实以下</w:t>
            </w:r>
            <w:r>
              <w:rPr>
                <w:rFonts w:hint="default" w:ascii="Times New Roman" w:hAnsi="Times New Roman" w:eastAsia="宋体" w:cs="Times New Roman"/>
                <w:color w:val="auto"/>
                <w:sz w:val="24"/>
                <w:szCs w:val="24"/>
              </w:rPr>
              <w:t>要求</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施工现场围挡、工地砂土(沙场)覆盖、工地路面硬化、拆除工程洒水、出工地运输车辆冲净且密闭</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通过采取上述措施，施工扬尘产生量较少，随着施工活动结束而消失。</w:t>
            </w:r>
          </w:p>
          <w:p w14:paraId="6516D72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2 、噪声环境影响</w:t>
            </w:r>
          </w:p>
          <w:p w14:paraId="2AE0EE1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施工期噪声主要是室内装修机械噪声和施工人员活动噪声，采取以下措施以避免或减缓此不利影响：</w:t>
            </w:r>
          </w:p>
          <w:p w14:paraId="4E8CA6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（1）采用较先进、噪声较低的施工设备；</w:t>
            </w:r>
          </w:p>
          <w:p w14:paraId="460F2B9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（2）将噪声级大的工作尽量安排在白天，夜间进行噪声较小的施工，对打桩机等主要噪声源应禁止其在夜间22：00后施工；</w:t>
            </w:r>
          </w:p>
          <w:p w14:paraId="5040E2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禁止夜间运行的设备应严格执行有关规定，若必须夜间施工，须先向环保部门申报并征得许可，同时事先通知周围居民，以取得谅解；</w:t>
            </w:r>
          </w:p>
          <w:p w14:paraId="25EC2F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（4）将有固定工作地点的施工机械尽量设置在距居民区较远的位置，并采取适当的封闭和隔声措施。</w:t>
            </w:r>
          </w:p>
          <w:p w14:paraId="4FE8D17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3、废水环境影响</w:t>
            </w:r>
          </w:p>
          <w:p w14:paraId="3E9C30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施工期废水主要为施工人员的生活污水以及施工本身产生的废水，经化粪池处理后达标排放。</w:t>
            </w:r>
          </w:p>
          <w:p w14:paraId="62B48F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color w:val="auto"/>
                <w:sz w:val="24"/>
                <w:szCs w:val="24"/>
              </w:rPr>
            </w:pPr>
            <w:r>
              <w:rPr>
                <w:rFonts w:hint="default" w:ascii="Times New Roman" w:hAnsi="Times New Roman" w:eastAsia="宋体" w:cs="Times New Roman"/>
                <w:color w:val="auto"/>
                <w:sz w:val="24"/>
                <w:szCs w:val="24"/>
              </w:rPr>
              <w:t>4</w:t>
            </w:r>
            <w:r>
              <w:rPr>
                <w:rFonts w:hint="default" w:ascii="Times New Roman" w:hAnsi="Times New Roman" w:eastAsia="黑体" w:cs="Times New Roman"/>
                <w:color w:val="auto"/>
                <w:sz w:val="24"/>
                <w:szCs w:val="24"/>
              </w:rPr>
              <w:t>、固体废物环境影响</w:t>
            </w:r>
          </w:p>
          <w:p w14:paraId="641734C0">
            <w:pPr>
              <w:keepNext w:val="0"/>
              <w:keepLines w:val="0"/>
              <w:pageBreakBefore w:val="0"/>
              <w:widowControl w:val="0"/>
              <w:shd w:val="clear" w:color="auto"/>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color w:val="auto"/>
                <w:sz w:val="24"/>
                <w:szCs w:val="24"/>
              </w:rPr>
              <w:t>施工期固体废物主要包括少量的施工人员生活垃圾和废建筑材料，固体废物定点存放，集中收集清运处置。由于本项目施工期较短，各类污染物的产生量较小，在采取相应的防治措施后，对周围环境的影响很小，并会随施工期的结束而消失。</w:t>
            </w:r>
          </w:p>
        </w:tc>
      </w:tr>
      <w:tr w14:paraId="0B23B9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549" w:type="dxa"/>
            <w:noWrap w:val="0"/>
            <w:tcMar>
              <w:left w:w="28" w:type="dxa"/>
              <w:right w:w="28" w:type="dxa"/>
            </w:tcMar>
            <w:vAlign w:val="center"/>
          </w:tcPr>
          <w:p w14:paraId="4218B428">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atLeas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运营期环境影响和保护措施</w:t>
            </w:r>
          </w:p>
        </w:tc>
        <w:tc>
          <w:tcPr>
            <w:tcW w:w="8359" w:type="dxa"/>
            <w:noWrap w:val="0"/>
            <w:vAlign w:val="center"/>
          </w:tcPr>
          <w:p w14:paraId="091118C4">
            <w:pPr>
              <w:spacing w:line="360" w:lineRule="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一、废气</w:t>
            </w:r>
          </w:p>
          <w:p w14:paraId="3BF1B858">
            <w:pPr>
              <w:spacing w:line="360" w:lineRule="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1.废气产生、排放情况简述</w:t>
            </w:r>
          </w:p>
          <w:p w14:paraId="539D5FEE">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1、废气产生、排放情况简述</w:t>
            </w:r>
          </w:p>
          <w:p w14:paraId="6D125DFE">
            <w:p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现有项目主要废气为铝铁红配料、球磨、微粉过筛废气及烘干废气。配料</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球磨、微粉过筛</w:t>
            </w:r>
            <w:r>
              <w:rPr>
                <w:rFonts w:hint="default" w:ascii="Times New Roman" w:hAnsi="Times New Roman" w:eastAsia="宋体" w:cs="Times New Roman"/>
                <w:color w:val="auto"/>
                <w:sz w:val="24"/>
                <w:szCs w:val="24"/>
                <w:highlight w:val="none"/>
                <w:lang w:val="en-US" w:eastAsia="zh-CN"/>
              </w:rPr>
              <w:t>工序产生颗粒物，经集气罩收集后，进入袋式除尘器（TA001）处理，通过一根15米高排气筒（DA001）排放；</w:t>
            </w:r>
            <w:r>
              <w:rPr>
                <w:rFonts w:hint="default" w:ascii="Times New Roman" w:hAnsi="Times New Roman" w:cs="Times New Roman"/>
                <w:color w:val="auto"/>
                <w:sz w:val="24"/>
                <w:szCs w:val="24"/>
                <w:highlight w:val="none"/>
                <w:lang w:val="en-US" w:eastAsia="zh-CN"/>
              </w:rPr>
              <w:t>烘干工序</w:t>
            </w:r>
            <w:r>
              <w:rPr>
                <w:rFonts w:hint="default" w:ascii="Times New Roman" w:hAnsi="Times New Roman" w:eastAsia="宋体" w:cs="Times New Roman"/>
                <w:color w:val="auto"/>
                <w:sz w:val="24"/>
                <w:szCs w:val="24"/>
                <w:highlight w:val="none"/>
                <w:lang w:val="en-US" w:eastAsia="zh-CN"/>
              </w:rPr>
              <w:t>天然气燃烧产生颗粒物、二氧化硫、氮氧化物，</w:t>
            </w:r>
            <w:r>
              <w:rPr>
                <w:rFonts w:hint="eastAsia" w:cs="Times New Roman"/>
                <w:color w:val="auto"/>
                <w:sz w:val="24"/>
                <w:szCs w:val="24"/>
                <w:highlight w:val="none"/>
                <w:lang w:val="en-US" w:eastAsia="zh-CN"/>
              </w:rPr>
              <w:t>采用SNCR脱硝装置处理后</w:t>
            </w:r>
            <w:r>
              <w:rPr>
                <w:rFonts w:hint="default" w:ascii="Times New Roman" w:hAnsi="Times New Roman" w:eastAsia="宋体" w:cs="Times New Roman"/>
                <w:color w:val="auto"/>
                <w:sz w:val="24"/>
                <w:szCs w:val="24"/>
                <w:highlight w:val="none"/>
                <w:lang w:val="en-US" w:eastAsia="zh-CN"/>
              </w:rPr>
              <w:t>，通过一根15米高排气筒（DA002）排放</w:t>
            </w:r>
            <w:r>
              <w:rPr>
                <w:rFonts w:hint="default" w:ascii="Times New Roman" w:hAnsi="Times New Roman" w:cs="Times New Roman"/>
                <w:color w:val="auto"/>
                <w:sz w:val="24"/>
                <w:szCs w:val="24"/>
                <w:highlight w:val="none"/>
                <w:lang w:val="en-US" w:eastAsia="zh-CN"/>
              </w:rPr>
              <w:t>。</w:t>
            </w:r>
          </w:p>
          <w:p w14:paraId="4D8F2B3D">
            <w:p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铝铁红混料、气流磨废气，陶瓷喷墨墨水配料、搅拌废气及蒸发废气。混料工序颗粒物集气罩收集，气流磨工序颗粒物密闭收集，</w:t>
            </w:r>
            <w:r>
              <w:rPr>
                <w:rFonts w:hint="default" w:ascii="Times New Roman" w:hAnsi="Times New Roman" w:eastAsia="宋体" w:cs="Times New Roman"/>
                <w:color w:val="auto"/>
                <w:sz w:val="24"/>
                <w:szCs w:val="24"/>
                <w:highlight w:val="none"/>
                <w:lang w:val="en-US" w:eastAsia="zh-CN"/>
              </w:rPr>
              <w:t>进入</w:t>
            </w:r>
            <w:r>
              <w:rPr>
                <w:rFonts w:hint="default" w:ascii="Times New Roman" w:hAnsi="Times New Roman" w:cs="Times New Roman"/>
                <w:color w:val="auto"/>
                <w:sz w:val="24"/>
                <w:szCs w:val="24"/>
                <w:highlight w:val="none"/>
                <w:lang w:val="en-US" w:eastAsia="zh-CN"/>
              </w:rPr>
              <w:t>袋式除尘器（TA002）</w:t>
            </w:r>
            <w:r>
              <w:rPr>
                <w:rFonts w:hint="default" w:ascii="Times New Roman" w:hAnsi="Times New Roman" w:eastAsia="宋体" w:cs="Times New Roman"/>
                <w:color w:val="auto"/>
                <w:sz w:val="24"/>
                <w:szCs w:val="24"/>
                <w:highlight w:val="none"/>
                <w:lang w:val="en-US" w:eastAsia="zh-CN"/>
              </w:rPr>
              <w:t>处理，通过一根15米高排气筒（DA00</w:t>
            </w:r>
            <w:r>
              <w:rPr>
                <w:rFonts w:hint="default"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）排放；</w:t>
            </w:r>
            <w:r>
              <w:rPr>
                <w:rFonts w:hint="default" w:ascii="Times New Roman" w:hAnsi="Times New Roman" w:cs="Times New Roman"/>
                <w:color w:val="auto"/>
                <w:sz w:val="24"/>
                <w:szCs w:val="24"/>
                <w:highlight w:val="none"/>
                <w:lang w:val="en-US" w:eastAsia="zh-CN"/>
              </w:rPr>
              <w:t>配料、搅拌工序颗粒物集气罩收集后，</w:t>
            </w:r>
            <w:r>
              <w:rPr>
                <w:rFonts w:hint="default" w:ascii="Times New Roman" w:hAnsi="Times New Roman" w:eastAsia="宋体" w:cs="Times New Roman"/>
                <w:color w:val="auto"/>
                <w:sz w:val="24"/>
                <w:szCs w:val="24"/>
                <w:highlight w:val="none"/>
                <w:lang w:val="en-US" w:eastAsia="zh-CN"/>
              </w:rPr>
              <w:t>进入袋式除尘器（TA00</w:t>
            </w:r>
            <w:r>
              <w:rPr>
                <w:rFonts w:hint="default"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）处理，通过一根15米高排气筒（DA00</w:t>
            </w:r>
            <w:r>
              <w:rPr>
                <w:rFonts w:hint="default"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）排放</w:t>
            </w:r>
            <w:r>
              <w:rPr>
                <w:rFonts w:hint="default" w:ascii="Times New Roman" w:hAnsi="Times New Roman" w:cs="Times New Roman"/>
                <w:color w:val="auto"/>
                <w:sz w:val="24"/>
                <w:szCs w:val="24"/>
                <w:highlight w:val="none"/>
                <w:lang w:val="en-US" w:eastAsia="zh-CN"/>
              </w:rPr>
              <w:t>；蒸发工序VOCs集气罩收集后，</w:t>
            </w:r>
            <w:r>
              <w:rPr>
                <w:rFonts w:hint="default" w:ascii="Times New Roman" w:hAnsi="Times New Roman" w:eastAsia="宋体" w:cs="Times New Roman"/>
                <w:color w:val="auto"/>
                <w:sz w:val="24"/>
                <w:szCs w:val="24"/>
                <w:highlight w:val="none"/>
                <w:lang w:val="en-US" w:eastAsia="zh-CN"/>
              </w:rPr>
              <w:t>进入除雾器+二级活性炭（</w:t>
            </w:r>
            <w:r>
              <w:rPr>
                <w:rFonts w:hint="eastAsia" w:cs="Times New Roman"/>
                <w:color w:val="auto"/>
                <w:sz w:val="24"/>
                <w:szCs w:val="24"/>
                <w:highlight w:val="none"/>
                <w:lang w:val="en-US" w:eastAsia="zh-CN"/>
              </w:rPr>
              <w:t>TA005</w:t>
            </w:r>
            <w:r>
              <w:rPr>
                <w:rFonts w:hint="default" w:ascii="Times New Roman" w:hAnsi="Times New Roman" w:eastAsia="宋体" w:cs="Times New Roman"/>
                <w:color w:val="auto"/>
                <w:sz w:val="24"/>
                <w:szCs w:val="24"/>
                <w:highlight w:val="none"/>
                <w:lang w:val="en-US" w:eastAsia="zh-CN"/>
              </w:rPr>
              <w:t>）处理，通过一根15米高排气筒（DA00</w:t>
            </w:r>
            <w:r>
              <w:rPr>
                <w:rFonts w:hint="default"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）排放</w:t>
            </w:r>
            <w:r>
              <w:rPr>
                <w:rFonts w:hint="default" w:ascii="Times New Roman" w:hAnsi="Times New Roman" w:cs="Times New Roman"/>
                <w:color w:val="auto"/>
                <w:sz w:val="24"/>
                <w:szCs w:val="24"/>
                <w:highlight w:val="none"/>
                <w:lang w:val="en-US" w:eastAsia="zh-CN"/>
              </w:rPr>
              <w:t>。</w:t>
            </w:r>
          </w:p>
          <w:p w14:paraId="4375C38A">
            <w:pPr>
              <w:pStyle w:val="30"/>
              <w:jc w:val="center"/>
              <w:rPr>
                <w:rFonts w:hint="default" w:ascii="Times New Roman" w:hAnsi="Times New Roman" w:eastAsia="宋体" w:cs="Times New Roman"/>
                <w:b w:val="0"/>
                <w:bCs w:val="0"/>
                <w:color w:val="auto"/>
                <w:kern w:val="0"/>
                <w:sz w:val="24"/>
                <w:szCs w:val="24"/>
                <w:highlight w:val="none"/>
                <w:lang w:val="en-US" w:eastAsia="zh-CN"/>
              </w:rPr>
            </w:pPr>
            <w:r>
              <w:rPr>
                <w:color w:val="auto"/>
              </w:rPr>
              <w:drawing>
                <wp:inline distT="0" distB="0" distL="114300" distR="114300">
                  <wp:extent cx="4081145" cy="2520315"/>
                  <wp:effectExtent l="0" t="0" r="0" b="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4"/>
                          <a:srcRect l="6958" t="24829" r="39427" b="21029"/>
                          <a:stretch>
                            <a:fillRect/>
                          </a:stretch>
                        </pic:blipFill>
                        <pic:spPr>
                          <a:xfrm>
                            <a:off x="0" y="0"/>
                            <a:ext cx="4081145" cy="2520315"/>
                          </a:xfrm>
                          <a:prstGeom prst="rect">
                            <a:avLst/>
                          </a:prstGeom>
                          <a:noFill/>
                          <a:ln>
                            <a:noFill/>
                          </a:ln>
                        </pic:spPr>
                      </pic:pic>
                    </a:graphicData>
                  </a:graphic>
                </wp:inline>
              </w:drawing>
            </w:r>
          </w:p>
        </w:tc>
      </w:tr>
    </w:tbl>
    <w:p w14:paraId="72FFC7B1">
      <w:pPr>
        <w:keepNext w:val="0"/>
        <w:keepLines w:val="0"/>
        <w:pageBreakBefore w:val="0"/>
        <w:shd w:val="clear"/>
        <w:kinsoku/>
        <w:wordWrap/>
        <w:overflowPunct/>
        <w:topLinePunct w:val="0"/>
        <w:autoSpaceDE/>
        <w:autoSpaceDN/>
        <w:bidi w:val="0"/>
        <w:spacing w:line="480" w:lineRule="atLeast"/>
        <w:textAlignment w:val="auto"/>
        <w:rPr>
          <w:rFonts w:hint="default" w:ascii="Times New Roman" w:hAnsi="Times New Roman" w:cs="Times New Roman"/>
          <w:color w:val="auto"/>
          <w:sz w:val="24"/>
          <w:szCs w:val="24"/>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12754"/>
      </w:tblGrid>
      <w:tr w14:paraId="7BBCD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5" w:hRule="atLeast"/>
        </w:trPr>
        <w:tc>
          <w:tcPr>
            <w:tcW w:w="474" w:type="dxa"/>
            <w:vAlign w:val="center"/>
          </w:tcPr>
          <w:p w14:paraId="1FF3D645">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atLeast"/>
              <w:jc w:val="center"/>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rPr>
              <w:t>运营期环境影响和保护措施</w:t>
            </w:r>
          </w:p>
        </w:tc>
        <w:tc>
          <w:tcPr>
            <w:tcW w:w="12754" w:type="dxa"/>
          </w:tcPr>
          <w:p w14:paraId="365B58EB">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2、排放口信息</w:t>
            </w:r>
          </w:p>
          <w:p w14:paraId="502F387B">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表4-1  项目排放口基本情况表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10"/>
              <w:gridCol w:w="739"/>
              <w:gridCol w:w="737"/>
              <w:gridCol w:w="997"/>
              <w:gridCol w:w="1132"/>
              <w:gridCol w:w="1228"/>
              <w:gridCol w:w="562"/>
              <w:gridCol w:w="982"/>
              <w:gridCol w:w="751"/>
              <w:gridCol w:w="2526"/>
              <w:gridCol w:w="1157"/>
              <w:gridCol w:w="1019"/>
            </w:tblGrid>
            <w:tr w14:paraId="5A49C5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vMerge w:val="restart"/>
                  <w:tcBorders>
                    <w:tl2br w:val="nil"/>
                    <w:tr2bl w:val="nil"/>
                  </w:tcBorders>
                  <w:noWrap w:val="0"/>
                  <w:vAlign w:val="center"/>
                </w:tcPr>
                <w:p w14:paraId="72206E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排放口编号</w:t>
                  </w:r>
                </w:p>
              </w:tc>
              <w:tc>
                <w:tcPr>
                  <w:tcW w:w="294" w:type="pct"/>
                  <w:vMerge w:val="restart"/>
                  <w:tcBorders>
                    <w:tl2br w:val="nil"/>
                    <w:tr2bl w:val="nil"/>
                  </w:tcBorders>
                  <w:noWrap w:val="0"/>
                  <w:vAlign w:val="center"/>
                </w:tcPr>
                <w:p w14:paraId="1D5996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排放口名称</w:t>
                  </w:r>
                </w:p>
              </w:tc>
              <w:tc>
                <w:tcPr>
                  <w:tcW w:w="293" w:type="pct"/>
                  <w:vMerge w:val="restart"/>
                  <w:tcBorders>
                    <w:tl2br w:val="nil"/>
                    <w:tr2bl w:val="nil"/>
                  </w:tcBorders>
                  <w:noWrap w:val="0"/>
                  <w:vAlign w:val="center"/>
                </w:tcPr>
                <w:p w14:paraId="288ABB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排放口类型</w:t>
                  </w:r>
                </w:p>
              </w:tc>
              <w:tc>
                <w:tcPr>
                  <w:tcW w:w="397" w:type="pct"/>
                  <w:vMerge w:val="restart"/>
                  <w:tcBorders>
                    <w:tl2br w:val="nil"/>
                    <w:tr2bl w:val="nil"/>
                  </w:tcBorders>
                  <w:noWrap w:val="0"/>
                  <w:vAlign w:val="center"/>
                </w:tcPr>
                <w:p w14:paraId="02FB4D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p w14:paraId="12622F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种类</w:t>
                  </w:r>
                </w:p>
              </w:tc>
              <w:tc>
                <w:tcPr>
                  <w:tcW w:w="940" w:type="pct"/>
                  <w:gridSpan w:val="2"/>
                  <w:tcBorders>
                    <w:tl2br w:val="nil"/>
                    <w:tr2bl w:val="nil"/>
                  </w:tcBorders>
                  <w:noWrap w:val="0"/>
                  <w:vAlign w:val="center"/>
                </w:tcPr>
                <w:p w14:paraId="6401D2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排放口地理坐标</w:t>
                  </w:r>
                </w:p>
              </w:tc>
              <w:tc>
                <w:tcPr>
                  <w:tcW w:w="915" w:type="pct"/>
                  <w:gridSpan w:val="3"/>
                  <w:tcBorders>
                    <w:tl2br w:val="nil"/>
                    <w:tr2bl w:val="nil"/>
                  </w:tcBorders>
                  <w:noWrap w:val="0"/>
                  <w:vAlign w:val="center"/>
                </w:tcPr>
                <w:p w14:paraId="595E61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排气筒</w:t>
                  </w:r>
                </w:p>
              </w:tc>
              <w:tc>
                <w:tcPr>
                  <w:tcW w:w="1874" w:type="pct"/>
                  <w:gridSpan w:val="3"/>
                  <w:tcBorders>
                    <w:tl2br w:val="nil"/>
                    <w:tr2bl w:val="nil"/>
                  </w:tcBorders>
                  <w:noWrap w:val="0"/>
                  <w:vAlign w:val="top"/>
                </w:tcPr>
                <w:p w14:paraId="58DC80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国家或地方污染物排放标准</w:t>
                  </w:r>
                </w:p>
              </w:tc>
            </w:tr>
            <w:tr w14:paraId="38C0C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vMerge w:val="continue"/>
                  <w:tcBorders>
                    <w:tl2br w:val="nil"/>
                    <w:tr2bl w:val="nil"/>
                  </w:tcBorders>
                  <w:noWrap w:val="0"/>
                  <w:vAlign w:val="center"/>
                </w:tcPr>
                <w:p w14:paraId="3458F4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294" w:type="pct"/>
                  <w:vMerge w:val="continue"/>
                  <w:tcBorders>
                    <w:tl2br w:val="nil"/>
                    <w:tr2bl w:val="nil"/>
                  </w:tcBorders>
                  <w:noWrap w:val="0"/>
                  <w:vAlign w:val="center"/>
                </w:tcPr>
                <w:p w14:paraId="25C276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293" w:type="pct"/>
                  <w:vMerge w:val="continue"/>
                  <w:tcBorders>
                    <w:tl2br w:val="nil"/>
                    <w:tr2bl w:val="nil"/>
                  </w:tcBorders>
                  <w:noWrap w:val="0"/>
                  <w:vAlign w:val="center"/>
                </w:tcPr>
                <w:p w14:paraId="2C79CB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397" w:type="pct"/>
                  <w:vMerge w:val="continue"/>
                  <w:tcBorders>
                    <w:tl2br w:val="nil"/>
                    <w:tr2bl w:val="nil"/>
                  </w:tcBorders>
                  <w:noWrap w:val="0"/>
                  <w:vAlign w:val="center"/>
                </w:tcPr>
                <w:p w14:paraId="4D18A3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451" w:type="pct"/>
                  <w:tcBorders>
                    <w:tl2br w:val="nil"/>
                    <w:tr2bl w:val="nil"/>
                  </w:tcBorders>
                  <w:noWrap w:val="0"/>
                  <w:vAlign w:val="center"/>
                </w:tcPr>
                <w:p w14:paraId="166309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489" w:type="pct"/>
                  <w:tcBorders>
                    <w:tl2br w:val="nil"/>
                    <w:tr2bl w:val="nil"/>
                  </w:tcBorders>
                  <w:noWrap w:val="0"/>
                  <w:vAlign w:val="center"/>
                </w:tcPr>
                <w:p w14:paraId="537B75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224" w:type="pct"/>
                  <w:tcBorders>
                    <w:tl2br w:val="nil"/>
                    <w:tr2bl w:val="nil"/>
                  </w:tcBorders>
                  <w:noWrap w:val="0"/>
                  <w:vAlign w:val="center"/>
                </w:tcPr>
                <w:p w14:paraId="394B2A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高度（m）</w:t>
                  </w:r>
                </w:p>
              </w:tc>
              <w:tc>
                <w:tcPr>
                  <w:tcW w:w="391" w:type="pct"/>
                  <w:tcBorders>
                    <w:tl2br w:val="nil"/>
                    <w:tr2bl w:val="nil"/>
                  </w:tcBorders>
                  <w:noWrap w:val="0"/>
                  <w:vAlign w:val="center"/>
                </w:tcPr>
                <w:p w14:paraId="703C73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出口内径（m）</w:t>
                  </w:r>
                </w:p>
              </w:tc>
              <w:tc>
                <w:tcPr>
                  <w:tcW w:w="299" w:type="pct"/>
                  <w:tcBorders>
                    <w:tl2br w:val="nil"/>
                    <w:tr2bl w:val="nil"/>
                  </w:tcBorders>
                  <w:noWrap w:val="0"/>
                  <w:vAlign w:val="center"/>
                </w:tcPr>
                <w:p w14:paraId="69C9C2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温度℃</w:t>
                  </w:r>
                </w:p>
              </w:tc>
              <w:tc>
                <w:tcPr>
                  <w:tcW w:w="1007" w:type="pct"/>
                  <w:tcBorders>
                    <w:tl2br w:val="nil"/>
                    <w:tr2bl w:val="nil"/>
                  </w:tcBorders>
                  <w:noWrap w:val="0"/>
                  <w:vAlign w:val="center"/>
                </w:tcPr>
                <w:p w14:paraId="1EFBF4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461" w:type="pct"/>
                  <w:tcBorders>
                    <w:tl2br w:val="nil"/>
                    <w:tr2bl w:val="nil"/>
                  </w:tcBorders>
                  <w:noWrap w:val="0"/>
                  <w:vAlign w:val="center"/>
                </w:tcPr>
                <w:p w14:paraId="74A5BF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浓度限值</w:t>
                  </w:r>
                </w:p>
                <w:p w14:paraId="7AB42F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（mg/Nm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406" w:type="pct"/>
                  <w:tcBorders>
                    <w:tl2br w:val="nil"/>
                    <w:tr2bl w:val="nil"/>
                  </w:tcBorders>
                  <w:noWrap w:val="0"/>
                  <w:vAlign w:val="center"/>
                </w:tcPr>
                <w:p w14:paraId="63E305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速率限值（kg/h）</w:t>
                  </w:r>
                </w:p>
              </w:tc>
            </w:tr>
            <w:tr w14:paraId="22DD33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tcBorders>
                    <w:tl2br w:val="nil"/>
                    <w:tr2bl w:val="nil"/>
                  </w:tcBorders>
                  <w:noWrap w:val="0"/>
                  <w:vAlign w:val="center"/>
                </w:tcPr>
                <w:p w14:paraId="52FD5D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DA001</w:t>
                  </w:r>
                </w:p>
              </w:tc>
              <w:tc>
                <w:tcPr>
                  <w:tcW w:w="294" w:type="pct"/>
                  <w:tcBorders>
                    <w:tl2br w:val="nil"/>
                    <w:tr2bl w:val="nil"/>
                  </w:tcBorders>
                  <w:noWrap w:val="0"/>
                  <w:vAlign w:val="center"/>
                </w:tcPr>
                <w:p w14:paraId="096A33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DA001排气筒</w:t>
                  </w:r>
                </w:p>
              </w:tc>
              <w:tc>
                <w:tcPr>
                  <w:tcW w:w="293" w:type="pct"/>
                  <w:tcBorders>
                    <w:tl2br w:val="nil"/>
                    <w:tr2bl w:val="nil"/>
                  </w:tcBorders>
                  <w:noWrap w:val="0"/>
                  <w:vAlign w:val="center"/>
                </w:tcPr>
                <w:p w14:paraId="6AAADB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w:t>
                  </w:r>
                </w:p>
              </w:tc>
              <w:tc>
                <w:tcPr>
                  <w:tcW w:w="397" w:type="pct"/>
                  <w:tcBorders>
                    <w:tl2br w:val="nil"/>
                    <w:tr2bl w:val="nil"/>
                  </w:tcBorders>
                  <w:noWrap w:val="0"/>
                  <w:vAlign w:val="center"/>
                </w:tcPr>
                <w:p w14:paraId="704900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颗粒物</w:t>
                  </w:r>
                </w:p>
              </w:tc>
              <w:tc>
                <w:tcPr>
                  <w:tcW w:w="451" w:type="pct"/>
                  <w:tcBorders>
                    <w:tl2br w:val="nil"/>
                    <w:tr2bl w:val="nil"/>
                  </w:tcBorders>
                  <w:noWrap w:val="0"/>
                  <w:vAlign w:val="center"/>
                </w:tcPr>
                <w:p w14:paraId="3E3BE8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bCs/>
                      <w:color w:val="auto"/>
                      <w:kern w:val="0"/>
                      <w:sz w:val="21"/>
                      <w:szCs w:val="21"/>
                      <w:highlight w:val="none"/>
                      <w:lang w:val="en-US" w:eastAsia="zh-CN"/>
                    </w:rPr>
                    <w:t>117°55′43.14″</w:t>
                  </w:r>
                </w:p>
              </w:tc>
              <w:tc>
                <w:tcPr>
                  <w:tcW w:w="489" w:type="pct"/>
                  <w:tcBorders>
                    <w:tl2br w:val="nil"/>
                    <w:tr2bl w:val="nil"/>
                  </w:tcBorders>
                  <w:noWrap w:val="0"/>
                  <w:vAlign w:val="center"/>
                </w:tcPr>
                <w:p w14:paraId="05550E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bCs/>
                      <w:color w:val="auto"/>
                      <w:kern w:val="0"/>
                      <w:sz w:val="21"/>
                      <w:szCs w:val="21"/>
                      <w:highlight w:val="none"/>
                      <w:lang w:val="en-US" w:eastAsia="zh-CN"/>
                    </w:rPr>
                    <w:t>36°37′59.17</w:t>
                  </w:r>
                  <w:r>
                    <w:rPr>
                      <w:rFonts w:hint="default" w:ascii="Times New Roman" w:hAnsi="Times New Roman" w:eastAsia="宋体" w:cs="Times New Roman"/>
                      <w:bCs/>
                      <w:color w:val="auto"/>
                      <w:kern w:val="0"/>
                      <w:sz w:val="21"/>
                      <w:szCs w:val="21"/>
                      <w:highlight w:val="none"/>
                      <w:lang w:val="en-US" w:eastAsia="zh-CN"/>
                    </w:rPr>
                    <w:t>″</w:t>
                  </w:r>
                </w:p>
              </w:tc>
              <w:tc>
                <w:tcPr>
                  <w:tcW w:w="224" w:type="pct"/>
                  <w:tcBorders>
                    <w:tl2br w:val="nil"/>
                    <w:tr2bl w:val="nil"/>
                  </w:tcBorders>
                  <w:noWrap w:val="0"/>
                  <w:vAlign w:val="center"/>
                </w:tcPr>
                <w:p w14:paraId="69E221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391" w:type="pct"/>
                  <w:tcBorders>
                    <w:tl2br w:val="nil"/>
                    <w:tr2bl w:val="nil"/>
                  </w:tcBorders>
                  <w:noWrap w:val="0"/>
                  <w:vAlign w:val="center"/>
                </w:tcPr>
                <w:p w14:paraId="1E3627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75</w:t>
                  </w:r>
                </w:p>
              </w:tc>
              <w:tc>
                <w:tcPr>
                  <w:tcW w:w="299" w:type="pct"/>
                  <w:tcBorders>
                    <w:tl2br w:val="nil"/>
                    <w:tr2bl w:val="nil"/>
                  </w:tcBorders>
                  <w:noWrap w:val="0"/>
                  <w:vAlign w:val="center"/>
                </w:tcPr>
                <w:p w14:paraId="3E2075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常温</w:t>
                  </w:r>
                </w:p>
              </w:tc>
              <w:tc>
                <w:tcPr>
                  <w:tcW w:w="1007" w:type="pct"/>
                  <w:tcBorders>
                    <w:tl2br w:val="nil"/>
                    <w:tr2bl w:val="nil"/>
                  </w:tcBorders>
                  <w:noWrap w:val="0"/>
                  <w:vAlign w:val="center"/>
                </w:tcPr>
                <w:p w14:paraId="507A89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《区域性大气污染物综合排放标准》(DB37/2376-2019)</w:t>
                  </w:r>
                </w:p>
              </w:tc>
              <w:tc>
                <w:tcPr>
                  <w:tcW w:w="461" w:type="pct"/>
                  <w:tcBorders>
                    <w:tl2br w:val="nil"/>
                    <w:tr2bl w:val="nil"/>
                  </w:tcBorders>
                  <w:noWrap w:val="0"/>
                  <w:vAlign w:val="center"/>
                </w:tcPr>
                <w:p w14:paraId="2A595D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406" w:type="pct"/>
                  <w:tcBorders>
                    <w:tl2br w:val="nil"/>
                    <w:tr2bl w:val="nil"/>
                  </w:tcBorders>
                  <w:noWrap w:val="0"/>
                  <w:vAlign w:val="center"/>
                </w:tcPr>
                <w:p w14:paraId="7F9AB8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21236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vMerge w:val="restart"/>
                  <w:tcBorders>
                    <w:tl2br w:val="nil"/>
                    <w:tr2bl w:val="nil"/>
                  </w:tcBorders>
                  <w:noWrap w:val="0"/>
                  <w:vAlign w:val="center"/>
                </w:tcPr>
                <w:p w14:paraId="4128B7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DA002</w:t>
                  </w:r>
                </w:p>
              </w:tc>
              <w:tc>
                <w:tcPr>
                  <w:tcW w:w="294" w:type="pct"/>
                  <w:vMerge w:val="restart"/>
                  <w:tcBorders>
                    <w:bottom w:val="single" w:color="auto" w:sz="4" w:space="0"/>
                  </w:tcBorders>
                  <w:noWrap w:val="0"/>
                  <w:vAlign w:val="center"/>
                </w:tcPr>
                <w:p w14:paraId="4BA6DA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DA002</w:t>
                  </w:r>
                  <w:r>
                    <w:rPr>
                      <w:rFonts w:hint="default" w:ascii="Times New Roman" w:hAnsi="Times New Roman" w:eastAsia="宋体" w:cs="Times New Roman"/>
                      <w:color w:val="auto"/>
                      <w:sz w:val="21"/>
                      <w:szCs w:val="21"/>
                      <w:highlight w:val="none"/>
                      <w:lang w:val="en-US" w:eastAsia="zh-CN"/>
                    </w:rPr>
                    <w:t>排气筒</w:t>
                  </w:r>
                </w:p>
              </w:tc>
              <w:tc>
                <w:tcPr>
                  <w:tcW w:w="293" w:type="pct"/>
                  <w:vMerge w:val="restart"/>
                  <w:tcBorders>
                    <w:bottom w:val="single" w:color="auto" w:sz="4" w:space="0"/>
                  </w:tcBorders>
                  <w:noWrap w:val="0"/>
                  <w:vAlign w:val="center"/>
                </w:tcPr>
                <w:p w14:paraId="3AC3DC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w:t>
                  </w:r>
                </w:p>
              </w:tc>
              <w:tc>
                <w:tcPr>
                  <w:tcW w:w="397" w:type="pct"/>
                  <w:tcBorders>
                    <w:bottom w:val="single" w:color="auto" w:sz="4" w:space="0"/>
                  </w:tcBorders>
                  <w:noWrap w:val="0"/>
                  <w:vAlign w:val="center"/>
                </w:tcPr>
                <w:p w14:paraId="45F0A0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451" w:type="pct"/>
                  <w:vMerge w:val="restart"/>
                  <w:tcBorders>
                    <w:bottom w:val="single" w:color="auto" w:sz="4" w:space="0"/>
                  </w:tcBorders>
                  <w:noWrap w:val="0"/>
                  <w:vAlign w:val="center"/>
                </w:tcPr>
                <w:p w14:paraId="301B64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lang w:val="en-US" w:eastAsia="zh-CN"/>
                    </w:rPr>
                    <w:t>117°55′43.43″</w:t>
                  </w:r>
                </w:p>
              </w:tc>
              <w:tc>
                <w:tcPr>
                  <w:tcW w:w="489" w:type="pct"/>
                  <w:vMerge w:val="restart"/>
                  <w:tcBorders>
                    <w:bottom w:val="single" w:color="auto" w:sz="4" w:space="0"/>
                  </w:tcBorders>
                  <w:noWrap w:val="0"/>
                  <w:vAlign w:val="center"/>
                </w:tcPr>
                <w:p w14:paraId="6C76A9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lang w:val="en-US" w:eastAsia="zh-CN"/>
                    </w:rPr>
                    <w:t>36°37′59.64</w:t>
                  </w:r>
                  <w:r>
                    <w:rPr>
                      <w:rFonts w:hint="default" w:ascii="Times New Roman" w:hAnsi="Times New Roman" w:eastAsia="宋体" w:cs="Times New Roman"/>
                      <w:bCs/>
                      <w:color w:val="auto"/>
                      <w:kern w:val="0"/>
                      <w:sz w:val="21"/>
                      <w:szCs w:val="21"/>
                      <w:highlight w:val="none"/>
                      <w:lang w:val="en-US" w:eastAsia="zh-CN"/>
                    </w:rPr>
                    <w:t>″</w:t>
                  </w:r>
                </w:p>
              </w:tc>
              <w:tc>
                <w:tcPr>
                  <w:tcW w:w="224" w:type="pct"/>
                  <w:vMerge w:val="restart"/>
                  <w:tcBorders>
                    <w:bottom w:val="single" w:color="auto" w:sz="4" w:space="0"/>
                  </w:tcBorders>
                  <w:noWrap w:val="0"/>
                  <w:vAlign w:val="center"/>
                </w:tcPr>
                <w:p w14:paraId="66F5FE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391" w:type="pct"/>
                  <w:vMerge w:val="restart"/>
                  <w:tcBorders>
                    <w:bottom w:val="single" w:color="auto" w:sz="4" w:space="0"/>
                  </w:tcBorders>
                  <w:noWrap w:val="0"/>
                  <w:vAlign w:val="center"/>
                </w:tcPr>
                <w:p w14:paraId="0BE890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35</w:t>
                  </w:r>
                </w:p>
              </w:tc>
              <w:tc>
                <w:tcPr>
                  <w:tcW w:w="299" w:type="pct"/>
                  <w:vMerge w:val="restart"/>
                  <w:tcBorders>
                    <w:bottom w:val="single" w:color="auto" w:sz="4" w:space="0"/>
                  </w:tcBorders>
                  <w:noWrap w:val="0"/>
                  <w:vAlign w:val="center"/>
                </w:tcPr>
                <w:p w14:paraId="2EC2D3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w:t>
                  </w:r>
                </w:p>
              </w:tc>
              <w:tc>
                <w:tcPr>
                  <w:tcW w:w="1007" w:type="pct"/>
                  <w:vMerge w:val="restart"/>
                  <w:tcBorders>
                    <w:bottom w:val="single" w:color="auto" w:sz="4" w:space="0"/>
                  </w:tcBorders>
                  <w:noWrap w:val="0"/>
                  <w:vAlign w:val="center"/>
                </w:tcPr>
                <w:p w14:paraId="7C7DF2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《区域性大气污染物综合排放标准》(DB37/2376-2019)</w:t>
                  </w:r>
                </w:p>
              </w:tc>
              <w:tc>
                <w:tcPr>
                  <w:tcW w:w="461" w:type="pct"/>
                  <w:tcBorders>
                    <w:bottom w:val="single" w:color="auto" w:sz="4" w:space="0"/>
                  </w:tcBorders>
                  <w:noWrap w:val="0"/>
                  <w:vAlign w:val="center"/>
                </w:tcPr>
                <w:p w14:paraId="2D71DF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406" w:type="pct"/>
                  <w:tcBorders>
                    <w:bottom w:val="single" w:color="auto" w:sz="4" w:space="0"/>
                  </w:tcBorders>
                  <w:noWrap w:val="0"/>
                  <w:vAlign w:val="center"/>
                </w:tcPr>
                <w:p w14:paraId="237EA8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57429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vMerge w:val="continue"/>
                  <w:tcBorders>
                    <w:tl2br w:val="nil"/>
                    <w:tr2bl w:val="nil"/>
                  </w:tcBorders>
                  <w:noWrap w:val="0"/>
                  <w:vAlign w:val="center"/>
                </w:tcPr>
                <w:p w14:paraId="2E6D5E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4" w:type="pct"/>
                  <w:vMerge w:val="continue"/>
                  <w:tcBorders>
                    <w:top w:val="single" w:color="auto" w:sz="4" w:space="0"/>
                    <w:bottom w:val="single" w:color="auto" w:sz="4" w:space="0"/>
                  </w:tcBorders>
                  <w:noWrap w:val="0"/>
                  <w:vAlign w:val="center"/>
                </w:tcPr>
                <w:p w14:paraId="2DCC7C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3" w:type="pct"/>
                  <w:vMerge w:val="continue"/>
                  <w:tcBorders>
                    <w:top w:val="single" w:color="auto" w:sz="4" w:space="0"/>
                    <w:bottom w:val="single" w:color="auto" w:sz="4" w:space="0"/>
                  </w:tcBorders>
                  <w:noWrap w:val="0"/>
                  <w:vAlign w:val="center"/>
                </w:tcPr>
                <w:p w14:paraId="40FD8D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397" w:type="pct"/>
                  <w:tcBorders>
                    <w:top w:val="single" w:color="auto" w:sz="4" w:space="0"/>
                    <w:bottom w:val="single" w:color="auto" w:sz="4" w:space="0"/>
                  </w:tcBorders>
                  <w:noWrap w:val="0"/>
                  <w:vAlign w:val="center"/>
                </w:tcPr>
                <w:p w14:paraId="6EF683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二氧化硫</w:t>
                  </w:r>
                </w:p>
              </w:tc>
              <w:tc>
                <w:tcPr>
                  <w:tcW w:w="451" w:type="pct"/>
                  <w:vMerge w:val="continue"/>
                  <w:tcBorders>
                    <w:top w:val="single" w:color="auto" w:sz="4" w:space="0"/>
                    <w:bottom w:val="single" w:color="auto" w:sz="4" w:space="0"/>
                  </w:tcBorders>
                  <w:noWrap w:val="0"/>
                  <w:vAlign w:val="center"/>
                </w:tcPr>
                <w:p w14:paraId="399116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p>
              </w:tc>
              <w:tc>
                <w:tcPr>
                  <w:tcW w:w="489" w:type="pct"/>
                  <w:vMerge w:val="continue"/>
                  <w:tcBorders>
                    <w:top w:val="single" w:color="auto" w:sz="4" w:space="0"/>
                    <w:bottom w:val="single" w:color="auto" w:sz="4" w:space="0"/>
                  </w:tcBorders>
                  <w:noWrap w:val="0"/>
                  <w:vAlign w:val="center"/>
                </w:tcPr>
                <w:p w14:paraId="3EF508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p>
              </w:tc>
              <w:tc>
                <w:tcPr>
                  <w:tcW w:w="224" w:type="pct"/>
                  <w:vMerge w:val="continue"/>
                  <w:tcBorders>
                    <w:top w:val="single" w:color="auto" w:sz="4" w:space="0"/>
                    <w:bottom w:val="single" w:color="auto" w:sz="4" w:space="0"/>
                  </w:tcBorders>
                  <w:noWrap w:val="0"/>
                  <w:vAlign w:val="center"/>
                </w:tcPr>
                <w:p w14:paraId="456367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391" w:type="pct"/>
                  <w:vMerge w:val="continue"/>
                  <w:tcBorders>
                    <w:top w:val="single" w:color="auto" w:sz="4" w:space="0"/>
                    <w:bottom w:val="single" w:color="auto" w:sz="4" w:space="0"/>
                  </w:tcBorders>
                  <w:noWrap w:val="0"/>
                  <w:vAlign w:val="center"/>
                </w:tcPr>
                <w:p w14:paraId="0288CE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9" w:type="pct"/>
                  <w:vMerge w:val="continue"/>
                  <w:tcBorders>
                    <w:top w:val="single" w:color="auto" w:sz="4" w:space="0"/>
                    <w:bottom w:val="single" w:color="auto" w:sz="4" w:space="0"/>
                  </w:tcBorders>
                  <w:noWrap w:val="0"/>
                  <w:vAlign w:val="center"/>
                </w:tcPr>
                <w:p w14:paraId="6EC03C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1007" w:type="pct"/>
                  <w:vMerge w:val="continue"/>
                  <w:tcBorders>
                    <w:top w:val="single" w:color="auto" w:sz="4" w:space="0"/>
                    <w:bottom w:val="single" w:color="auto" w:sz="4" w:space="0"/>
                  </w:tcBorders>
                  <w:noWrap w:val="0"/>
                  <w:vAlign w:val="center"/>
                </w:tcPr>
                <w:p w14:paraId="19F0C4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461" w:type="pct"/>
                  <w:tcBorders>
                    <w:top w:val="single" w:color="auto" w:sz="4" w:space="0"/>
                    <w:bottom w:val="single" w:color="auto" w:sz="4" w:space="0"/>
                  </w:tcBorders>
                  <w:noWrap w:val="0"/>
                  <w:vAlign w:val="center"/>
                </w:tcPr>
                <w:p w14:paraId="166335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406" w:type="pct"/>
                  <w:tcBorders>
                    <w:top w:val="single" w:color="auto" w:sz="4" w:space="0"/>
                    <w:bottom w:val="single" w:color="auto" w:sz="4" w:space="0"/>
                  </w:tcBorders>
                  <w:noWrap w:val="0"/>
                  <w:vAlign w:val="center"/>
                </w:tcPr>
                <w:p w14:paraId="40A957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0F424F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vMerge w:val="continue"/>
                  <w:tcBorders>
                    <w:tl2br w:val="nil"/>
                    <w:tr2bl w:val="nil"/>
                  </w:tcBorders>
                  <w:noWrap w:val="0"/>
                  <w:vAlign w:val="center"/>
                </w:tcPr>
                <w:p w14:paraId="064C26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4" w:type="pct"/>
                  <w:vMerge w:val="continue"/>
                  <w:tcBorders>
                    <w:top w:val="single" w:color="auto" w:sz="4" w:space="0"/>
                    <w:bottom w:val="single" w:color="auto" w:sz="4" w:space="0"/>
                  </w:tcBorders>
                  <w:noWrap w:val="0"/>
                  <w:vAlign w:val="center"/>
                </w:tcPr>
                <w:p w14:paraId="7DE1E9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3" w:type="pct"/>
                  <w:vMerge w:val="continue"/>
                  <w:tcBorders>
                    <w:top w:val="single" w:color="auto" w:sz="4" w:space="0"/>
                    <w:bottom w:val="single" w:color="auto" w:sz="4" w:space="0"/>
                  </w:tcBorders>
                  <w:noWrap w:val="0"/>
                  <w:vAlign w:val="center"/>
                </w:tcPr>
                <w:p w14:paraId="656CD2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397" w:type="pct"/>
                  <w:tcBorders>
                    <w:top w:val="single" w:color="auto" w:sz="4" w:space="0"/>
                    <w:bottom w:val="single" w:color="auto" w:sz="4" w:space="0"/>
                  </w:tcBorders>
                  <w:noWrap w:val="0"/>
                  <w:vAlign w:val="center"/>
                </w:tcPr>
                <w:p w14:paraId="670C4C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氮氧化物</w:t>
                  </w:r>
                </w:p>
              </w:tc>
              <w:tc>
                <w:tcPr>
                  <w:tcW w:w="451" w:type="pct"/>
                  <w:vMerge w:val="continue"/>
                  <w:tcBorders>
                    <w:top w:val="single" w:color="auto" w:sz="4" w:space="0"/>
                    <w:bottom w:val="single" w:color="auto" w:sz="4" w:space="0"/>
                  </w:tcBorders>
                  <w:noWrap w:val="0"/>
                  <w:vAlign w:val="center"/>
                </w:tcPr>
                <w:p w14:paraId="5A9BA9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p>
              </w:tc>
              <w:tc>
                <w:tcPr>
                  <w:tcW w:w="489" w:type="pct"/>
                  <w:vMerge w:val="continue"/>
                  <w:tcBorders>
                    <w:top w:val="single" w:color="auto" w:sz="4" w:space="0"/>
                    <w:bottom w:val="single" w:color="auto" w:sz="4" w:space="0"/>
                  </w:tcBorders>
                  <w:noWrap w:val="0"/>
                  <w:vAlign w:val="center"/>
                </w:tcPr>
                <w:p w14:paraId="6618A5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p>
              </w:tc>
              <w:tc>
                <w:tcPr>
                  <w:tcW w:w="224" w:type="pct"/>
                  <w:vMerge w:val="continue"/>
                  <w:tcBorders>
                    <w:top w:val="single" w:color="auto" w:sz="4" w:space="0"/>
                    <w:bottom w:val="single" w:color="auto" w:sz="4" w:space="0"/>
                  </w:tcBorders>
                  <w:noWrap w:val="0"/>
                  <w:vAlign w:val="center"/>
                </w:tcPr>
                <w:p w14:paraId="7DAC70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391" w:type="pct"/>
                  <w:vMerge w:val="continue"/>
                  <w:tcBorders>
                    <w:top w:val="single" w:color="auto" w:sz="4" w:space="0"/>
                    <w:bottom w:val="single" w:color="auto" w:sz="4" w:space="0"/>
                  </w:tcBorders>
                  <w:noWrap w:val="0"/>
                  <w:vAlign w:val="center"/>
                </w:tcPr>
                <w:p w14:paraId="5EEE5F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9" w:type="pct"/>
                  <w:vMerge w:val="continue"/>
                  <w:tcBorders>
                    <w:top w:val="single" w:color="auto" w:sz="4" w:space="0"/>
                    <w:bottom w:val="single" w:color="auto" w:sz="4" w:space="0"/>
                  </w:tcBorders>
                  <w:noWrap w:val="0"/>
                  <w:vAlign w:val="center"/>
                </w:tcPr>
                <w:p w14:paraId="338314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1007" w:type="pct"/>
                  <w:vMerge w:val="continue"/>
                  <w:tcBorders>
                    <w:top w:val="single" w:color="auto" w:sz="4" w:space="0"/>
                    <w:bottom w:val="single" w:color="auto" w:sz="4" w:space="0"/>
                  </w:tcBorders>
                  <w:noWrap w:val="0"/>
                  <w:vAlign w:val="center"/>
                </w:tcPr>
                <w:p w14:paraId="7F4C13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461" w:type="pct"/>
                  <w:tcBorders>
                    <w:top w:val="single" w:color="auto" w:sz="4" w:space="0"/>
                    <w:bottom w:val="single" w:color="auto" w:sz="4" w:space="0"/>
                  </w:tcBorders>
                  <w:noWrap w:val="0"/>
                  <w:vAlign w:val="center"/>
                </w:tcPr>
                <w:p w14:paraId="56A9DD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c>
                <w:tcPr>
                  <w:tcW w:w="406" w:type="pct"/>
                  <w:tcBorders>
                    <w:top w:val="single" w:color="auto" w:sz="4" w:space="0"/>
                    <w:bottom w:val="single" w:color="auto" w:sz="4" w:space="0"/>
                  </w:tcBorders>
                  <w:noWrap w:val="0"/>
                  <w:vAlign w:val="center"/>
                </w:tcPr>
                <w:p w14:paraId="495686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23E03E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vMerge w:val="continue"/>
                  <w:tcBorders>
                    <w:tl2br w:val="nil"/>
                    <w:tr2bl w:val="nil"/>
                  </w:tcBorders>
                  <w:noWrap w:val="0"/>
                  <w:vAlign w:val="center"/>
                </w:tcPr>
                <w:p w14:paraId="11F896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4" w:type="pct"/>
                  <w:vMerge w:val="continue"/>
                  <w:tcBorders>
                    <w:top w:val="single" w:color="auto" w:sz="4" w:space="0"/>
                    <w:bottom w:val="single" w:color="auto" w:sz="4" w:space="0"/>
                  </w:tcBorders>
                  <w:noWrap w:val="0"/>
                  <w:vAlign w:val="center"/>
                </w:tcPr>
                <w:p w14:paraId="025FD6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3" w:type="pct"/>
                  <w:vMerge w:val="continue"/>
                  <w:tcBorders>
                    <w:top w:val="single" w:color="auto" w:sz="4" w:space="0"/>
                    <w:bottom w:val="single" w:color="auto" w:sz="4" w:space="0"/>
                  </w:tcBorders>
                  <w:noWrap w:val="0"/>
                  <w:vAlign w:val="center"/>
                </w:tcPr>
                <w:p w14:paraId="0901B7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397" w:type="pct"/>
                  <w:tcBorders>
                    <w:top w:val="single" w:color="auto" w:sz="4" w:space="0"/>
                    <w:bottom w:val="single" w:color="auto" w:sz="4" w:space="0"/>
                  </w:tcBorders>
                  <w:noWrap w:val="0"/>
                  <w:vAlign w:val="center"/>
                </w:tcPr>
                <w:p w14:paraId="2791AB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烟气黑度</w:t>
                  </w:r>
                </w:p>
              </w:tc>
              <w:tc>
                <w:tcPr>
                  <w:tcW w:w="451" w:type="pct"/>
                  <w:vMerge w:val="continue"/>
                  <w:tcBorders>
                    <w:top w:val="single" w:color="auto" w:sz="4" w:space="0"/>
                    <w:bottom w:val="single" w:color="auto" w:sz="4" w:space="0"/>
                  </w:tcBorders>
                  <w:noWrap w:val="0"/>
                  <w:vAlign w:val="center"/>
                </w:tcPr>
                <w:p w14:paraId="25D097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p>
              </w:tc>
              <w:tc>
                <w:tcPr>
                  <w:tcW w:w="489" w:type="pct"/>
                  <w:vMerge w:val="continue"/>
                  <w:tcBorders>
                    <w:top w:val="single" w:color="auto" w:sz="4" w:space="0"/>
                    <w:bottom w:val="single" w:color="auto" w:sz="4" w:space="0"/>
                  </w:tcBorders>
                  <w:noWrap w:val="0"/>
                  <w:vAlign w:val="center"/>
                </w:tcPr>
                <w:p w14:paraId="18B697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p>
              </w:tc>
              <w:tc>
                <w:tcPr>
                  <w:tcW w:w="224" w:type="pct"/>
                  <w:vMerge w:val="continue"/>
                  <w:tcBorders>
                    <w:top w:val="single" w:color="auto" w:sz="4" w:space="0"/>
                    <w:bottom w:val="single" w:color="auto" w:sz="4" w:space="0"/>
                  </w:tcBorders>
                  <w:noWrap w:val="0"/>
                  <w:vAlign w:val="center"/>
                </w:tcPr>
                <w:p w14:paraId="11DCB1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391" w:type="pct"/>
                  <w:vMerge w:val="continue"/>
                  <w:tcBorders>
                    <w:top w:val="single" w:color="auto" w:sz="4" w:space="0"/>
                    <w:bottom w:val="single" w:color="auto" w:sz="4" w:space="0"/>
                  </w:tcBorders>
                  <w:noWrap w:val="0"/>
                  <w:vAlign w:val="center"/>
                </w:tcPr>
                <w:p w14:paraId="6BABD5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9" w:type="pct"/>
                  <w:vMerge w:val="continue"/>
                  <w:tcBorders>
                    <w:top w:val="single" w:color="auto" w:sz="4" w:space="0"/>
                    <w:bottom w:val="single" w:color="auto" w:sz="4" w:space="0"/>
                  </w:tcBorders>
                  <w:noWrap w:val="0"/>
                  <w:vAlign w:val="center"/>
                </w:tcPr>
                <w:p w14:paraId="30D28D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1007" w:type="pct"/>
                  <w:tcBorders>
                    <w:top w:val="single" w:color="auto" w:sz="4" w:space="0"/>
                    <w:bottom w:val="single" w:color="auto" w:sz="4" w:space="0"/>
                  </w:tcBorders>
                  <w:noWrap w:val="0"/>
                  <w:vAlign w:val="center"/>
                </w:tcPr>
                <w:p w14:paraId="1BAA3F68">
                  <w:pPr>
                    <w:spacing w:before="35" w:line="239" w:lineRule="auto"/>
                    <w:ind w:left="545" w:right="93" w:hanging="436"/>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4"/>
                      <w:sz w:val="21"/>
                      <w:szCs w:val="21"/>
                      <w:highlight w:val="none"/>
                    </w:rPr>
                    <w:t>《工业炉窑大气污染物排放标准》</w:t>
                  </w:r>
                  <w:r>
                    <w:rPr>
                      <w:rFonts w:hint="default" w:ascii="Times New Roman" w:hAnsi="Times New Roman" w:eastAsia="宋体" w:cs="Times New Roman"/>
                      <w:color w:val="auto"/>
                      <w:spacing w:val="12"/>
                      <w:sz w:val="21"/>
                      <w:szCs w:val="21"/>
                      <w:highlight w:val="none"/>
                    </w:rPr>
                    <w:t>(</w:t>
                  </w:r>
                  <w:r>
                    <w:rPr>
                      <w:rFonts w:hint="default" w:ascii="Times New Roman" w:hAnsi="Times New Roman" w:eastAsia="宋体" w:cs="Times New Roman"/>
                      <w:color w:val="auto"/>
                      <w:sz w:val="21"/>
                      <w:szCs w:val="21"/>
                      <w:highlight w:val="none"/>
                    </w:rPr>
                    <w:t>DB</w:t>
                  </w:r>
                  <w:r>
                    <w:rPr>
                      <w:rFonts w:hint="default" w:ascii="Times New Roman" w:hAnsi="Times New Roman" w:eastAsia="宋体" w:cs="Times New Roman"/>
                      <w:color w:val="auto"/>
                      <w:spacing w:val="11"/>
                      <w:sz w:val="21"/>
                      <w:szCs w:val="21"/>
                      <w:highlight w:val="none"/>
                    </w:rPr>
                    <w:t>37/2375-2019)</w:t>
                  </w:r>
                </w:p>
              </w:tc>
              <w:tc>
                <w:tcPr>
                  <w:tcW w:w="461" w:type="pct"/>
                  <w:tcBorders>
                    <w:top w:val="single" w:color="auto" w:sz="4" w:space="0"/>
                    <w:bottom w:val="single" w:color="auto" w:sz="4" w:space="0"/>
                  </w:tcBorders>
                  <w:noWrap w:val="0"/>
                  <w:vAlign w:val="center"/>
                </w:tcPr>
                <w:p w14:paraId="1C2048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1级</w:t>
                  </w:r>
                </w:p>
              </w:tc>
              <w:tc>
                <w:tcPr>
                  <w:tcW w:w="406" w:type="pct"/>
                  <w:tcBorders>
                    <w:top w:val="single" w:color="auto" w:sz="4" w:space="0"/>
                    <w:bottom w:val="single" w:color="auto" w:sz="4" w:space="0"/>
                  </w:tcBorders>
                  <w:noWrap w:val="0"/>
                  <w:vAlign w:val="center"/>
                </w:tcPr>
                <w:p w14:paraId="4BC385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755FB0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vMerge w:val="continue"/>
                  <w:tcBorders>
                    <w:tl2br w:val="nil"/>
                    <w:tr2bl w:val="nil"/>
                  </w:tcBorders>
                  <w:noWrap w:val="0"/>
                  <w:vAlign w:val="center"/>
                </w:tcPr>
                <w:p w14:paraId="5C02B9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4" w:type="pct"/>
                  <w:vMerge w:val="continue"/>
                  <w:tcBorders>
                    <w:top w:val="single" w:color="auto" w:sz="4" w:space="0"/>
                    <w:bottom w:val="single" w:color="auto" w:sz="4" w:space="0"/>
                  </w:tcBorders>
                  <w:noWrap w:val="0"/>
                  <w:vAlign w:val="center"/>
                </w:tcPr>
                <w:p w14:paraId="4ADEEA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3" w:type="pct"/>
                  <w:vMerge w:val="continue"/>
                  <w:tcBorders>
                    <w:top w:val="single" w:color="auto" w:sz="4" w:space="0"/>
                    <w:bottom w:val="single" w:color="auto" w:sz="4" w:space="0"/>
                  </w:tcBorders>
                  <w:noWrap w:val="0"/>
                  <w:vAlign w:val="center"/>
                </w:tcPr>
                <w:p w14:paraId="23CFE4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397" w:type="pct"/>
                  <w:tcBorders>
                    <w:top w:val="single" w:color="auto" w:sz="4" w:space="0"/>
                    <w:bottom w:val="single" w:color="auto" w:sz="4" w:space="0"/>
                  </w:tcBorders>
                  <w:noWrap w:val="0"/>
                  <w:vAlign w:val="center"/>
                </w:tcPr>
                <w:p w14:paraId="1D2664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451" w:type="pct"/>
                  <w:vMerge w:val="continue"/>
                  <w:tcBorders>
                    <w:top w:val="single" w:color="auto" w:sz="4" w:space="0"/>
                    <w:bottom w:val="single" w:color="auto" w:sz="4" w:space="0"/>
                  </w:tcBorders>
                  <w:noWrap w:val="0"/>
                  <w:vAlign w:val="center"/>
                </w:tcPr>
                <w:p w14:paraId="7F8655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p>
              </w:tc>
              <w:tc>
                <w:tcPr>
                  <w:tcW w:w="489" w:type="pct"/>
                  <w:vMerge w:val="continue"/>
                  <w:tcBorders>
                    <w:top w:val="single" w:color="auto" w:sz="4" w:space="0"/>
                    <w:bottom w:val="single" w:color="auto" w:sz="4" w:space="0"/>
                  </w:tcBorders>
                  <w:noWrap w:val="0"/>
                  <w:vAlign w:val="center"/>
                </w:tcPr>
                <w:p w14:paraId="4E7F60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p>
              </w:tc>
              <w:tc>
                <w:tcPr>
                  <w:tcW w:w="224" w:type="pct"/>
                  <w:vMerge w:val="continue"/>
                  <w:tcBorders>
                    <w:top w:val="single" w:color="auto" w:sz="4" w:space="0"/>
                    <w:bottom w:val="single" w:color="auto" w:sz="4" w:space="0"/>
                  </w:tcBorders>
                  <w:noWrap w:val="0"/>
                  <w:vAlign w:val="center"/>
                </w:tcPr>
                <w:p w14:paraId="244A1A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391" w:type="pct"/>
                  <w:vMerge w:val="continue"/>
                  <w:tcBorders>
                    <w:top w:val="single" w:color="auto" w:sz="4" w:space="0"/>
                    <w:bottom w:val="single" w:color="auto" w:sz="4" w:space="0"/>
                  </w:tcBorders>
                  <w:noWrap w:val="0"/>
                  <w:vAlign w:val="center"/>
                </w:tcPr>
                <w:p w14:paraId="47B02E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299" w:type="pct"/>
                  <w:vMerge w:val="continue"/>
                  <w:tcBorders>
                    <w:top w:val="single" w:color="auto" w:sz="4" w:space="0"/>
                    <w:bottom w:val="single" w:color="auto" w:sz="4" w:space="0"/>
                  </w:tcBorders>
                  <w:noWrap w:val="0"/>
                  <w:vAlign w:val="center"/>
                </w:tcPr>
                <w:p w14:paraId="1DA594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1007" w:type="pct"/>
                  <w:tcBorders>
                    <w:top w:val="single" w:color="auto" w:sz="4" w:space="0"/>
                    <w:bottom w:val="single" w:color="auto" w:sz="4" w:space="0"/>
                  </w:tcBorders>
                  <w:noWrap w:val="0"/>
                  <w:vAlign w:val="center"/>
                </w:tcPr>
                <w:p w14:paraId="42D02EB9">
                  <w:pPr>
                    <w:spacing w:before="35" w:line="239" w:lineRule="auto"/>
                    <w:ind w:left="545" w:right="93" w:hanging="436"/>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《淄川区重污染天气消除攻坚行动方案》要求</w:t>
                  </w:r>
                </w:p>
              </w:tc>
              <w:tc>
                <w:tcPr>
                  <w:tcW w:w="461" w:type="pct"/>
                  <w:tcBorders>
                    <w:top w:val="single" w:color="auto" w:sz="4" w:space="0"/>
                    <w:bottom w:val="single" w:color="auto" w:sz="4" w:space="0"/>
                  </w:tcBorders>
                  <w:noWrap w:val="0"/>
                  <w:vAlign w:val="center"/>
                </w:tcPr>
                <w:p w14:paraId="04754E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406" w:type="pct"/>
                  <w:tcBorders>
                    <w:top w:val="single" w:color="auto" w:sz="4" w:space="0"/>
                    <w:bottom w:val="single" w:color="auto" w:sz="4" w:space="0"/>
                  </w:tcBorders>
                  <w:noWrap w:val="0"/>
                  <w:vAlign w:val="center"/>
                </w:tcPr>
                <w:p w14:paraId="5ACA3E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6266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tcBorders>
                    <w:tl2br w:val="nil"/>
                    <w:tr2bl w:val="nil"/>
                  </w:tcBorders>
                  <w:noWrap w:val="0"/>
                  <w:vAlign w:val="center"/>
                </w:tcPr>
                <w:p w14:paraId="00047D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DA00</w:t>
                  </w:r>
                  <w:r>
                    <w:rPr>
                      <w:rFonts w:hint="default" w:ascii="Times New Roman" w:hAnsi="Times New Roman" w:cs="Times New Roman"/>
                      <w:color w:val="auto"/>
                      <w:sz w:val="21"/>
                      <w:szCs w:val="21"/>
                      <w:highlight w:val="none"/>
                      <w:lang w:val="en-US" w:eastAsia="zh-CN"/>
                    </w:rPr>
                    <w:t>3</w:t>
                  </w:r>
                </w:p>
              </w:tc>
              <w:tc>
                <w:tcPr>
                  <w:tcW w:w="294" w:type="pct"/>
                  <w:tcBorders>
                    <w:top w:val="single" w:color="auto" w:sz="4" w:space="0"/>
                  </w:tcBorders>
                  <w:noWrap w:val="0"/>
                  <w:vAlign w:val="center"/>
                </w:tcPr>
                <w:p w14:paraId="5D31DF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DA003排气筒</w:t>
                  </w:r>
                </w:p>
              </w:tc>
              <w:tc>
                <w:tcPr>
                  <w:tcW w:w="293" w:type="pct"/>
                  <w:tcBorders>
                    <w:top w:val="single" w:color="auto" w:sz="4" w:space="0"/>
                  </w:tcBorders>
                  <w:noWrap w:val="0"/>
                  <w:vAlign w:val="center"/>
                </w:tcPr>
                <w:p w14:paraId="40D4A0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一般</w:t>
                  </w:r>
                </w:p>
              </w:tc>
              <w:tc>
                <w:tcPr>
                  <w:tcW w:w="397" w:type="pct"/>
                  <w:tcBorders>
                    <w:top w:val="single" w:color="auto" w:sz="4" w:space="0"/>
                  </w:tcBorders>
                  <w:noWrap w:val="0"/>
                  <w:vAlign w:val="center"/>
                </w:tcPr>
                <w:p w14:paraId="481FB0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451" w:type="pct"/>
                  <w:tcBorders>
                    <w:top w:val="single" w:color="auto" w:sz="4" w:space="0"/>
                  </w:tcBorders>
                  <w:noWrap w:val="0"/>
                  <w:vAlign w:val="center"/>
                </w:tcPr>
                <w:p w14:paraId="78B34F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kern w:val="0"/>
                      <w:sz w:val="21"/>
                      <w:szCs w:val="21"/>
                      <w:highlight w:val="none"/>
                      <w:lang w:val="en-US" w:eastAsia="zh-CN"/>
                    </w:rPr>
                    <w:t>117°55′43.33</w:t>
                  </w:r>
                </w:p>
              </w:tc>
              <w:tc>
                <w:tcPr>
                  <w:tcW w:w="489" w:type="pct"/>
                  <w:tcBorders>
                    <w:top w:val="single" w:color="auto" w:sz="4" w:space="0"/>
                  </w:tcBorders>
                  <w:noWrap w:val="0"/>
                  <w:vAlign w:val="center"/>
                </w:tcPr>
                <w:p w14:paraId="7B29B5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kern w:val="0"/>
                      <w:sz w:val="21"/>
                      <w:szCs w:val="21"/>
                      <w:highlight w:val="none"/>
                      <w:lang w:val="en-US" w:eastAsia="zh-CN"/>
                    </w:rPr>
                    <w:t>36°37′57.00</w:t>
                  </w:r>
                  <w:r>
                    <w:rPr>
                      <w:rFonts w:hint="default" w:ascii="Times New Roman" w:hAnsi="Times New Roman" w:eastAsia="宋体" w:cs="Times New Roman"/>
                      <w:bCs/>
                      <w:color w:val="auto"/>
                      <w:kern w:val="0"/>
                      <w:sz w:val="21"/>
                      <w:szCs w:val="21"/>
                      <w:highlight w:val="none"/>
                      <w:lang w:val="en-US" w:eastAsia="zh-CN"/>
                    </w:rPr>
                    <w:t>″</w:t>
                  </w:r>
                </w:p>
              </w:tc>
              <w:tc>
                <w:tcPr>
                  <w:tcW w:w="224" w:type="pct"/>
                  <w:tcBorders>
                    <w:top w:val="single" w:color="auto" w:sz="4" w:space="0"/>
                  </w:tcBorders>
                  <w:noWrap w:val="0"/>
                  <w:vAlign w:val="center"/>
                </w:tcPr>
                <w:p w14:paraId="164013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391" w:type="pct"/>
                  <w:tcBorders>
                    <w:top w:val="single" w:color="auto" w:sz="4" w:space="0"/>
                  </w:tcBorders>
                  <w:noWrap w:val="0"/>
                  <w:vAlign w:val="center"/>
                </w:tcPr>
                <w:p w14:paraId="43E2D7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4</w:t>
                  </w:r>
                </w:p>
              </w:tc>
              <w:tc>
                <w:tcPr>
                  <w:tcW w:w="299" w:type="pct"/>
                  <w:tcBorders>
                    <w:top w:val="single" w:color="auto" w:sz="4" w:space="0"/>
                  </w:tcBorders>
                  <w:noWrap w:val="0"/>
                  <w:vAlign w:val="center"/>
                </w:tcPr>
                <w:p w14:paraId="30392A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常温</w:t>
                  </w:r>
                </w:p>
              </w:tc>
              <w:tc>
                <w:tcPr>
                  <w:tcW w:w="1007" w:type="pct"/>
                  <w:tcBorders>
                    <w:top w:val="single" w:color="auto" w:sz="4" w:space="0"/>
                  </w:tcBorders>
                  <w:noWrap w:val="0"/>
                  <w:vAlign w:val="center"/>
                </w:tcPr>
                <w:p w14:paraId="3CC7D5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《区域性大气污染物综合排放标准》(DB37/2376-2019)</w:t>
                  </w:r>
                </w:p>
              </w:tc>
              <w:tc>
                <w:tcPr>
                  <w:tcW w:w="461" w:type="pct"/>
                  <w:tcBorders>
                    <w:top w:val="single" w:color="auto" w:sz="4" w:space="0"/>
                  </w:tcBorders>
                  <w:noWrap w:val="0"/>
                  <w:vAlign w:val="center"/>
                </w:tcPr>
                <w:p w14:paraId="4ED3BD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406" w:type="pct"/>
                  <w:tcBorders>
                    <w:top w:val="single" w:color="auto" w:sz="4" w:space="0"/>
                  </w:tcBorders>
                  <w:noWrap w:val="0"/>
                  <w:vAlign w:val="center"/>
                </w:tcPr>
                <w:p w14:paraId="12C74D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52B675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tcBorders>
                    <w:tl2br w:val="nil"/>
                    <w:tr2bl w:val="nil"/>
                  </w:tcBorders>
                  <w:noWrap w:val="0"/>
                  <w:vAlign w:val="center"/>
                </w:tcPr>
                <w:p w14:paraId="5B3105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DA00</w:t>
                  </w:r>
                  <w:r>
                    <w:rPr>
                      <w:rFonts w:hint="default" w:ascii="Times New Roman" w:hAnsi="Times New Roman" w:cs="Times New Roman"/>
                      <w:color w:val="auto"/>
                      <w:sz w:val="21"/>
                      <w:szCs w:val="21"/>
                      <w:highlight w:val="none"/>
                      <w:lang w:val="en-US" w:eastAsia="zh-CN"/>
                    </w:rPr>
                    <w:t>4</w:t>
                  </w:r>
                </w:p>
              </w:tc>
              <w:tc>
                <w:tcPr>
                  <w:tcW w:w="294" w:type="pct"/>
                  <w:tcBorders>
                    <w:tl2br w:val="nil"/>
                    <w:tr2bl w:val="nil"/>
                  </w:tcBorders>
                  <w:noWrap w:val="0"/>
                  <w:vAlign w:val="center"/>
                </w:tcPr>
                <w:p w14:paraId="79A31C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DA004排气筒</w:t>
                  </w:r>
                </w:p>
              </w:tc>
              <w:tc>
                <w:tcPr>
                  <w:tcW w:w="293" w:type="pct"/>
                  <w:tcBorders>
                    <w:tl2br w:val="nil"/>
                    <w:tr2bl w:val="nil"/>
                  </w:tcBorders>
                  <w:noWrap w:val="0"/>
                  <w:vAlign w:val="center"/>
                </w:tcPr>
                <w:p w14:paraId="3FD388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一般</w:t>
                  </w:r>
                </w:p>
              </w:tc>
              <w:tc>
                <w:tcPr>
                  <w:tcW w:w="397" w:type="pct"/>
                  <w:tcBorders>
                    <w:tl2br w:val="nil"/>
                    <w:tr2bl w:val="nil"/>
                  </w:tcBorders>
                  <w:noWrap w:val="0"/>
                  <w:vAlign w:val="center"/>
                </w:tcPr>
                <w:p w14:paraId="2C87F4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451" w:type="pct"/>
                  <w:tcBorders>
                    <w:tl2br w:val="nil"/>
                    <w:tr2bl w:val="nil"/>
                  </w:tcBorders>
                  <w:noWrap w:val="0"/>
                  <w:vAlign w:val="center"/>
                </w:tcPr>
                <w:p w14:paraId="7A519E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kern w:val="0"/>
                      <w:sz w:val="21"/>
                      <w:szCs w:val="21"/>
                      <w:highlight w:val="none"/>
                      <w:lang w:val="en-US" w:eastAsia="zh-CN"/>
                    </w:rPr>
                    <w:t>117°55′41.71″</w:t>
                  </w:r>
                </w:p>
              </w:tc>
              <w:tc>
                <w:tcPr>
                  <w:tcW w:w="489" w:type="pct"/>
                  <w:tcBorders>
                    <w:tl2br w:val="nil"/>
                    <w:tr2bl w:val="nil"/>
                  </w:tcBorders>
                  <w:noWrap w:val="0"/>
                  <w:vAlign w:val="center"/>
                </w:tcPr>
                <w:p w14:paraId="7C0118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kern w:val="0"/>
                      <w:sz w:val="21"/>
                      <w:szCs w:val="21"/>
                      <w:highlight w:val="none"/>
                      <w:lang w:val="en-US" w:eastAsia="zh-CN"/>
                    </w:rPr>
                    <w:t>36°37′58.02</w:t>
                  </w:r>
                  <w:r>
                    <w:rPr>
                      <w:rFonts w:hint="default" w:ascii="Times New Roman" w:hAnsi="Times New Roman" w:eastAsia="宋体" w:cs="Times New Roman"/>
                      <w:bCs/>
                      <w:color w:val="auto"/>
                      <w:kern w:val="0"/>
                      <w:sz w:val="21"/>
                      <w:szCs w:val="21"/>
                      <w:highlight w:val="none"/>
                      <w:lang w:val="en-US" w:eastAsia="zh-CN"/>
                    </w:rPr>
                    <w:t>″</w:t>
                  </w:r>
                </w:p>
              </w:tc>
              <w:tc>
                <w:tcPr>
                  <w:tcW w:w="224" w:type="pct"/>
                  <w:tcBorders>
                    <w:tl2br w:val="nil"/>
                    <w:tr2bl w:val="nil"/>
                  </w:tcBorders>
                  <w:noWrap w:val="0"/>
                  <w:vAlign w:val="center"/>
                </w:tcPr>
                <w:p w14:paraId="1F2BAD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391" w:type="pct"/>
                  <w:tcBorders>
                    <w:tl2br w:val="nil"/>
                    <w:tr2bl w:val="nil"/>
                  </w:tcBorders>
                  <w:noWrap w:val="0"/>
                  <w:vAlign w:val="center"/>
                </w:tcPr>
                <w:p w14:paraId="15F93F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4</w:t>
                  </w:r>
                </w:p>
              </w:tc>
              <w:tc>
                <w:tcPr>
                  <w:tcW w:w="299" w:type="pct"/>
                  <w:tcBorders>
                    <w:tl2br w:val="nil"/>
                    <w:tr2bl w:val="nil"/>
                  </w:tcBorders>
                  <w:noWrap w:val="0"/>
                  <w:vAlign w:val="center"/>
                </w:tcPr>
                <w:p w14:paraId="251D3B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常温</w:t>
                  </w:r>
                </w:p>
              </w:tc>
              <w:tc>
                <w:tcPr>
                  <w:tcW w:w="1007" w:type="pct"/>
                  <w:tcBorders>
                    <w:tl2br w:val="nil"/>
                    <w:tr2bl w:val="nil"/>
                  </w:tcBorders>
                  <w:noWrap w:val="0"/>
                  <w:vAlign w:val="center"/>
                </w:tcPr>
                <w:p w14:paraId="0E71F6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《区域性大气污染物综合排放标准》(DB37/2376-2019)</w:t>
                  </w:r>
                </w:p>
              </w:tc>
              <w:tc>
                <w:tcPr>
                  <w:tcW w:w="461" w:type="pct"/>
                  <w:tcBorders>
                    <w:tl2br w:val="nil"/>
                    <w:tr2bl w:val="nil"/>
                  </w:tcBorders>
                  <w:noWrap w:val="0"/>
                  <w:vAlign w:val="center"/>
                </w:tcPr>
                <w:p w14:paraId="1B6781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406" w:type="pct"/>
                  <w:tcBorders>
                    <w:tl2br w:val="nil"/>
                    <w:tr2bl w:val="nil"/>
                  </w:tcBorders>
                  <w:noWrap w:val="0"/>
                  <w:vAlign w:val="center"/>
                </w:tcPr>
                <w:p w14:paraId="08AF92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64B6C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tcBorders>
                    <w:tl2br w:val="nil"/>
                    <w:tr2bl w:val="nil"/>
                  </w:tcBorders>
                  <w:noWrap w:val="0"/>
                  <w:vAlign w:val="center"/>
                </w:tcPr>
                <w:p w14:paraId="78F5E2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DA00</w:t>
                  </w:r>
                  <w:r>
                    <w:rPr>
                      <w:rFonts w:hint="default" w:ascii="Times New Roman" w:hAnsi="Times New Roman" w:cs="Times New Roman"/>
                      <w:color w:val="auto"/>
                      <w:sz w:val="21"/>
                      <w:szCs w:val="21"/>
                      <w:highlight w:val="none"/>
                      <w:lang w:val="en-US" w:eastAsia="zh-CN"/>
                    </w:rPr>
                    <w:t>5</w:t>
                  </w:r>
                </w:p>
              </w:tc>
              <w:tc>
                <w:tcPr>
                  <w:tcW w:w="294" w:type="pct"/>
                  <w:tcBorders>
                    <w:tl2br w:val="nil"/>
                    <w:tr2bl w:val="nil"/>
                  </w:tcBorders>
                  <w:noWrap w:val="0"/>
                  <w:vAlign w:val="center"/>
                </w:tcPr>
                <w:p w14:paraId="3DEF79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DA005排气筒</w:t>
                  </w:r>
                </w:p>
              </w:tc>
              <w:tc>
                <w:tcPr>
                  <w:tcW w:w="293" w:type="pct"/>
                  <w:tcBorders>
                    <w:tl2br w:val="nil"/>
                    <w:tr2bl w:val="nil"/>
                  </w:tcBorders>
                  <w:noWrap w:val="0"/>
                  <w:vAlign w:val="center"/>
                </w:tcPr>
                <w:p w14:paraId="0CF9CF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一般</w:t>
                  </w:r>
                </w:p>
              </w:tc>
              <w:tc>
                <w:tcPr>
                  <w:tcW w:w="397" w:type="pct"/>
                  <w:tcBorders>
                    <w:tl2br w:val="nil"/>
                    <w:tr2bl w:val="nil"/>
                  </w:tcBorders>
                  <w:noWrap w:val="0"/>
                  <w:vAlign w:val="center"/>
                </w:tcPr>
                <w:p w14:paraId="3DFFA6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VOCs</w:t>
                  </w:r>
                </w:p>
              </w:tc>
              <w:tc>
                <w:tcPr>
                  <w:tcW w:w="451" w:type="pct"/>
                  <w:tcBorders>
                    <w:tl2br w:val="nil"/>
                    <w:tr2bl w:val="nil"/>
                  </w:tcBorders>
                  <w:noWrap w:val="0"/>
                  <w:vAlign w:val="center"/>
                </w:tcPr>
                <w:p w14:paraId="72EA04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kern w:val="0"/>
                      <w:sz w:val="21"/>
                      <w:szCs w:val="21"/>
                      <w:highlight w:val="none"/>
                      <w:lang w:val="en-US" w:eastAsia="zh-CN"/>
                    </w:rPr>
                    <w:t>117°55′41.35″</w:t>
                  </w:r>
                </w:p>
              </w:tc>
              <w:tc>
                <w:tcPr>
                  <w:tcW w:w="489" w:type="pct"/>
                  <w:tcBorders>
                    <w:tl2br w:val="nil"/>
                    <w:tr2bl w:val="nil"/>
                  </w:tcBorders>
                  <w:noWrap w:val="0"/>
                  <w:vAlign w:val="center"/>
                </w:tcPr>
                <w:p w14:paraId="17F7DD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kern w:val="0"/>
                      <w:sz w:val="21"/>
                      <w:szCs w:val="21"/>
                      <w:highlight w:val="none"/>
                      <w:lang w:val="en-US" w:eastAsia="zh-CN"/>
                    </w:rPr>
                    <w:t>36°37′57.49</w:t>
                  </w:r>
                  <w:r>
                    <w:rPr>
                      <w:rFonts w:hint="default" w:ascii="Times New Roman" w:hAnsi="Times New Roman" w:eastAsia="宋体" w:cs="Times New Roman"/>
                      <w:bCs/>
                      <w:color w:val="auto"/>
                      <w:kern w:val="0"/>
                      <w:sz w:val="21"/>
                      <w:szCs w:val="21"/>
                      <w:highlight w:val="none"/>
                      <w:lang w:val="en-US" w:eastAsia="zh-CN"/>
                    </w:rPr>
                    <w:t>″</w:t>
                  </w:r>
                </w:p>
              </w:tc>
              <w:tc>
                <w:tcPr>
                  <w:tcW w:w="224" w:type="pct"/>
                  <w:tcBorders>
                    <w:tl2br w:val="nil"/>
                    <w:tr2bl w:val="nil"/>
                  </w:tcBorders>
                  <w:noWrap w:val="0"/>
                  <w:vAlign w:val="center"/>
                </w:tcPr>
                <w:p w14:paraId="072367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391" w:type="pct"/>
                  <w:tcBorders>
                    <w:tl2br w:val="nil"/>
                    <w:tr2bl w:val="nil"/>
                  </w:tcBorders>
                  <w:noWrap w:val="0"/>
                  <w:vAlign w:val="center"/>
                </w:tcPr>
                <w:p w14:paraId="052204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35</w:t>
                  </w:r>
                </w:p>
              </w:tc>
              <w:tc>
                <w:tcPr>
                  <w:tcW w:w="299" w:type="pct"/>
                  <w:tcBorders>
                    <w:tl2br w:val="nil"/>
                    <w:tr2bl w:val="nil"/>
                  </w:tcBorders>
                  <w:noWrap w:val="0"/>
                  <w:vAlign w:val="center"/>
                </w:tcPr>
                <w:p w14:paraId="4F3CD3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常温</w:t>
                  </w:r>
                </w:p>
              </w:tc>
              <w:tc>
                <w:tcPr>
                  <w:tcW w:w="1007" w:type="pct"/>
                  <w:tcBorders>
                    <w:tl2br w:val="nil"/>
                    <w:tr2bl w:val="nil"/>
                  </w:tcBorders>
                  <w:noWrap w:val="0"/>
                  <w:vAlign w:val="center"/>
                </w:tcPr>
                <w:p w14:paraId="330019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挥发性有机物排放标准 第6部分：有机化工行业</w:t>
                  </w:r>
                  <w:r>
                    <w:rPr>
                      <w:rFonts w:hint="default" w:ascii="Times New Roman" w:hAnsi="Times New Roman" w:cs="Times New Roman"/>
                      <w:color w:val="auto"/>
                      <w:sz w:val="21"/>
                      <w:szCs w:val="21"/>
                      <w:highlight w:val="none"/>
                    </w:rPr>
                    <w:t>》(DB37/2</w:t>
                  </w:r>
                  <w:r>
                    <w:rPr>
                      <w:rFonts w:hint="default" w:ascii="Times New Roman" w:hAnsi="Times New Roman" w:cs="Times New Roman"/>
                      <w:color w:val="auto"/>
                      <w:sz w:val="21"/>
                      <w:szCs w:val="21"/>
                      <w:highlight w:val="none"/>
                      <w:lang w:val="en-US" w:eastAsia="zh-CN"/>
                    </w:rPr>
                    <w:t>801.6-2018</w:t>
                  </w:r>
                  <w:r>
                    <w:rPr>
                      <w:rFonts w:hint="default" w:ascii="Times New Roman" w:hAnsi="Times New Roman" w:cs="Times New Roman"/>
                      <w:color w:val="auto"/>
                      <w:sz w:val="21"/>
                      <w:szCs w:val="21"/>
                      <w:highlight w:val="none"/>
                    </w:rPr>
                    <w:t>)</w:t>
                  </w:r>
                </w:p>
              </w:tc>
              <w:tc>
                <w:tcPr>
                  <w:tcW w:w="461" w:type="pct"/>
                  <w:tcBorders>
                    <w:tl2br w:val="nil"/>
                    <w:tr2bl w:val="nil"/>
                  </w:tcBorders>
                  <w:noWrap w:val="0"/>
                  <w:vAlign w:val="center"/>
                </w:tcPr>
                <w:p w14:paraId="668E32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50</w:t>
                  </w:r>
                </w:p>
              </w:tc>
              <w:tc>
                <w:tcPr>
                  <w:tcW w:w="406" w:type="pct"/>
                  <w:tcBorders>
                    <w:tl2br w:val="nil"/>
                    <w:tr2bl w:val="nil"/>
                  </w:tcBorders>
                  <w:noWrap w:val="0"/>
                  <w:vAlign w:val="center"/>
                </w:tcPr>
                <w:p w14:paraId="708992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3.0</w:t>
                  </w:r>
                </w:p>
              </w:tc>
            </w:tr>
            <w:tr w14:paraId="07D60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vMerge w:val="restart"/>
                  <w:tcBorders>
                    <w:tl2br w:val="nil"/>
                    <w:tr2bl w:val="nil"/>
                  </w:tcBorders>
                  <w:noWrap w:val="0"/>
                  <w:vAlign w:val="center"/>
                </w:tcPr>
                <w:p w14:paraId="103685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w:t>
                  </w:r>
                </w:p>
              </w:tc>
              <w:tc>
                <w:tcPr>
                  <w:tcW w:w="294" w:type="pct"/>
                  <w:vMerge w:val="restart"/>
                  <w:tcBorders>
                    <w:tl2br w:val="nil"/>
                    <w:tr2bl w:val="nil"/>
                  </w:tcBorders>
                  <w:noWrap w:val="0"/>
                  <w:vAlign w:val="center"/>
                </w:tcPr>
                <w:p w14:paraId="03446E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厂界无组织</w:t>
                  </w:r>
                </w:p>
              </w:tc>
              <w:tc>
                <w:tcPr>
                  <w:tcW w:w="293" w:type="pct"/>
                  <w:tcBorders>
                    <w:tl2br w:val="nil"/>
                    <w:tr2bl w:val="nil"/>
                  </w:tcBorders>
                  <w:noWrap w:val="0"/>
                  <w:vAlign w:val="center"/>
                </w:tcPr>
                <w:p w14:paraId="78D787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397" w:type="pct"/>
                  <w:tcBorders>
                    <w:tl2br w:val="nil"/>
                    <w:tr2bl w:val="nil"/>
                  </w:tcBorders>
                  <w:noWrap w:val="0"/>
                  <w:vAlign w:val="center"/>
                </w:tcPr>
                <w:p w14:paraId="109B69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451" w:type="pct"/>
                  <w:tcBorders>
                    <w:tl2br w:val="nil"/>
                    <w:tr2bl w:val="nil"/>
                  </w:tcBorders>
                  <w:noWrap w:val="0"/>
                  <w:vAlign w:val="center"/>
                </w:tcPr>
                <w:p w14:paraId="2705F9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489" w:type="pct"/>
                  <w:tcBorders>
                    <w:tl2br w:val="nil"/>
                    <w:tr2bl w:val="nil"/>
                  </w:tcBorders>
                  <w:noWrap w:val="0"/>
                  <w:vAlign w:val="center"/>
                </w:tcPr>
                <w:p w14:paraId="17EE59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224" w:type="pct"/>
                  <w:tcBorders>
                    <w:tl2br w:val="nil"/>
                    <w:tr2bl w:val="nil"/>
                  </w:tcBorders>
                  <w:noWrap w:val="0"/>
                  <w:vAlign w:val="center"/>
                </w:tcPr>
                <w:p w14:paraId="5EA6A3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391" w:type="pct"/>
                  <w:tcBorders>
                    <w:tl2br w:val="nil"/>
                    <w:tr2bl w:val="nil"/>
                  </w:tcBorders>
                  <w:noWrap w:val="0"/>
                  <w:vAlign w:val="center"/>
                </w:tcPr>
                <w:p w14:paraId="2B1DE1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299" w:type="pct"/>
                  <w:tcBorders>
                    <w:tl2br w:val="nil"/>
                    <w:tr2bl w:val="nil"/>
                  </w:tcBorders>
                  <w:noWrap w:val="0"/>
                  <w:vAlign w:val="center"/>
                </w:tcPr>
                <w:p w14:paraId="3A7248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c>
                <w:tcPr>
                  <w:tcW w:w="1007" w:type="pct"/>
                  <w:tcBorders>
                    <w:tl2br w:val="nil"/>
                    <w:tr2bl w:val="nil"/>
                  </w:tcBorders>
                  <w:noWrap w:val="0"/>
                  <w:vAlign w:val="center"/>
                </w:tcPr>
                <w:p w14:paraId="74682B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《大气污染物综合排放标准》(GB16297-1996)</w:t>
                  </w:r>
                </w:p>
              </w:tc>
              <w:tc>
                <w:tcPr>
                  <w:tcW w:w="461" w:type="pct"/>
                  <w:tcBorders>
                    <w:tl2br w:val="nil"/>
                    <w:tr2bl w:val="nil"/>
                  </w:tcBorders>
                  <w:noWrap w:val="0"/>
                  <w:vAlign w:val="center"/>
                </w:tcPr>
                <w:p w14:paraId="7A4C7B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406" w:type="pct"/>
                  <w:tcBorders>
                    <w:tl2br w:val="nil"/>
                    <w:tr2bl w:val="nil"/>
                  </w:tcBorders>
                  <w:noWrap w:val="0"/>
                  <w:vAlign w:val="center"/>
                </w:tcPr>
                <w:p w14:paraId="006062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r>
            <w:tr w14:paraId="7D2144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vMerge w:val="continue"/>
                  <w:tcBorders>
                    <w:tl2br w:val="nil"/>
                    <w:tr2bl w:val="nil"/>
                  </w:tcBorders>
                  <w:noWrap w:val="0"/>
                  <w:vAlign w:val="center"/>
                </w:tcPr>
                <w:p w14:paraId="6EFD6B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294" w:type="pct"/>
                  <w:vMerge w:val="continue"/>
                  <w:tcBorders>
                    <w:tl2br w:val="nil"/>
                    <w:tr2bl w:val="nil"/>
                  </w:tcBorders>
                  <w:noWrap w:val="0"/>
                  <w:vAlign w:val="center"/>
                </w:tcPr>
                <w:p w14:paraId="169AD9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293" w:type="pct"/>
                  <w:tcBorders>
                    <w:tl2br w:val="nil"/>
                    <w:tr2bl w:val="nil"/>
                  </w:tcBorders>
                  <w:noWrap w:val="0"/>
                  <w:vAlign w:val="center"/>
                </w:tcPr>
                <w:p w14:paraId="04643D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97" w:type="pct"/>
                  <w:tcBorders>
                    <w:tl2br w:val="nil"/>
                    <w:tr2bl w:val="nil"/>
                  </w:tcBorders>
                  <w:noWrap w:val="0"/>
                  <w:vAlign w:val="center"/>
                </w:tcPr>
                <w:p w14:paraId="512F20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VOCs</w:t>
                  </w:r>
                </w:p>
              </w:tc>
              <w:tc>
                <w:tcPr>
                  <w:tcW w:w="451" w:type="pct"/>
                  <w:tcBorders>
                    <w:tl2br w:val="nil"/>
                    <w:tr2bl w:val="nil"/>
                  </w:tcBorders>
                  <w:noWrap w:val="0"/>
                  <w:vAlign w:val="center"/>
                </w:tcPr>
                <w:p w14:paraId="631776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489" w:type="pct"/>
                  <w:tcBorders>
                    <w:tl2br w:val="nil"/>
                    <w:tr2bl w:val="nil"/>
                  </w:tcBorders>
                  <w:noWrap w:val="0"/>
                  <w:vAlign w:val="center"/>
                </w:tcPr>
                <w:p w14:paraId="083393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224" w:type="pct"/>
                  <w:tcBorders>
                    <w:tl2br w:val="nil"/>
                    <w:tr2bl w:val="nil"/>
                  </w:tcBorders>
                  <w:noWrap w:val="0"/>
                  <w:vAlign w:val="center"/>
                </w:tcPr>
                <w:p w14:paraId="1455C3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391" w:type="pct"/>
                  <w:tcBorders>
                    <w:tl2br w:val="nil"/>
                    <w:tr2bl w:val="nil"/>
                  </w:tcBorders>
                  <w:noWrap w:val="0"/>
                  <w:vAlign w:val="center"/>
                </w:tcPr>
                <w:p w14:paraId="464BB7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299" w:type="pct"/>
                  <w:tcBorders>
                    <w:tl2br w:val="nil"/>
                    <w:tr2bl w:val="nil"/>
                  </w:tcBorders>
                  <w:noWrap w:val="0"/>
                  <w:vAlign w:val="center"/>
                </w:tcPr>
                <w:p w14:paraId="36CFB2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007" w:type="pct"/>
                  <w:tcBorders>
                    <w:tl2br w:val="nil"/>
                    <w:tr2bl w:val="nil"/>
                  </w:tcBorders>
                  <w:noWrap w:val="0"/>
                  <w:vAlign w:val="center"/>
                </w:tcPr>
                <w:p w14:paraId="2AB11D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《挥发性有机物排放标准 第6部分 有机化工行业》（DB37/2801.6-2018）</w:t>
                  </w:r>
                </w:p>
              </w:tc>
              <w:tc>
                <w:tcPr>
                  <w:tcW w:w="461" w:type="pct"/>
                  <w:tcBorders>
                    <w:tl2br w:val="nil"/>
                    <w:tr2bl w:val="nil"/>
                  </w:tcBorders>
                  <w:noWrap w:val="0"/>
                  <w:vAlign w:val="center"/>
                </w:tcPr>
                <w:p w14:paraId="562AD4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406" w:type="pct"/>
                  <w:tcBorders>
                    <w:tl2br w:val="nil"/>
                    <w:tr2bl w:val="nil"/>
                  </w:tcBorders>
                  <w:noWrap w:val="0"/>
                  <w:vAlign w:val="center"/>
                </w:tcPr>
                <w:p w14:paraId="75BF33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49D5E1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83" w:type="pct"/>
                  <w:vMerge w:val="continue"/>
                  <w:tcBorders>
                    <w:tl2br w:val="nil"/>
                    <w:tr2bl w:val="nil"/>
                  </w:tcBorders>
                  <w:noWrap w:val="0"/>
                  <w:vAlign w:val="center"/>
                </w:tcPr>
                <w:p w14:paraId="3DE6C8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294" w:type="pct"/>
                  <w:vMerge w:val="continue"/>
                  <w:tcBorders>
                    <w:tl2br w:val="nil"/>
                    <w:tr2bl w:val="nil"/>
                  </w:tcBorders>
                  <w:noWrap w:val="0"/>
                  <w:vAlign w:val="center"/>
                </w:tcPr>
                <w:p w14:paraId="015769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293" w:type="pct"/>
                  <w:tcBorders>
                    <w:tl2br w:val="nil"/>
                    <w:tr2bl w:val="nil"/>
                  </w:tcBorders>
                  <w:noWrap w:val="0"/>
                  <w:vAlign w:val="center"/>
                </w:tcPr>
                <w:p w14:paraId="79AE8F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397" w:type="pct"/>
                  <w:tcBorders>
                    <w:tl2br w:val="nil"/>
                    <w:tr2bl w:val="nil"/>
                  </w:tcBorders>
                  <w:noWrap w:val="0"/>
                  <w:vAlign w:val="center"/>
                </w:tcPr>
                <w:p w14:paraId="53126E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451" w:type="pct"/>
                  <w:tcBorders>
                    <w:tl2br w:val="nil"/>
                    <w:tr2bl w:val="nil"/>
                  </w:tcBorders>
                  <w:noWrap w:val="0"/>
                  <w:vAlign w:val="center"/>
                </w:tcPr>
                <w:p w14:paraId="0C46BF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489" w:type="pct"/>
                  <w:tcBorders>
                    <w:tl2br w:val="nil"/>
                    <w:tr2bl w:val="nil"/>
                  </w:tcBorders>
                  <w:noWrap w:val="0"/>
                  <w:vAlign w:val="center"/>
                </w:tcPr>
                <w:p w14:paraId="10ADC9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4" w:type="pct"/>
                  <w:tcBorders>
                    <w:tl2br w:val="nil"/>
                    <w:tr2bl w:val="nil"/>
                  </w:tcBorders>
                  <w:noWrap w:val="0"/>
                  <w:vAlign w:val="center"/>
                </w:tcPr>
                <w:p w14:paraId="1E1F30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91" w:type="pct"/>
                  <w:tcBorders>
                    <w:tl2br w:val="nil"/>
                    <w:tr2bl w:val="nil"/>
                  </w:tcBorders>
                  <w:noWrap w:val="0"/>
                  <w:vAlign w:val="center"/>
                </w:tcPr>
                <w:p w14:paraId="17124F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99" w:type="pct"/>
                  <w:tcBorders>
                    <w:tl2br w:val="nil"/>
                    <w:tr2bl w:val="nil"/>
                  </w:tcBorders>
                  <w:noWrap w:val="0"/>
                  <w:vAlign w:val="center"/>
                </w:tcPr>
                <w:p w14:paraId="2B58D1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007" w:type="pct"/>
                  <w:tcBorders>
                    <w:tl2br w:val="nil"/>
                    <w:tr2bl w:val="nil"/>
                  </w:tcBorders>
                  <w:noWrap w:val="0"/>
                  <w:vAlign w:val="center"/>
                </w:tcPr>
                <w:p w14:paraId="0F3CCE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《恶臭污染物排放标准》（GB14554-93）</w:t>
                  </w:r>
                </w:p>
              </w:tc>
              <w:tc>
                <w:tcPr>
                  <w:tcW w:w="461" w:type="pct"/>
                  <w:tcBorders>
                    <w:tl2br w:val="nil"/>
                    <w:tr2bl w:val="nil"/>
                  </w:tcBorders>
                  <w:noWrap w:val="0"/>
                  <w:vAlign w:val="center"/>
                </w:tcPr>
                <w:p w14:paraId="548DBC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406" w:type="pct"/>
                  <w:tcBorders>
                    <w:tl2br w:val="nil"/>
                    <w:tr2bl w:val="nil"/>
                  </w:tcBorders>
                  <w:noWrap w:val="0"/>
                  <w:vAlign w:val="center"/>
                </w:tcPr>
                <w:p w14:paraId="44ADEC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51D68A3B">
            <w:pPr>
              <w:tabs>
                <w:tab w:val="left" w:pos="5502"/>
              </w:tabs>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3、排放源信息表</w:t>
            </w:r>
            <w:r>
              <w:rPr>
                <w:rFonts w:hint="default" w:ascii="Times New Roman" w:hAnsi="Times New Roman" w:eastAsia="黑体" w:cs="Times New Roman"/>
                <w:color w:val="auto"/>
                <w:sz w:val="24"/>
                <w:szCs w:val="24"/>
                <w:highlight w:val="none"/>
                <w:lang w:val="en-US" w:eastAsia="zh-CN"/>
              </w:rPr>
              <w:tab/>
            </w:r>
          </w:p>
          <w:p w14:paraId="618388B7">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1"/>
                <w:szCs w:val="21"/>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表4-2  废气污染源强核算结果及相关参数一览表</w:t>
            </w:r>
          </w:p>
          <w:tbl>
            <w:tblPr>
              <w:tblStyle w:val="24"/>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174"/>
              <w:gridCol w:w="961"/>
              <w:gridCol w:w="1076"/>
              <w:gridCol w:w="685"/>
              <w:gridCol w:w="584"/>
              <w:gridCol w:w="602"/>
              <w:gridCol w:w="665"/>
              <w:gridCol w:w="1512"/>
              <w:gridCol w:w="798"/>
              <w:gridCol w:w="584"/>
              <w:gridCol w:w="584"/>
              <w:gridCol w:w="653"/>
              <w:gridCol w:w="685"/>
              <w:gridCol w:w="594"/>
              <w:gridCol w:w="564"/>
              <w:gridCol w:w="812"/>
            </w:tblGrid>
            <w:tr w14:paraId="40A11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68" w:type="pct"/>
                  <w:tcBorders>
                    <w:tl2br w:val="nil"/>
                    <w:tr2bl w:val="nil"/>
                  </w:tcBorders>
                  <w:noWrap w:val="0"/>
                  <w:vAlign w:val="center"/>
                </w:tcPr>
                <w:p w14:paraId="419098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产排污环节</w:t>
                  </w:r>
                </w:p>
              </w:tc>
              <w:tc>
                <w:tcPr>
                  <w:tcW w:w="383" w:type="pct"/>
                  <w:vMerge w:val="restart"/>
                  <w:tcBorders>
                    <w:tl2br w:val="nil"/>
                    <w:tr2bl w:val="nil"/>
                  </w:tcBorders>
                  <w:noWrap w:val="0"/>
                  <w:vAlign w:val="center"/>
                </w:tcPr>
                <w:p w14:paraId="308514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污染物种类</w:t>
                  </w:r>
                </w:p>
              </w:tc>
              <w:tc>
                <w:tcPr>
                  <w:tcW w:w="429" w:type="pct"/>
                  <w:vMerge w:val="restart"/>
                  <w:tcBorders>
                    <w:tl2br w:val="nil"/>
                    <w:tr2bl w:val="nil"/>
                  </w:tcBorders>
                  <w:noWrap w:val="0"/>
                  <w:vAlign w:val="center"/>
                </w:tcPr>
                <w:p w14:paraId="421D3C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核算方法</w:t>
                  </w:r>
                </w:p>
              </w:tc>
              <w:tc>
                <w:tcPr>
                  <w:tcW w:w="746" w:type="pct"/>
                  <w:gridSpan w:val="3"/>
                  <w:tcBorders>
                    <w:tl2br w:val="nil"/>
                    <w:tr2bl w:val="nil"/>
                  </w:tcBorders>
                  <w:noWrap w:val="0"/>
                  <w:vAlign w:val="center"/>
                </w:tcPr>
                <w:p w14:paraId="2130BB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污染物产生</w:t>
                  </w:r>
                </w:p>
              </w:tc>
              <w:tc>
                <w:tcPr>
                  <w:tcW w:w="265" w:type="pct"/>
                  <w:vMerge w:val="restart"/>
                  <w:tcBorders>
                    <w:tl2br w:val="nil"/>
                    <w:tr2bl w:val="nil"/>
                  </w:tcBorders>
                  <w:noWrap w:val="0"/>
                  <w:vAlign w:val="center"/>
                </w:tcPr>
                <w:p w14:paraId="4D18E5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排放形式/编号</w:t>
                  </w:r>
                </w:p>
              </w:tc>
              <w:tc>
                <w:tcPr>
                  <w:tcW w:w="1648" w:type="pct"/>
                  <w:gridSpan w:val="5"/>
                  <w:tcBorders>
                    <w:tl2br w:val="nil"/>
                    <w:tr2bl w:val="nil"/>
                  </w:tcBorders>
                  <w:noWrap w:val="0"/>
                  <w:vAlign w:val="center"/>
                </w:tcPr>
                <w:p w14:paraId="09F688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735" w:type="pct"/>
                  <w:gridSpan w:val="3"/>
                  <w:tcBorders>
                    <w:tl2br w:val="nil"/>
                    <w:tr2bl w:val="nil"/>
                  </w:tcBorders>
                  <w:noWrap w:val="0"/>
                  <w:vAlign w:val="center"/>
                </w:tcPr>
                <w:p w14:paraId="57EFAE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排放情况</w:t>
                  </w:r>
                </w:p>
              </w:tc>
              <w:tc>
                <w:tcPr>
                  <w:tcW w:w="323" w:type="pct"/>
                  <w:vMerge w:val="restart"/>
                  <w:tcBorders>
                    <w:tl2br w:val="nil"/>
                    <w:tr2bl w:val="nil"/>
                  </w:tcBorders>
                  <w:noWrap w:val="0"/>
                  <w:vAlign w:val="center"/>
                </w:tcPr>
                <w:p w14:paraId="38ABCA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核算排放时间(h)</w:t>
                  </w:r>
                </w:p>
              </w:tc>
            </w:tr>
            <w:tr w14:paraId="3F46F3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68" w:type="pct"/>
                  <w:tcBorders>
                    <w:tl2br w:val="nil"/>
                    <w:tr2bl w:val="nil"/>
                  </w:tcBorders>
                  <w:noWrap w:val="0"/>
                  <w:vAlign w:val="center"/>
                </w:tcPr>
                <w:p w14:paraId="13485D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工序</w:t>
                  </w:r>
                </w:p>
              </w:tc>
              <w:tc>
                <w:tcPr>
                  <w:tcW w:w="383" w:type="pct"/>
                  <w:vMerge w:val="continue"/>
                  <w:tcBorders>
                    <w:tl2br w:val="nil"/>
                    <w:tr2bl w:val="nil"/>
                  </w:tcBorders>
                  <w:noWrap w:val="0"/>
                  <w:vAlign w:val="center"/>
                </w:tcPr>
                <w:p w14:paraId="121DE4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429" w:type="pct"/>
                  <w:vMerge w:val="continue"/>
                  <w:tcBorders>
                    <w:tl2br w:val="nil"/>
                    <w:tr2bl w:val="nil"/>
                  </w:tcBorders>
                  <w:noWrap w:val="0"/>
                  <w:vAlign w:val="center"/>
                </w:tcPr>
                <w:p w14:paraId="5587B4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273" w:type="pct"/>
                  <w:tcBorders>
                    <w:tl2br w:val="nil"/>
                    <w:tr2bl w:val="nil"/>
                  </w:tcBorders>
                  <w:noWrap w:val="0"/>
                  <w:vAlign w:val="center"/>
                </w:tcPr>
                <w:p w14:paraId="3DBE74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232" w:type="pct"/>
                  <w:tcBorders>
                    <w:tl2br w:val="nil"/>
                    <w:tr2bl w:val="nil"/>
                  </w:tcBorders>
                  <w:noWrap w:val="0"/>
                  <w:vAlign w:val="center"/>
                </w:tcPr>
                <w:p w14:paraId="497EA6C1">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sz w:val="21"/>
                      <w:szCs w:val="21"/>
                      <w:highlight w:val="none"/>
                    </w:rPr>
                  </w:pPr>
                </w:p>
                <w:p w14:paraId="615C5F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速率</w:t>
                  </w:r>
                </w:p>
                <w:p w14:paraId="6B1D85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c>
                <w:tcPr>
                  <w:tcW w:w="240" w:type="pct"/>
                  <w:tcBorders>
                    <w:tl2br w:val="nil"/>
                    <w:tr2bl w:val="nil"/>
                  </w:tcBorders>
                  <w:noWrap w:val="0"/>
                  <w:vAlign w:val="center"/>
                </w:tcPr>
                <w:p w14:paraId="13279C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产生量(t/a)</w:t>
                  </w:r>
                </w:p>
              </w:tc>
              <w:tc>
                <w:tcPr>
                  <w:tcW w:w="265" w:type="pct"/>
                  <w:vMerge w:val="continue"/>
                  <w:tcBorders>
                    <w:tl2br w:val="nil"/>
                    <w:tr2bl w:val="nil"/>
                  </w:tcBorders>
                  <w:noWrap w:val="0"/>
                  <w:vAlign w:val="center"/>
                </w:tcPr>
                <w:p w14:paraId="56CACE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603" w:type="pct"/>
                  <w:tcBorders>
                    <w:tl2br w:val="nil"/>
                    <w:tr2bl w:val="nil"/>
                  </w:tcBorders>
                  <w:noWrap w:val="0"/>
                  <w:vAlign w:val="center"/>
                </w:tcPr>
                <w:p w14:paraId="5905B9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设施名称</w:t>
                  </w:r>
                </w:p>
              </w:tc>
              <w:tc>
                <w:tcPr>
                  <w:tcW w:w="318" w:type="pct"/>
                  <w:tcBorders>
                    <w:tl2br w:val="nil"/>
                    <w:tr2bl w:val="nil"/>
                  </w:tcBorders>
                  <w:noWrap w:val="0"/>
                  <w:vAlign w:val="center"/>
                </w:tcPr>
                <w:p w14:paraId="52B8C04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w:t>
                  </w:r>
                </w:p>
                <w:p w14:paraId="4B3F36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能力</w:t>
                  </w:r>
                </w:p>
                <w:p w14:paraId="49CE54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232" w:type="pct"/>
                  <w:tcBorders>
                    <w:tl2br w:val="nil"/>
                    <w:tr2bl w:val="nil"/>
                  </w:tcBorders>
                  <w:noWrap w:val="0"/>
                  <w:vAlign w:val="center"/>
                </w:tcPr>
                <w:p w14:paraId="6CAF53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收集</w:t>
                  </w:r>
                </w:p>
                <w:p w14:paraId="085A0D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效率</w:t>
                  </w:r>
                </w:p>
                <w:p w14:paraId="25CD61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32" w:type="pct"/>
                  <w:tcBorders>
                    <w:tl2br w:val="nil"/>
                    <w:tr2bl w:val="nil"/>
                  </w:tcBorders>
                  <w:noWrap w:val="0"/>
                  <w:vAlign w:val="center"/>
                </w:tcPr>
                <w:p w14:paraId="4DAAEF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去除</w:t>
                  </w:r>
                </w:p>
                <w:p w14:paraId="082563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效率（%）</w:t>
                  </w:r>
                </w:p>
              </w:tc>
              <w:tc>
                <w:tcPr>
                  <w:tcW w:w="260" w:type="pct"/>
                  <w:tcBorders>
                    <w:tl2br w:val="nil"/>
                    <w:tr2bl w:val="nil"/>
                  </w:tcBorders>
                  <w:noWrap w:val="0"/>
                  <w:vAlign w:val="center"/>
                </w:tcPr>
                <w:p w14:paraId="3AA2D3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是否为可行技术</w:t>
                  </w:r>
                </w:p>
              </w:tc>
              <w:tc>
                <w:tcPr>
                  <w:tcW w:w="273" w:type="pct"/>
                  <w:tcBorders>
                    <w:tl2br w:val="nil"/>
                    <w:tr2bl w:val="nil"/>
                  </w:tcBorders>
                  <w:noWrap w:val="0"/>
                  <w:vAlign w:val="center"/>
                </w:tcPr>
                <w:p w14:paraId="08E184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w:t>
                  </w:r>
                </w:p>
                <w:p w14:paraId="4A05FC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w:t>
                  </w:r>
                </w:p>
                <w:p w14:paraId="6B3220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236" w:type="pct"/>
                  <w:tcBorders>
                    <w:tl2br w:val="nil"/>
                    <w:tr2bl w:val="nil"/>
                  </w:tcBorders>
                  <w:noWrap w:val="0"/>
                  <w:vAlign w:val="center"/>
                </w:tcPr>
                <w:p w14:paraId="11B75C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排放速率</w:t>
                  </w:r>
                </w:p>
                <w:p w14:paraId="37C3F6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c>
                <w:tcPr>
                  <w:tcW w:w="225" w:type="pct"/>
                  <w:tcBorders>
                    <w:tl2br w:val="nil"/>
                    <w:tr2bl w:val="nil"/>
                  </w:tcBorders>
                  <w:noWrap w:val="0"/>
                  <w:vAlign w:val="center"/>
                </w:tcPr>
                <w:p w14:paraId="3FAC2D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w:t>
                  </w:r>
                </w:p>
                <w:p w14:paraId="4C9658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323" w:type="pct"/>
                  <w:vMerge w:val="continue"/>
                  <w:tcBorders>
                    <w:tl2br w:val="nil"/>
                    <w:tr2bl w:val="nil"/>
                  </w:tcBorders>
                  <w:noWrap w:val="0"/>
                  <w:vAlign w:val="center"/>
                </w:tcPr>
                <w:p w14:paraId="2E7975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r>
            <w:tr w14:paraId="4BA8E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5" w:hRule="atLeast"/>
              </w:trPr>
              <w:tc>
                <w:tcPr>
                  <w:tcW w:w="468" w:type="pct"/>
                  <w:tcBorders>
                    <w:tl2br w:val="nil"/>
                    <w:tr2bl w:val="nil"/>
                  </w:tcBorders>
                  <w:noWrap w:val="0"/>
                  <w:vAlign w:val="center"/>
                </w:tcPr>
                <w:p w14:paraId="456885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w:t>
                  </w:r>
                </w:p>
              </w:tc>
              <w:tc>
                <w:tcPr>
                  <w:tcW w:w="383" w:type="pct"/>
                  <w:tcBorders>
                    <w:tl2br w:val="nil"/>
                    <w:tr2bl w:val="nil"/>
                  </w:tcBorders>
                  <w:noWrap w:val="0"/>
                  <w:vAlign w:val="center"/>
                </w:tcPr>
                <w:p w14:paraId="394E42C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429" w:type="pct"/>
                  <w:tcBorders>
                    <w:tl2br w:val="nil"/>
                    <w:tr2bl w:val="nil"/>
                  </w:tcBorders>
                  <w:noWrap w:val="0"/>
                  <w:vAlign w:val="center"/>
                </w:tcPr>
                <w:p w14:paraId="21302D7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类比法</w:t>
                  </w:r>
                </w:p>
              </w:tc>
              <w:tc>
                <w:tcPr>
                  <w:tcW w:w="273" w:type="pct"/>
                  <w:tcBorders>
                    <w:tl2br w:val="nil"/>
                    <w:tr2bl w:val="nil"/>
                  </w:tcBorders>
                  <w:noWrap w:val="0"/>
                  <w:vAlign w:val="center"/>
                </w:tcPr>
                <w:p w14:paraId="17D0C62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48.889</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c>
                <w:tcPr>
                  <w:tcW w:w="232" w:type="pct"/>
                  <w:tcBorders>
                    <w:tl2br w:val="nil"/>
                    <w:tr2bl w:val="nil"/>
                  </w:tcBorders>
                  <w:noWrap w:val="0"/>
                  <w:vAlign w:val="center"/>
                </w:tcPr>
                <w:p w14:paraId="5E4DB54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0.733</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c>
                <w:tcPr>
                  <w:tcW w:w="240" w:type="pct"/>
                  <w:tcBorders>
                    <w:tl2br w:val="nil"/>
                    <w:tr2bl w:val="nil"/>
                  </w:tcBorders>
                  <w:noWrap w:val="0"/>
                  <w:vAlign w:val="center"/>
                </w:tcPr>
                <w:p w14:paraId="4BD4C9E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1.760</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c>
                <w:tcPr>
                  <w:tcW w:w="265" w:type="pct"/>
                  <w:tcBorders>
                    <w:tl2br w:val="nil"/>
                    <w:tr2bl w:val="nil"/>
                  </w:tcBorders>
                  <w:noWrap w:val="0"/>
                  <w:vAlign w:val="center"/>
                </w:tcPr>
                <w:p w14:paraId="21EFC280">
                  <w:pPr>
                    <w:keepNext w:val="0"/>
                    <w:keepLines w:val="0"/>
                    <w:widowControl/>
                    <w:suppressLineNumbers w:val="0"/>
                    <w:jc w:val="both"/>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DA001</w:t>
                  </w:r>
                </w:p>
              </w:tc>
              <w:tc>
                <w:tcPr>
                  <w:tcW w:w="603" w:type="pct"/>
                  <w:tcBorders>
                    <w:tl2br w:val="nil"/>
                    <w:tr2bl w:val="nil"/>
                  </w:tcBorders>
                  <w:noWrap w:val="0"/>
                  <w:vAlign w:val="center"/>
                </w:tcPr>
                <w:p w14:paraId="07C27B4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TA001袋式除尘器</w:t>
                  </w:r>
                </w:p>
              </w:tc>
              <w:tc>
                <w:tcPr>
                  <w:tcW w:w="318" w:type="pct"/>
                  <w:tcBorders>
                    <w:tl2br w:val="nil"/>
                    <w:tr2bl w:val="nil"/>
                  </w:tcBorders>
                  <w:noWrap w:val="0"/>
                  <w:vAlign w:val="center"/>
                </w:tcPr>
                <w:p w14:paraId="3A14DA9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15000 </w:t>
                  </w:r>
                </w:p>
              </w:tc>
              <w:tc>
                <w:tcPr>
                  <w:tcW w:w="232" w:type="pct"/>
                  <w:tcBorders>
                    <w:tl2br w:val="nil"/>
                    <w:tr2bl w:val="nil"/>
                  </w:tcBorders>
                  <w:noWrap w:val="0"/>
                  <w:vAlign w:val="center"/>
                </w:tcPr>
                <w:p w14:paraId="33B3EE6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232" w:type="pct"/>
                  <w:tcBorders>
                    <w:tl2br w:val="nil"/>
                    <w:tr2bl w:val="nil"/>
                  </w:tcBorders>
                  <w:noWrap w:val="0"/>
                  <w:vAlign w:val="center"/>
                </w:tcPr>
                <w:p w14:paraId="421BBD4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95%</w:t>
                  </w:r>
                </w:p>
              </w:tc>
              <w:tc>
                <w:tcPr>
                  <w:tcW w:w="260" w:type="pct"/>
                  <w:tcBorders>
                    <w:tl2br w:val="nil"/>
                    <w:tr2bl w:val="nil"/>
                  </w:tcBorders>
                  <w:noWrap w:val="0"/>
                  <w:vAlign w:val="center"/>
                </w:tcPr>
                <w:p w14:paraId="236C0D2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273" w:type="pct"/>
                  <w:tcBorders>
                    <w:tl2br w:val="nil"/>
                    <w:tr2bl w:val="nil"/>
                  </w:tcBorders>
                  <w:noWrap w:val="0"/>
                  <w:vAlign w:val="center"/>
                </w:tcPr>
                <w:p w14:paraId="73E7D80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2.444</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c>
                <w:tcPr>
                  <w:tcW w:w="236" w:type="pct"/>
                  <w:tcBorders>
                    <w:tl2br w:val="nil"/>
                    <w:tr2bl w:val="nil"/>
                  </w:tcBorders>
                  <w:noWrap w:val="0"/>
                  <w:vAlign w:val="center"/>
                </w:tcPr>
                <w:p w14:paraId="6C1FE32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0.037</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c>
                <w:tcPr>
                  <w:tcW w:w="225" w:type="pct"/>
                  <w:tcBorders>
                    <w:tl2br w:val="nil"/>
                    <w:tr2bl w:val="nil"/>
                  </w:tcBorders>
                  <w:noWrap w:val="0"/>
                  <w:vAlign w:val="center"/>
                </w:tcPr>
                <w:p w14:paraId="2047B53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0.088</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c>
                <w:tcPr>
                  <w:tcW w:w="323" w:type="pct"/>
                  <w:tcBorders>
                    <w:tl2br w:val="nil"/>
                    <w:tr2bl w:val="nil"/>
                  </w:tcBorders>
                  <w:noWrap w:val="0"/>
                  <w:vAlign w:val="center"/>
                </w:tcPr>
                <w:p w14:paraId="561FAC4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2400 </w:t>
                  </w:r>
                </w:p>
              </w:tc>
            </w:tr>
            <w:tr w14:paraId="1DC24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68" w:type="pct"/>
                  <w:vMerge w:val="restart"/>
                  <w:tcBorders>
                    <w:tl2br w:val="nil"/>
                    <w:tr2bl w:val="nil"/>
                  </w:tcBorders>
                  <w:noWrap w:val="0"/>
                  <w:vAlign w:val="center"/>
                </w:tcPr>
                <w:p w14:paraId="1BC7AE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DA002</w:t>
                  </w:r>
                </w:p>
              </w:tc>
              <w:tc>
                <w:tcPr>
                  <w:tcW w:w="383" w:type="pct"/>
                  <w:tcBorders>
                    <w:tl2br w:val="nil"/>
                    <w:tr2bl w:val="nil"/>
                  </w:tcBorders>
                  <w:noWrap w:val="0"/>
                  <w:vAlign w:val="center"/>
                </w:tcPr>
                <w:p w14:paraId="5FE6E41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429" w:type="pct"/>
                  <w:tcBorders>
                    <w:tl2br w:val="nil"/>
                    <w:tr2bl w:val="nil"/>
                  </w:tcBorders>
                  <w:noWrap w:val="0"/>
                  <w:vAlign w:val="center"/>
                </w:tcPr>
                <w:p w14:paraId="08EAFB1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类比法</w:t>
                  </w:r>
                </w:p>
              </w:tc>
              <w:tc>
                <w:tcPr>
                  <w:tcW w:w="685" w:type="dxa"/>
                  <w:tcBorders>
                    <w:tl2br w:val="nil"/>
                    <w:tr2bl w:val="nil"/>
                  </w:tcBorders>
                  <w:noWrap w:val="0"/>
                  <w:vAlign w:val="center"/>
                </w:tcPr>
                <w:p w14:paraId="492014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1.260</w:t>
                  </w:r>
                </w:p>
              </w:tc>
              <w:tc>
                <w:tcPr>
                  <w:tcW w:w="584" w:type="dxa"/>
                  <w:tcBorders>
                    <w:tl2br w:val="nil"/>
                    <w:tr2bl w:val="nil"/>
                  </w:tcBorders>
                  <w:noWrap w:val="0"/>
                  <w:vAlign w:val="center"/>
                </w:tcPr>
                <w:p w14:paraId="38E646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0.006</w:t>
                  </w:r>
                </w:p>
              </w:tc>
              <w:tc>
                <w:tcPr>
                  <w:tcW w:w="240" w:type="pct"/>
                  <w:tcBorders>
                    <w:tl2br w:val="nil"/>
                    <w:tr2bl w:val="nil"/>
                  </w:tcBorders>
                  <w:noWrap w:val="0"/>
                  <w:vAlign w:val="center"/>
                </w:tcPr>
                <w:p w14:paraId="129DE3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0.015</w:t>
                  </w:r>
                  <w:r>
                    <w:rPr>
                      <w:rFonts w:hint="eastAsia" w:ascii="Times New Roman" w:hAnsi="Times New Roman" w:eastAsia="宋体" w:cs="Times New Roman"/>
                      <w:i w:val="0"/>
                      <w:iCs w:val="0"/>
                      <w:color w:val="auto"/>
                      <w:kern w:val="0"/>
                      <w:sz w:val="21"/>
                      <w:szCs w:val="21"/>
                      <w:highlight w:val="none"/>
                      <w:u w:val="none"/>
                      <w:lang w:val="en-US" w:eastAsia="zh-CN" w:bidi="ar"/>
                    </w:rPr>
                    <w:t xml:space="preserve"> </w:t>
                  </w:r>
                </w:p>
              </w:tc>
              <w:tc>
                <w:tcPr>
                  <w:tcW w:w="265" w:type="pct"/>
                  <w:vMerge w:val="restart"/>
                  <w:tcBorders>
                    <w:tl2br w:val="nil"/>
                    <w:tr2bl w:val="nil"/>
                  </w:tcBorders>
                  <w:noWrap w:val="0"/>
                  <w:vAlign w:val="center"/>
                </w:tcPr>
                <w:p w14:paraId="4464D96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DA002</w:t>
                  </w:r>
                </w:p>
              </w:tc>
              <w:tc>
                <w:tcPr>
                  <w:tcW w:w="603" w:type="pct"/>
                  <w:vMerge w:val="restart"/>
                  <w:tcBorders>
                    <w:tl2br w:val="nil"/>
                    <w:tr2bl w:val="nil"/>
                  </w:tcBorders>
                  <w:noWrap w:val="0"/>
                  <w:vAlign w:val="center"/>
                </w:tcPr>
                <w:p w14:paraId="131B977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TA004SNCR脱硝装置</w:t>
                  </w:r>
                </w:p>
              </w:tc>
              <w:tc>
                <w:tcPr>
                  <w:tcW w:w="318" w:type="pct"/>
                  <w:vMerge w:val="restart"/>
                  <w:tcBorders>
                    <w:tl2br w:val="nil"/>
                    <w:tr2bl w:val="nil"/>
                  </w:tcBorders>
                  <w:noWrap w:val="0"/>
                  <w:vAlign w:val="center"/>
                </w:tcPr>
                <w:p w14:paraId="10E4BF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5000 </w:t>
                  </w:r>
                </w:p>
              </w:tc>
              <w:tc>
                <w:tcPr>
                  <w:tcW w:w="232" w:type="pct"/>
                  <w:vMerge w:val="restart"/>
                  <w:tcBorders>
                    <w:tl2br w:val="nil"/>
                    <w:tr2bl w:val="nil"/>
                  </w:tcBorders>
                  <w:noWrap w:val="0"/>
                  <w:vAlign w:val="center"/>
                </w:tcPr>
                <w:p w14:paraId="0C0B74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232" w:type="pct"/>
                  <w:vMerge w:val="restart"/>
                  <w:tcBorders>
                    <w:tl2br w:val="nil"/>
                    <w:tr2bl w:val="nil"/>
                  </w:tcBorders>
                  <w:noWrap w:val="0"/>
                  <w:vAlign w:val="center"/>
                </w:tcPr>
                <w:p w14:paraId="4620E2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60" w:type="pct"/>
                  <w:vMerge w:val="restart"/>
                  <w:tcBorders>
                    <w:tl2br w:val="nil"/>
                    <w:tr2bl w:val="nil"/>
                  </w:tcBorders>
                  <w:noWrap w:val="0"/>
                  <w:vAlign w:val="center"/>
                </w:tcPr>
                <w:p w14:paraId="2E3BF5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是</w:t>
                  </w:r>
                </w:p>
              </w:tc>
              <w:tc>
                <w:tcPr>
                  <w:tcW w:w="273" w:type="pct"/>
                  <w:tcBorders>
                    <w:tl2br w:val="nil"/>
                    <w:tr2bl w:val="nil"/>
                  </w:tcBorders>
                  <w:noWrap w:val="0"/>
                  <w:vAlign w:val="center"/>
                </w:tcPr>
                <w:p w14:paraId="2BDA34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1.260</w:t>
                  </w:r>
                </w:p>
              </w:tc>
              <w:tc>
                <w:tcPr>
                  <w:tcW w:w="236" w:type="pct"/>
                  <w:tcBorders>
                    <w:tl2br w:val="nil"/>
                    <w:tr2bl w:val="nil"/>
                  </w:tcBorders>
                  <w:noWrap w:val="0"/>
                  <w:vAlign w:val="center"/>
                </w:tcPr>
                <w:p w14:paraId="5CF900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0.006</w:t>
                  </w:r>
                </w:p>
              </w:tc>
              <w:tc>
                <w:tcPr>
                  <w:tcW w:w="225" w:type="pct"/>
                  <w:tcBorders>
                    <w:tl2br w:val="nil"/>
                    <w:tr2bl w:val="nil"/>
                  </w:tcBorders>
                  <w:noWrap w:val="0"/>
                  <w:vAlign w:val="center"/>
                </w:tcPr>
                <w:p w14:paraId="67BF41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0.015</w:t>
                  </w:r>
                  <w:r>
                    <w:rPr>
                      <w:rFonts w:hint="eastAsia" w:ascii="Times New Roman" w:hAnsi="Times New Roman" w:eastAsia="宋体" w:cs="Times New Roman"/>
                      <w:i w:val="0"/>
                      <w:iCs w:val="0"/>
                      <w:color w:val="auto"/>
                      <w:kern w:val="0"/>
                      <w:sz w:val="21"/>
                      <w:szCs w:val="21"/>
                      <w:highlight w:val="none"/>
                      <w:u w:val="none"/>
                      <w:lang w:val="en-US" w:eastAsia="zh-CN" w:bidi="ar"/>
                    </w:rPr>
                    <w:t xml:space="preserve"> </w:t>
                  </w:r>
                </w:p>
              </w:tc>
              <w:tc>
                <w:tcPr>
                  <w:tcW w:w="323" w:type="pct"/>
                  <w:vMerge w:val="restart"/>
                  <w:tcBorders>
                    <w:tl2br w:val="nil"/>
                    <w:tr2bl w:val="nil"/>
                  </w:tcBorders>
                  <w:noWrap w:val="0"/>
                  <w:vAlign w:val="center"/>
                </w:tcPr>
                <w:p w14:paraId="5AAA9E3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2400</w:t>
                  </w:r>
                </w:p>
              </w:tc>
            </w:tr>
            <w:tr w14:paraId="436CD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68" w:type="pct"/>
                  <w:vMerge w:val="continue"/>
                  <w:tcBorders>
                    <w:tl2br w:val="nil"/>
                    <w:tr2bl w:val="nil"/>
                  </w:tcBorders>
                  <w:noWrap w:val="0"/>
                  <w:vAlign w:val="center"/>
                </w:tcPr>
                <w:p w14:paraId="606BCA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383" w:type="pct"/>
                  <w:tcBorders>
                    <w:tl2br w:val="nil"/>
                    <w:tr2bl w:val="nil"/>
                  </w:tcBorders>
                  <w:noWrap w:val="0"/>
                  <w:vAlign w:val="center"/>
                </w:tcPr>
                <w:p w14:paraId="31ECF3E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二氧化硫</w:t>
                  </w:r>
                </w:p>
              </w:tc>
              <w:tc>
                <w:tcPr>
                  <w:tcW w:w="429" w:type="pct"/>
                  <w:tcBorders>
                    <w:tl2br w:val="nil"/>
                    <w:tr2bl w:val="nil"/>
                  </w:tcBorders>
                  <w:noWrap w:val="0"/>
                  <w:vAlign w:val="center"/>
                </w:tcPr>
                <w:p w14:paraId="2DBEF87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类比法</w:t>
                  </w:r>
                </w:p>
              </w:tc>
              <w:tc>
                <w:tcPr>
                  <w:tcW w:w="685" w:type="dxa"/>
                  <w:tcBorders>
                    <w:tl2br w:val="nil"/>
                    <w:tr2bl w:val="nil"/>
                  </w:tcBorders>
                  <w:noWrap w:val="0"/>
                  <w:vAlign w:val="center"/>
                </w:tcPr>
                <w:p w14:paraId="5499B9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0.753</w:t>
                  </w:r>
                </w:p>
              </w:tc>
              <w:tc>
                <w:tcPr>
                  <w:tcW w:w="584" w:type="dxa"/>
                  <w:tcBorders>
                    <w:tl2br w:val="nil"/>
                    <w:tr2bl w:val="nil"/>
                  </w:tcBorders>
                  <w:noWrap w:val="0"/>
                  <w:vAlign w:val="center"/>
                </w:tcPr>
                <w:p w14:paraId="1E9043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0.004</w:t>
                  </w:r>
                </w:p>
              </w:tc>
              <w:tc>
                <w:tcPr>
                  <w:tcW w:w="240" w:type="pct"/>
                  <w:tcBorders>
                    <w:tl2br w:val="nil"/>
                    <w:tr2bl w:val="nil"/>
                  </w:tcBorders>
                  <w:noWrap w:val="0"/>
                  <w:vAlign w:val="center"/>
                </w:tcPr>
                <w:p w14:paraId="6D406F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0.009</w:t>
                  </w:r>
                  <w:r>
                    <w:rPr>
                      <w:rFonts w:hint="eastAsia" w:ascii="Times New Roman" w:hAnsi="Times New Roman" w:eastAsia="宋体" w:cs="Times New Roman"/>
                      <w:i w:val="0"/>
                      <w:iCs w:val="0"/>
                      <w:color w:val="auto"/>
                      <w:kern w:val="0"/>
                      <w:sz w:val="21"/>
                      <w:szCs w:val="21"/>
                      <w:highlight w:val="none"/>
                      <w:u w:val="none"/>
                      <w:lang w:val="en-US" w:eastAsia="zh-CN" w:bidi="ar"/>
                    </w:rPr>
                    <w:t xml:space="preserve"> </w:t>
                  </w:r>
                </w:p>
              </w:tc>
              <w:tc>
                <w:tcPr>
                  <w:tcW w:w="265" w:type="pct"/>
                  <w:vMerge w:val="continue"/>
                  <w:tcBorders>
                    <w:tl2br w:val="nil"/>
                    <w:tr2bl w:val="nil"/>
                  </w:tcBorders>
                  <w:noWrap w:val="0"/>
                  <w:vAlign w:val="center"/>
                </w:tcPr>
                <w:p w14:paraId="6C037E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03" w:type="pct"/>
                  <w:vMerge w:val="continue"/>
                  <w:tcBorders>
                    <w:tl2br w:val="nil"/>
                    <w:tr2bl w:val="nil"/>
                  </w:tcBorders>
                  <w:noWrap w:val="0"/>
                  <w:vAlign w:val="center"/>
                </w:tcPr>
                <w:p w14:paraId="05D298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18" w:type="pct"/>
                  <w:vMerge w:val="continue"/>
                  <w:tcBorders>
                    <w:tl2br w:val="nil"/>
                    <w:tr2bl w:val="nil"/>
                  </w:tcBorders>
                  <w:noWrap w:val="0"/>
                  <w:vAlign w:val="center"/>
                </w:tcPr>
                <w:p w14:paraId="46D0DD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32" w:type="pct"/>
                  <w:vMerge w:val="continue"/>
                  <w:tcBorders>
                    <w:tl2br w:val="nil"/>
                    <w:tr2bl w:val="nil"/>
                  </w:tcBorders>
                  <w:noWrap w:val="0"/>
                  <w:vAlign w:val="center"/>
                </w:tcPr>
                <w:p w14:paraId="35D48E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32" w:type="pct"/>
                  <w:vMerge w:val="continue"/>
                  <w:tcBorders>
                    <w:bottom w:val="single" w:color="000000" w:sz="4" w:space="0"/>
                    <w:tl2br w:val="nil"/>
                    <w:tr2bl w:val="nil"/>
                  </w:tcBorders>
                  <w:noWrap w:val="0"/>
                  <w:vAlign w:val="center"/>
                </w:tcPr>
                <w:p w14:paraId="133E3B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60" w:type="pct"/>
                  <w:vMerge w:val="continue"/>
                  <w:tcBorders>
                    <w:tl2br w:val="nil"/>
                    <w:tr2bl w:val="nil"/>
                  </w:tcBorders>
                  <w:noWrap w:val="0"/>
                  <w:vAlign w:val="center"/>
                </w:tcPr>
                <w:p w14:paraId="6AC0E9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73" w:type="pct"/>
                  <w:tcBorders>
                    <w:tl2br w:val="nil"/>
                    <w:tr2bl w:val="nil"/>
                  </w:tcBorders>
                  <w:noWrap w:val="0"/>
                  <w:vAlign w:val="center"/>
                </w:tcPr>
                <w:p w14:paraId="372614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0.753</w:t>
                  </w:r>
                </w:p>
              </w:tc>
              <w:tc>
                <w:tcPr>
                  <w:tcW w:w="236" w:type="pct"/>
                  <w:tcBorders>
                    <w:tl2br w:val="nil"/>
                    <w:tr2bl w:val="nil"/>
                  </w:tcBorders>
                  <w:noWrap w:val="0"/>
                  <w:vAlign w:val="center"/>
                </w:tcPr>
                <w:p w14:paraId="113C99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0.004</w:t>
                  </w:r>
                </w:p>
              </w:tc>
              <w:tc>
                <w:tcPr>
                  <w:tcW w:w="225" w:type="pct"/>
                  <w:tcBorders>
                    <w:tl2br w:val="nil"/>
                    <w:tr2bl w:val="nil"/>
                  </w:tcBorders>
                  <w:noWrap w:val="0"/>
                  <w:vAlign w:val="center"/>
                </w:tcPr>
                <w:p w14:paraId="0B99D1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0.009</w:t>
                  </w:r>
                  <w:r>
                    <w:rPr>
                      <w:rFonts w:hint="eastAsia" w:ascii="Times New Roman" w:hAnsi="Times New Roman" w:eastAsia="宋体" w:cs="Times New Roman"/>
                      <w:i w:val="0"/>
                      <w:iCs w:val="0"/>
                      <w:color w:val="auto"/>
                      <w:kern w:val="0"/>
                      <w:sz w:val="21"/>
                      <w:szCs w:val="21"/>
                      <w:highlight w:val="none"/>
                      <w:u w:val="none"/>
                      <w:lang w:val="en-US" w:eastAsia="zh-CN" w:bidi="ar"/>
                    </w:rPr>
                    <w:t xml:space="preserve"> </w:t>
                  </w:r>
                </w:p>
              </w:tc>
              <w:tc>
                <w:tcPr>
                  <w:tcW w:w="323" w:type="pct"/>
                  <w:vMerge w:val="continue"/>
                  <w:tcBorders>
                    <w:tl2br w:val="nil"/>
                    <w:tr2bl w:val="nil"/>
                  </w:tcBorders>
                  <w:noWrap w:val="0"/>
                  <w:vAlign w:val="center"/>
                </w:tcPr>
                <w:p w14:paraId="65B3EE5A">
                  <w:pPr>
                    <w:jc w:val="center"/>
                    <w:rPr>
                      <w:rFonts w:hint="default" w:ascii="Times New Roman" w:hAnsi="Times New Roman" w:eastAsia="宋体" w:cs="Times New Roman"/>
                      <w:color w:val="auto"/>
                      <w:sz w:val="21"/>
                      <w:szCs w:val="21"/>
                      <w:highlight w:val="none"/>
                      <w:lang w:val="en-US" w:eastAsia="zh-CN"/>
                    </w:rPr>
                  </w:pPr>
                </w:p>
              </w:tc>
            </w:tr>
            <w:tr w14:paraId="785794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7" w:hRule="atLeast"/>
              </w:trPr>
              <w:tc>
                <w:tcPr>
                  <w:tcW w:w="468" w:type="pct"/>
                  <w:vMerge w:val="continue"/>
                  <w:tcBorders>
                    <w:tl2br w:val="nil"/>
                    <w:tr2bl w:val="nil"/>
                  </w:tcBorders>
                  <w:noWrap w:val="0"/>
                  <w:vAlign w:val="center"/>
                </w:tcPr>
                <w:p w14:paraId="7AD7EC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83" w:type="pct"/>
                  <w:tcBorders>
                    <w:bottom w:val="single" w:color="000000" w:sz="4" w:space="0"/>
                    <w:tl2br w:val="nil"/>
                    <w:tr2bl w:val="nil"/>
                  </w:tcBorders>
                  <w:noWrap w:val="0"/>
                  <w:vAlign w:val="center"/>
                </w:tcPr>
                <w:p w14:paraId="6E05EC6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氮氧化物</w:t>
                  </w:r>
                </w:p>
              </w:tc>
              <w:tc>
                <w:tcPr>
                  <w:tcW w:w="429" w:type="pct"/>
                  <w:tcBorders>
                    <w:bottom w:val="single" w:color="000000" w:sz="4" w:space="0"/>
                    <w:tl2br w:val="nil"/>
                    <w:tr2bl w:val="nil"/>
                  </w:tcBorders>
                  <w:noWrap w:val="0"/>
                  <w:vAlign w:val="center"/>
                </w:tcPr>
                <w:p w14:paraId="33E4646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类比法</w:t>
                  </w:r>
                </w:p>
              </w:tc>
              <w:tc>
                <w:tcPr>
                  <w:tcW w:w="273" w:type="pct"/>
                  <w:tcBorders>
                    <w:bottom w:val="single" w:color="000000" w:sz="4" w:space="0"/>
                    <w:tl2br w:val="nil"/>
                    <w:tr2bl w:val="nil"/>
                  </w:tcBorders>
                  <w:noWrap w:val="0"/>
                  <w:vAlign w:val="center"/>
                </w:tcPr>
                <w:p w14:paraId="126FF2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14.112</w:t>
                  </w:r>
                  <w:r>
                    <w:rPr>
                      <w:rFonts w:hint="eastAsia" w:ascii="Times New Roman" w:hAnsi="Times New Roman" w:eastAsia="宋体" w:cs="Times New Roman"/>
                      <w:i w:val="0"/>
                      <w:iCs w:val="0"/>
                      <w:color w:val="auto"/>
                      <w:kern w:val="0"/>
                      <w:sz w:val="21"/>
                      <w:szCs w:val="21"/>
                      <w:highlight w:val="none"/>
                      <w:u w:val="none"/>
                      <w:lang w:val="en-US" w:eastAsia="zh-CN" w:bidi="ar"/>
                    </w:rPr>
                    <w:t xml:space="preserve"> </w:t>
                  </w:r>
                </w:p>
              </w:tc>
              <w:tc>
                <w:tcPr>
                  <w:tcW w:w="232" w:type="pct"/>
                  <w:tcBorders>
                    <w:bottom w:val="single" w:color="000000" w:sz="4" w:space="0"/>
                    <w:tl2br w:val="nil"/>
                    <w:tr2bl w:val="nil"/>
                  </w:tcBorders>
                  <w:noWrap w:val="0"/>
                  <w:vAlign w:val="center"/>
                </w:tcPr>
                <w:p w14:paraId="524BCD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071</w:t>
                  </w:r>
                  <w:r>
                    <w:rPr>
                      <w:rFonts w:hint="eastAsia" w:ascii="Times New Roman" w:hAnsi="Times New Roman" w:eastAsia="宋体" w:cs="Times New Roman"/>
                      <w:i w:val="0"/>
                      <w:iCs w:val="0"/>
                      <w:color w:val="auto"/>
                      <w:kern w:val="0"/>
                      <w:sz w:val="21"/>
                      <w:szCs w:val="21"/>
                      <w:highlight w:val="none"/>
                      <w:u w:val="none"/>
                      <w:lang w:val="en-US" w:eastAsia="zh-CN" w:bidi="ar"/>
                    </w:rPr>
                    <w:t xml:space="preserve"> </w:t>
                  </w:r>
                </w:p>
              </w:tc>
              <w:tc>
                <w:tcPr>
                  <w:tcW w:w="240" w:type="pct"/>
                  <w:tcBorders>
                    <w:bottom w:val="single" w:color="000000" w:sz="4" w:space="0"/>
                    <w:tl2br w:val="nil"/>
                    <w:tr2bl w:val="nil"/>
                  </w:tcBorders>
                  <w:noWrap w:val="0"/>
                  <w:vAlign w:val="center"/>
                </w:tcPr>
                <w:p w14:paraId="212652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0.17</w:t>
                  </w:r>
                  <w:r>
                    <w:rPr>
                      <w:rFonts w:hint="eastAsia" w:ascii="Times New Roman" w:hAnsi="Times New Roman" w:eastAsia="宋体" w:cs="Times New Roman"/>
                      <w:i w:val="0"/>
                      <w:iCs w:val="0"/>
                      <w:color w:val="auto"/>
                      <w:kern w:val="0"/>
                      <w:sz w:val="21"/>
                      <w:szCs w:val="21"/>
                      <w:highlight w:val="none"/>
                      <w:u w:val="none"/>
                      <w:lang w:val="en-US" w:eastAsia="zh-CN" w:bidi="ar"/>
                    </w:rPr>
                    <w:t xml:space="preserve"> </w:t>
                  </w:r>
                </w:p>
              </w:tc>
              <w:tc>
                <w:tcPr>
                  <w:tcW w:w="265" w:type="pct"/>
                  <w:vMerge w:val="continue"/>
                  <w:tcBorders>
                    <w:tl2br w:val="nil"/>
                    <w:tr2bl w:val="nil"/>
                  </w:tcBorders>
                  <w:noWrap w:val="0"/>
                  <w:vAlign w:val="center"/>
                </w:tcPr>
                <w:p w14:paraId="4348AC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03" w:type="pct"/>
                  <w:vMerge w:val="continue"/>
                  <w:tcBorders>
                    <w:tl2br w:val="nil"/>
                    <w:tr2bl w:val="nil"/>
                  </w:tcBorders>
                  <w:noWrap w:val="0"/>
                  <w:vAlign w:val="center"/>
                </w:tcPr>
                <w:p w14:paraId="33BAC6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18" w:type="pct"/>
                  <w:vMerge w:val="continue"/>
                  <w:tcBorders>
                    <w:tl2br w:val="nil"/>
                    <w:tr2bl w:val="nil"/>
                  </w:tcBorders>
                  <w:noWrap w:val="0"/>
                  <w:vAlign w:val="center"/>
                </w:tcPr>
                <w:p w14:paraId="4B76AE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32" w:type="pct"/>
                  <w:vMerge w:val="continue"/>
                  <w:tcBorders>
                    <w:tl2br w:val="nil"/>
                    <w:tr2bl w:val="nil"/>
                  </w:tcBorders>
                  <w:noWrap w:val="0"/>
                  <w:vAlign w:val="center"/>
                </w:tcPr>
                <w:p w14:paraId="52C279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32" w:type="pct"/>
                  <w:tcBorders>
                    <w:top w:val="single" w:color="000000" w:sz="4" w:space="0"/>
                    <w:bottom w:val="single" w:color="000000" w:sz="4" w:space="0"/>
                    <w:tl2br w:val="nil"/>
                    <w:tr2bl w:val="nil"/>
                  </w:tcBorders>
                  <w:noWrap w:val="0"/>
                  <w:vAlign w:val="center"/>
                </w:tcPr>
                <w:p w14:paraId="7ABA254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50%</w:t>
                  </w:r>
                </w:p>
              </w:tc>
              <w:tc>
                <w:tcPr>
                  <w:tcW w:w="260" w:type="pct"/>
                  <w:vMerge w:val="continue"/>
                  <w:tcBorders>
                    <w:tl2br w:val="nil"/>
                    <w:tr2bl w:val="nil"/>
                  </w:tcBorders>
                  <w:noWrap w:val="0"/>
                  <w:vAlign w:val="center"/>
                </w:tcPr>
                <w:p w14:paraId="37331F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73" w:type="pct"/>
                  <w:tcBorders>
                    <w:bottom w:val="single" w:color="000000" w:sz="4" w:space="0"/>
                    <w:tl2br w:val="nil"/>
                    <w:tr2bl w:val="nil"/>
                  </w:tcBorders>
                  <w:noWrap w:val="0"/>
                  <w:vAlign w:val="center"/>
                </w:tcPr>
                <w:p w14:paraId="61DC1A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7.056</w:t>
                  </w:r>
                </w:p>
              </w:tc>
              <w:tc>
                <w:tcPr>
                  <w:tcW w:w="236" w:type="pct"/>
                  <w:tcBorders>
                    <w:bottom w:val="single" w:color="000000" w:sz="4" w:space="0"/>
                    <w:tl2br w:val="nil"/>
                    <w:tr2bl w:val="nil"/>
                  </w:tcBorders>
                  <w:noWrap w:val="0"/>
                  <w:vAlign w:val="center"/>
                </w:tcPr>
                <w:p w14:paraId="426F85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0.035</w:t>
                  </w:r>
                </w:p>
              </w:tc>
              <w:tc>
                <w:tcPr>
                  <w:tcW w:w="225" w:type="pct"/>
                  <w:tcBorders>
                    <w:bottom w:val="single" w:color="000000" w:sz="4" w:space="0"/>
                    <w:tl2br w:val="nil"/>
                    <w:tr2bl w:val="nil"/>
                  </w:tcBorders>
                  <w:noWrap w:val="0"/>
                  <w:vAlign w:val="center"/>
                </w:tcPr>
                <w:p w14:paraId="1365E8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0.085</w:t>
                  </w:r>
                  <w:r>
                    <w:rPr>
                      <w:rFonts w:hint="eastAsia" w:ascii="Times New Roman" w:hAnsi="Times New Roman" w:eastAsia="宋体" w:cs="Times New Roman"/>
                      <w:i w:val="0"/>
                      <w:iCs w:val="0"/>
                      <w:color w:val="auto"/>
                      <w:kern w:val="0"/>
                      <w:sz w:val="21"/>
                      <w:szCs w:val="21"/>
                      <w:highlight w:val="none"/>
                      <w:u w:val="none"/>
                      <w:lang w:val="en-US" w:eastAsia="zh-CN" w:bidi="ar"/>
                    </w:rPr>
                    <w:t xml:space="preserve"> </w:t>
                  </w:r>
                </w:p>
              </w:tc>
              <w:tc>
                <w:tcPr>
                  <w:tcW w:w="323" w:type="pct"/>
                  <w:vMerge w:val="continue"/>
                  <w:tcBorders>
                    <w:tl2br w:val="nil"/>
                    <w:tr2bl w:val="nil"/>
                  </w:tcBorders>
                  <w:noWrap w:val="0"/>
                  <w:vAlign w:val="center"/>
                </w:tcPr>
                <w:p w14:paraId="0B013F1F">
                  <w:pPr>
                    <w:jc w:val="center"/>
                    <w:rPr>
                      <w:rFonts w:hint="default" w:ascii="Times New Roman" w:hAnsi="Times New Roman" w:eastAsia="宋体" w:cs="Times New Roman"/>
                      <w:color w:val="auto"/>
                      <w:kern w:val="2"/>
                      <w:sz w:val="21"/>
                      <w:szCs w:val="21"/>
                      <w:highlight w:val="none"/>
                      <w:lang w:val="en-US" w:eastAsia="zh-CN" w:bidi="ar-SA"/>
                    </w:rPr>
                  </w:pPr>
                </w:p>
              </w:tc>
            </w:tr>
            <w:tr w14:paraId="207B84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5" w:hRule="atLeast"/>
              </w:trPr>
              <w:tc>
                <w:tcPr>
                  <w:tcW w:w="468" w:type="pct"/>
                  <w:vMerge w:val="continue"/>
                  <w:tcBorders>
                    <w:tl2br w:val="nil"/>
                    <w:tr2bl w:val="nil"/>
                  </w:tcBorders>
                  <w:noWrap w:val="0"/>
                  <w:vAlign w:val="center"/>
                </w:tcPr>
                <w:p w14:paraId="730110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83" w:type="pct"/>
                  <w:tcBorders>
                    <w:top w:val="single" w:color="000000" w:sz="4" w:space="0"/>
                    <w:tl2br w:val="nil"/>
                    <w:tr2bl w:val="nil"/>
                  </w:tcBorders>
                  <w:noWrap w:val="0"/>
                  <w:vAlign w:val="center"/>
                </w:tcPr>
                <w:p w14:paraId="6E0962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氨</w:t>
                  </w:r>
                </w:p>
              </w:tc>
              <w:tc>
                <w:tcPr>
                  <w:tcW w:w="429" w:type="pct"/>
                  <w:tcBorders>
                    <w:top w:val="single" w:color="000000" w:sz="4" w:space="0"/>
                    <w:tl2br w:val="nil"/>
                    <w:tr2bl w:val="nil"/>
                  </w:tcBorders>
                  <w:noWrap w:val="0"/>
                  <w:vAlign w:val="center"/>
                </w:tcPr>
                <w:p w14:paraId="2677BB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类比法</w:t>
                  </w:r>
                </w:p>
              </w:tc>
              <w:tc>
                <w:tcPr>
                  <w:tcW w:w="273" w:type="pct"/>
                  <w:tcBorders>
                    <w:top w:val="single" w:color="000000" w:sz="4" w:space="0"/>
                    <w:tl2br w:val="nil"/>
                    <w:tr2bl w:val="nil"/>
                  </w:tcBorders>
                  <w:noWrap w:val="0"/>
                  <w:vAlign w:val="center"/>
                </w:tcPr>
                <w:p w14:paraId="08BA8A4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w:t>
                  </w:r>
                </w:p>
              </w:tc>
              <w:tc>
                <w:tcPr>
                  <w:tcW w:w="232" w:type="pct"/>
                  <w:tcBorders>
                    <w:top w:val="single" w:color="000000" w:sz="4" w:space="0"/>
                    <w:tl2br w:val="nil"/>
                    <w:tr2bl w:val="nil"/>
                  </w:tcBorders>
                  <w:noWrap w:val="0"/>
                  <w:vAlign w:val="center"/>
                </w:tcPr>
                <w:p w14:paraId="595756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0.04</w:t>
                  </w:r>
                </w:p>
              </w:tc>
              <w:tc>
                <w:tcPr>
                  <w:tcW w:w="240" w:type="pct"/>
                  <w:tcBorders>
                    <w:top w:val="single" w:color="000000" w:sz="4" w:space="0"/>
                    <w:tl2br w:val="nil"/>
                    <w:tr2bl w:val="nil"/>
                  </w:tcBorders>
                  <w:noWrap w:val="0"/>
                  <w:vAlign w:val="center"/>
                </w:tcPr>
                <w:p w14:paraId="53F46B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0.096</w:t>
                  </w:r>
                </w:p>
              </w:tc>
              <w:tc>
                <w:tcPr>
                  <w:tcW w:w="265" w:type="pct"/>
                  <w:vMerge w:val="continue"/>
                  <w:tcBorders>
                    <w:tl2br w:val="nil"/>
                    <w:tr2bl w:val="nil"/>
                  </w:tcBorders>
                  <w:noWrap w:val="0"/>
                  <w:vAlign w:val="center"/>
                </w:tcPr>
                <w:p w14:paraId="2E709C5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03" w:type="pct"/>
                  <w:vMerge w:val="continue"/>
                  <w:tcBorders>
                    <w:tl2br w:val="nil"/>
                    <w:tr2bl w:val="nil"/>
                  </w:tcBorders>
                  <w:noWrap w:val="0"/>
                  <w:vAlign w:val="center"/>
                </w:tcPr>
                <w:p w14:paraId="5D87D0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18" w:type="pct"/>
                  <w:vMerge w:val="continue"/>
                  <w:tcBorders>
                    <w:tl2br w:val="nil"/>
                    <w:tr2bl w:val="nil"/>
                  </w:tcBorders>
                  <w:noWrap w:val="0"/>
                  <w:vAlign w:val="center"/>
                </w:tcPr>
                <w:p w14:paraId="2B722A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32" w:type="pct"/>
                  <w:vMerge w:val="continue"/>
                  <w:tcBorders>
                    <w:tl2br w:val="nil"/>
                    <w:tr2bl w:val="nil"/>
                  </w:tcBorders>
                  <w:noWrap w:val="0"/>
                  <w:vAlign w:val="center"/>
                </w:tcPr>
                <w:p w14:paraId="55D391C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32" w:type="pct"/>
                  <w:tcBorders>
                    <w:top w:val="single" w:color="000000" w:sz="4" w:space="0"/>
                    <w:bottom w:val="single" w:color="000000" w:sz="4" w:space="0"/>
                    <w:tl2br w:val="nil"/>
                    <w:tr2bl w:val="nil"/>
                  </w:tcBorders>
                  <w:noWrap w:val="0"/>
                  <w:vAlign w:val="center"/>
                </w:tcPr>
                <w:p w14:paraId="5A6714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260" w:type="pct"/>
                  <w:vMerge w:val="continue"/>
                  <w:tcBorders>
                    <w:tl2br w:val="nil"/>
                    <w:tr2bl w:val="nil"/>
                  </w:tcBorders>
                  <w:noWrap w:val="0"/>
                  <w:vAlign w:val="center"/>
                </w:tcPr>
                <w:p w14:paraId="42D41E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73" w:type="pct"/>
                  <w:tcBorders>
                    <w:top w:val="single" w:color="000000" w:sz="4" w:space="0"/>
                    <w:bottom w:val="single" w:color="000000" w:sz="4" w:space="0"/>
                    <w:tl2br w:val="nil"/>
                    <w:tr2bl w:val="nil"/>
                  </w:tcBorders>
                  <w:noWrap w:val="0"/>
                  <w:vAlign w:val="center"/>
                </w:tcPr>
                <w:p w14:paraId="318B23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w:t>
                  </w:r>
                </w:p>
              </w:tc>
              <w:tc>
                <w:tcPr>
                  <w:tcW w:w="236" w:type="pct"/>
                  <w:tcBorders>
                    <w:top w:val="single" w:color="000000" w:sz="4" w:space="0"/>
                    <w:bottom w:val="single" w:color="000000" w:sz="4" w:space="0"/>
                    <w:tl2br w:val="nil"/>
                    <w:tr2bl w:val="nil"/>
                  </w:tcBorders>
                  <w:noWrap w:val="0"/>
                  <w:vAlign w:val="center"/>
                </w:tcPr>
                <w:p w14:paraId="0409F08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0.04</w:t>
                  </w:r>
                </w:p>
              </w:tc>
              <w:tc>
                <w:tcPr>
                  <w:tcW w:w="225" w:type="pct"/>
                  <w:tcBorders>
                    <w:top w:val="single" w:color="000000" w:sz="4" w:space="0"/>
                    <w:bottom w:val="single" w:color="000000" w:sz="4" w:space="0"/>
                    <w:tl2br w:val="nil"/>
                    <w:tr2bl w:val="nil"/>
                  </w:tcBorders>
                  <w:noWrap w:val="0"/>
                  <w:vAlign w:val="center"/>
                </w:tcPr>
                <w:p w14:paraId="2FB12A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0.096</w:t>
                  </w:r>
                </w:p>
              </w:tc>
              <w:tc>
                <w:tcPr>
                  <w:tcW w:w="323" w:type="pct"/>
                  <w:vMerge w:val="continue"/>
                  <w:tcBorders>
                    <w:tl2br w:val="nil"/>
                    <w:tr2bl w:val="nil"/>
                  </w:tcBorders>
                  <w:noWrap w:val="0"/>
                  <w:vAlign w:val="center"/>
                </w:tcPr>
                <w:p w14:paraId="66CFFCAC">
                  <w:pPr>
                    <w:jc w:val="center"/>
                    <w:rPr>
                      <w:rFonts w:hint="default" w:ascii="Times New Roman" w:hAnsi="Times New Roman" w:eastAsia="宋体" w:cs="Times New Roman"/>
                      <w:color w:val="auto"/>
                      <w:kern w:val="2"/>
                      <w:sz w:val="21"/>
                      <w:szCs w:val="21"/>
                      <w:highlight w:val="none"/>
                      <w:lang w:val="en-US" w:eastAsia="zh-CN" w:bidi="ar-SA"/>
                    </w:rPr>
                  </w:pPr>
                </w:p>
              </w:tc>
            </w:tr>
            <w:tr w14:paraId="1277D4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4" w:hRule="atLeast"/>
              </w:trPr>
              <w:tc>
                <w:tcPr>
                  <w:tcW w:w="468" w:type="pct"/>
                  <w:tcBorders>
                    <w:tl2br w:val="nil"/>
                    <w:tr2bl w:val="nil"/>
                  </w:tcBorders>
                  <w:noWrap w:val="0"/>
                  <w:vAlign w:val="center"/>
                </w:tcPr>
                <w:p w14:paraId="366419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trike w:val="0"/>
                      <w:dstrike w:val="0"/>
                      <w:color w:val="auto"/>
                      <w:highlight w:val="none"/>
                      <w:lang w:val="en-US" w:eastAsia="zh-CN"/>
                    </w:rPr>
                  </w:pPr>
                  <w:r>
                    <w:rPr>
                      <w:rFonts w:hint="default" w:ascii="Times New Roman" w:hAnsi="Times New Roman" w:cs="Times New Roman"/>
                      <w:strike w:val="0"/>
                      <w:dstrike w:val="0"/>
                      <w:color w:val="auto"/>
                      <w:kern w:val="2"/>
                      <w:sz w:val="21"/>
                      <w:szCs w:val="21"/>
                      <w:highlight w:val="none"/>
                      <w:lang w:val="en-US" w:eastAsia="zh-CN" w:bidi="ar-SA"/>
                    </w:rPr>
                    <w:t>DA003</w:t>
                  </w:r>
                </w:p>
              </w:tc>
              <w:tc>
                <w:tcPr>
                  <w:tcW w:w="383" w:type="pct"/>
                  <w:tcBorders>
                    <w:tl2br w:val="nil"/>
                    <w:tr2bl w:val="nil"/>
                  </w:tcBorders>
                  <w:noWrap w:val="0"/>
                  <w:vAlign w:val="center"/>
                </w:tcPr>
                <w:p w14:paraId="1C43C1FD">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颗粒物</w:t>
                  </w:r>
                </w:p>
              </w:tc>
              <w:tc>
                <w:tcPr>
                  <w:tcW w:w="429" w:type="pct"/>
                  <w:tcBorders>
                    <w:tl2br w:val="nil"/>
                    <w:tr2bl w:val="nil"/>
                  </w:tcBorders>
                  <w:noWrap w:val="0"/>
                  <w:vAlign w:val="center"/>
                </w:tcPr>
                <w:p w14:paraId="3AE69508">
                  <w:pPr>
                    <w:keepNext w:val="0"/>
                    <w:keepLines w:val="0"/>
                    <w:widowControl/>
                    <w:suppressLineNumbers w:val="0"/>
                    <w:jc w:val="center"/>
                    <w:textAlignment w:val="center"/>
                    <w:rPr>
                      <w:rFonts w:hint="default" w:ascii="Times New Roman" w:hAnsi="Times New Roman" w:eastAsia="宋体" w:cs="Times New Roman"/>
                      <w:strike w:val="0"/>
                      <w:dstrike w:val="0"/>
                      <w:color w:val="auto"/>
                      <w:sz w:val="21"/>
                      <w:szCs w:val="21"/>
                      <w:highlight w:val="none"/>
                      <w:lang w:val="en-US" w:eastAsia="zh-CN"/>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产污系数法</w:t>
                  </w:r>
                </w:p>
              </w:tc>
              <w:tc>
                <w:tcPr>
                  <w:tcW w:w="273" w:type="pct"/>
                  <w:tcBorders>
                    <w:tl2br w:val="nil"/>
                    <w:tr2bl w:val="nil"/>
                  </w:tcBorders>
                  <w:noWrap w:val="0"/>
                  <w:vAlign w:val="center"/>
                </w:tcPr>
                <w:p w14:paraId="4445A8D0">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92.640 </w:t>
                  </w:r>
                </w:p>
              </w:tc>
              <w:tc>
                <w:tcPr>
                  <w:tcW w:w="232" w:type="pct"/>
                  <w:tcBorders>
                    <w:tl2br w:val="nil"/>
                    <w:tr2bl w:val="nil"/>
                  </w:tcBorders>
                  <w:noWrap w:val="0"/>
                  <w:vAlign w:val="center"/>
                </w:tcPr>
                <w:p w14:paraId="1704BF1A">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0.278 </w:t>
                  </w:r>
                </w:p>
              </w:tc>
              <w:tc>
                <w:tcPr>
                  <w:tcW w:w="240" w:type="pct"/>
                  <w:tcBorders>
                    <w:tl2br w:val="nil"/>
                    <w:tr2bl w:val="nil"/>
                  </w:tcBorders>
                  <w:noWrap w:val="0"/>
                  <w:vAlign w:val="center"/>
                </w:tcPr>
                <w:p w14:paraId="4EF7FA75">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0.667 </w:t>
                  </w:r>
                </w:p>
              </w:tc>
              <w:tc>
                <w:tcPr>
                  <w:tcW w:w="265" w:type="pct"/>
                  <w:tcBorders>
                    <w:tl2br w:val="nil"/>
                    <w:tr2bl w:val="nil"/>
                  </w:tcBorders>
                  <w:noWrap w:val="0"/>
                  <w:vAlign w:val="center"/>
                </w:tcPr>
                <w:p w14:paraId="642BFB2A">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DA003</w:t>
                  </w:r>
                </w:p>
              </w:tc>
              <w:tc>
                <w:tcPr>
                  <w:tcW w:w="603" w:type="pct"/>
                  <w:tcBorders>
                    <w:tl2br w:val="nil"/>
                    <w:tr2bl w:val="nil"/>
                  </w:tcBorders>
                  <w:noWrap w:val="0"/>
                  <w:vAlign w:val="center"/>
                </w:tcPr>
                <w:p w14:paraId="39E086CF">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TA002袋式除尘器</w:t>
                  </w:r>
                </w:p>
              </w:tc>
              <w:tc>
                <w:tcPr>
                  <w:tcW w:w="318" w:type="pct"/>
                  <w:tcBorders>
                    <w:tl2br w:val="nil"/>
                    <w:tr2bl w:val="nil"/>
                  </w:tcBorders>
                  <w:noWrap w:val="0"/>
                  <w:vAlign w:val="center"/>
                </w:tcPr>
                <w:p w14:paraId="08C3E71F">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3000 </w:t>
                  </w:r>
                </w:p>
              </w:tc>
              <w:tc>
                <w:tcPr>
                  <w:tcW w:w="232" w:type="pct"/>
                  <w:tcBorders>
                    <w:tl2br w:val="nil"/>
                    <w:tr2bl w:val="nil"/>
                  </w:tcBorders>
                  <w:noWrap w:val="0"/>
                  <w:vAlign w:val="center"/>
                </w:tcPr>
                <w:p w14:paraId="67829105">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90%</w:t>
                  </w:r>
                </w:p>
              </w:tc>
              <w:tc>
                <w:tcPr>
                  <w:tcW w:w="232" w:type="pct"/>
                  <w:tcBorders>
                    <w:top w:val="single" w:color="000000" w:sz="4" w:space="0"/>
                    <w:tl2br w:val="nil"/>
                    <w:tr2bl w:val="nil"/>
                  </w:tcBorders>
                  <w:noWrap w:val="0"/>
                  <w:vAlign w:val="center"/>
                </w:tcPr>
                <w:p w14:paraId="02DB449D">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95%</w:t>
                  </w:r>
                </w:p>
              </w:tc>
              <w:tc>
                <w:tcPr>
                  <w:tcW w:w="260" w:type="pct"/>
                  <w:tcBorders>
                    <w:tl2br w:val="nil"/>
                    <w:tr2bl w:val="nil"/>
                  </w:tcBorders>
                  <w:noWrap w:val="0"/>
                  <w:vAlign w:val="center"/>
                </w:tcPr>
                <w:p w14:paraId="1E8C273D">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是</w:t>
                  </w:r>
                </w:p>
              </w:tc>
              <w:tc>
                <w:tcPr>
                  <w:tcW w:w="273" w:type="pct"/>
                  <w:tcBorders>
                    <w:top w:val="single" w:color="000000" w:sz="4" w:space="0"/>
                    <w:tl2br w:val="nil"/>
                    <w:tr2bl w:val="nil"/>
                  </w:tcBorders>
                  <w:noWrap w:val="0"/>
                  <w:vAlign w:val="center"/>
                </w:tcPr>
                <w:p w14:paraId="1EE722E4">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4.632 </w:t>
                  </w:r>
                </w:p>
              </w:tc>
              <w:tc>
                <w:tcPr>
                  <w:tcW w:w="236" w:type="pct"/>
                  <w:tcBorders>
                    <w:top w:val="single" w:color="000000" w:sz="4" w:space="0"/>
                    <w:tl2br w:val="nil"/>
                    <w:tr2bl w:val="nil"/>
                  </w:tcBorders>
                  <w:noWrap w:val="0"/>
                  <w:vAlign w:val="center"/>
                </w:tcPr>
                <w:p w14:paraId="78F3D5DC">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0.014 </w:t>
                  </w:r>
                </w:p>
              </w:tc>
              <w:tc>
                <w:tcPr>
                  <w:tcW w:w="225" w:type="pct"/>
                  <w:tcBorders>
                    <w:top w:val="single" w:color="000000" w:sz="4" w:space="0"/>
                    <w:tl2br w:val="nil"/>
                    <w:tr2bl w:val="nil"/>
                  </w:tcBorders>
                  <w:noWrap w:val="0"/>
                  <w:vAlign w:val="center"/>
                </w:tcPr>
                <w:p w14:paraId="5862BE5D">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0.033 </w:t>
                  </w:r>
                </w:p>
              </w:tc>
              <w:tc>
                <w:tcPr>
                  <w:tcW w:w="323" w:type="pct"/>
                  <w:tcBorders>
                    <w:tl2br w:val="nil"/>
                    <w:tr2bl w:val="nil"/>
                  </w:tcBorders>
                  <w:noWrap w:val="0"/>
                  <w:vAlign w:val="center"/>
                </w:tcPr>
                <w:p w14:paraId="03728A53">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2400 </w:t>
                  </w:r>
                </w:p>
              </w:tc>
            </w:tr>
            <w:tr w14:paraId="2613E8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1" w:hRule="atLeast"/>
              </w:trPr>
              <w:tc>
                <w:tcPr>
                  <w:tcW w:w="468" w:type="pct"/>
                  <w:tcBorders>
                    <w:tl2br w:val="nil"/>
                    <w:tr2bl w:val="nil"/>
                  </w:tcBorders>
                  <w:noWrap w:val="0"/>
                  <w:vAlign w:val="center"/>
                </w:tcPr>
                <w:p w14:paraId="2F993C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cs="Times New Roman"/>
                      <w:strike w:val="0"/>
                      <w:dstrike w:val="0"/>
                      <w:color w:val="auto"/>
                      <w:kern w:val="2"/>
                      <w:sz w:val="21"/>
                      <w:szCs w:val="21"/>
                      <w:highlight w:val="none"/>
                      <w:lang w:val="en-US" w:eastAsia="zh-CN" w:bidi="ar-SA"/>
                    </w:rPr>
                    <w:t>DA004</w:t>
                  </w:r>
                </w:p>
              </w:tc>
              <w:tc>
                <w:tcPr>
                  <w:tcW w:w="383" w:type="pct"/>
                  <w:tcBorders>
                    <w:tl2br w:val="nil"/>
                    <w:tr2bl w:val="nil"/>
                  </w:tcBorders>
                  <w:noWrap w:val="0"/>
                  <w:vAlign w:val="center"/>
                </w:tcPr>
                <w:p w14:paraId="4F2BB416">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颗粒物</w:t>
                  </w:r>
                </w:p>
              </w:tc>
              <w:tc>
                <w:tcPr>
                  <w:tcW w:w="429" w:type="pct"/>
                  <w:tcBorders>
                    <w:tl2br w:val="nil"/>
                    <w:tr2bl w:val="nil"/>
                  </w:tcBorders>
                  <w:noWrap w:val="0"/>
                  <w:vAlign w:val="center"/>
                </w:tcPr>
                <w:p w14:paraId="05AD4012">
                  <w:pPr>
                    <w:keepNext w:val="0"/>
                    <w:keepLines w:val="0"/>
                    <w:widowControl/>
                    <w:suppressLineNumbers w:val="0"/>
                    <w:jc w:val="center"/>
                    <w:textAlignment w:val="center"/>
                    <w:rPr>
                      <w:rFonts w:hint="default" w:ascii="Times New Roman" w:hAnsi="Times New Roman" w:eastAsia="宋体" w:cs="Times New Roman"/>
                      <w:strike w:val="0"/>
                      <w:dstrike w:val="0"/>
                      <w:color w:val="auto"/>
                      <w:sz w:val="21"/>
                      <w:szCs w:val="21"/>
                      <w:highlight w:val="none"/>
                      <w:lang w:val="en-US" w:eastAsia="zh-CN"/>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产污系数法</w:t>
                  </w:r>
                </w:p>
              </w:tc>
              <w:tc>
                <w:tcPr>
                  <w:tcW w:w="273" w:type="pct"/>
                  <w:tcBorders>
                    <w:tl2br w:val="nil"/>
                    <w:tr2bl w:val="nil"/>
                  </w:tcBorders>
                  <w:noWrap w:val="0"/>
                  <w:vAlign w:val="center"/>
                </w:tcPr>
                <w:p w14:paraId="29C36F83">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12.540 </w:t>
                  </w:r>
                </w:p>
              </w:tc>
              <w:tc>
                <w:tcPr>
                  <w:tcW w:w="232" w:type="pct"/>
                  <w:tcBorders>
                    <w:tl2br w:val="nil"/>
                    <w:tr2bl w:val="nil"/>
                  </w:tcBorders>
                  <w:noWrap w:val="0"/>
                  <w:vAlign w:val="center"/>
                </w:tcPr>
                <w:p w14:paraId="71C34F1B">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0.038 </w:t>
                  </w:r>
                </w:p>
              </w:tc>
              <w:tc>
                <w:tcPr>
                  <w:tcW w:w="240" w:type="pct"/>
                  <w:tcBorders>
                    <w:tl2br w:val="nil"/>
                    <w:tr2bl w:val="nil"/>
                  </w:tcBorders>
                  <w:noWrap w:val="0"/>
                  <w:vAlign w:val="center"/>
                </w:tcPr>
                <w:p w14:paraId="7C035CA8">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0.090 </w:t>
                  </w:r>
                </w:p>
              </w:tc>
              <w:tc>
                <w:tcPr>
                  <w:tcW w:w="265" w:type="pct"/>
                  <w:tcBorders>
                    <w:tl2br w:val="nil"/>
                    <w:tr2bl w:val="nil"/>
                  </w:tcBorders>
                  <w:noWrap w:val="0"/>
                  <w:vAlign w:val="center"/>
                </w:tcPr>
                <w:p w14:paraId="2302D7A0">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DA004</w:t>
                  </w:r>
                </w:p>
              </w:tc>
              <w:tc>
                <w:tcPr>
                  <w:tcW w:w="603" w:type="pct"/>
                  <w:tcBorders>
                    <w:tl2br w:val="nil"/>
                    <w:tr2bl w:val="nil"/>
                  </w:tcBorders>
                  <w:noWrap w:val="0"/>
                  <w:vAlign w:val="center"/>
                </w:tcPr>
                <w:p w14:paraId="6CED64F6">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TA003袋式除尘器</w:t>
                  </w:r>
                </w:p>
              </w:tc>
              <w:tc>
                <w:tcPr>
                  <w:tcW w:w="318" w:type="pct"/>
                  <w:tcBorders>
                    <w:tl2br w:val="nil"/>
                    <w:tr2bl w:val="nil"/>
                  </w:tcBorders>
                  <w:noWrap w:val="0"/>
                  <w:vAlign w:val="center"/>
                </w:tcPr>
                <w:p w14:paraId="15A6A0FB">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3000 </w:t>
                  </w:r>
                </w:p>
              </w:tc>
              <w:tc>
                <w:tcPr>
                  <w:tcW w:w="232" w:type="pct"/>
                  <w:tcBorders>
                    <w:tl2br w:val="nil"/>
                    <w:tr2bl w:val="nil"/>
                  </w:tcBorders>
                  <w:noWrap w:val="0"/>
                  <w:vAlign w:val="center"/>
                </w:tcPr>
                <w:p w14:paraId="0E768E61">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90%</w:t>
                  </w:r>
                </w:p>
              </w:tc>
              <w:tc>
                <w:tcPr>
                  <w:tcW w:w="232" w:type="pct"/>
                  <w:tcBorders>
                    <w:tl2br w:val="nil"/>
                    <w:tr2bl w:val="nil"/>
                  </w:tcBorders>
                  <w:noWrap w:val="0"/>
                  <w:vAlign w:val="center"/>
                </w:tcPr>
                <w:p w14:paraId="4168F16C">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95%</w:t>
                  </w:r>
                </w:p>
              </w:tc>
              <w:tc>
                <w:tcPr>
                  <w:tcW w:w="260" w:type="pct"/>
                  <w:tcBorders>
                    <w:tl2br w:val="nil"/>
                    <w:tr2bl w:val="nil"/>
                  </w:tcBorders>
                  <w:noWrap w:val="0"/>
                  <w:vAlign w:val="center"/>
                </w:tcPr>
                <w:p w14:paraId="2DDED01C">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是</w:t>
                  </w:r>
                </w:p>
              </w:tc>
              <w:tc>
                <w:tcPr>
                  <w:tcW w:w="273" w:type="pct"/>
                  <w:tcBorders>
                    <w:tl2br w:val="nil"/>
                    <w:tr2bl w:val="nil"/>
                  </w:tcBorders>
                  <w:noWrap w:val="0"/>
                  <w:vAlign w:val="center"/>
                </w:tcPr>
                <w:p w14:paraId="088B4C85">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0.627 </w:t>
                  </w:r>
                </w:p>
              </w:tc>
              <w:tc>
                <w:tcPr>
                  <w:tcW w:w="236" w:type="pct"/>
                  <w:tcBorders>
                    <w:tl2br w:val="nil"/>
                    <w:tr2bl w:val="nil"/>
                  </w:tcBorders>
                  <w:noWrap w:val="0"/>
                  <w:vAlign w:val="center"/>
                </w:tcPr>
                <w:p w14:paraId="02AB0830">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0.002 </w:t>
                  </w:r>
                </w:p>
              </w:tc>
              <w:tc>
                <w:tcPr>
                  <w:tcW w:w="225" w:type="pct"/>
                  <w:tcBorders>
                    <w:tl2br w:val="nil"/>
                    <w:tr2bl w:val="nil"/>
                  </w:tcBorders>
                  <w:noWrap w:val="0"/>
                  <w:vAlign w:val="center"/>
                </w:tcPr>
                <w:p w14:paraId="18765A3B">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0.005 </w:t>
                  </w:r>
                </w:p>
              </w:tc>
              <w:tc>
                <w:tcPr>
                  <w:tcW w:w="323" w:type="pct"/>
                  <w:tcBorders>
                    <w:tl2br w:val="nil"/>
                    <w:tr2bl w:val="nil"/>
                  </w:tcBorders>
                  <w:noWrap w:val="0"/>
                  <w:vAlign w:val="center"/>
                </w:tcPr>
                <w:p w14:paraId="3C886076">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2400 </w:t>
                  </w:r>
                </w:p>
              </w:tc>
            </w:tr>
            <w:tr w14:paraId="43F9D9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21" w:hRule="atLeast"/>
              </w:trPr>
              <w:tc>
                <w:tcPr>
                  <w:tcW w:w="468" w:type="pct"/>
                  <w:tcBorders>
                    <w:tl2br w:val="nil"/>
                    <w:tr2bl w:val="nil"/>
                  </w:tcBorders>
                  <w:noWrap w:val="0"/>
                  <w:vAlign w:val="center"/>
                </w:tcPr>
                <w:p w14:paraId="29AF5B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cs="Times New Roman"/>
                      <w:strike w:val="0"/>
                      <w:dstrike w:val="0"/>
                      <w:color w:val="auto"/>
                      <w:kern w:val="2"/>
                      <w:sz w:val="21"/>
                      <w:szCs w:val="21"/>
                      <w:highlight w:val="none"/>
                      <w:lang w:val="en-US" w:eastAsia="zh-CN" w:bidi="ar-SA"/>
                    </w:rPr>
                    <w:t>DA005</w:t>
                  </w:r>
                </w:p>
              </w:tc>
              <w:tc>
                <w:tcPr>
                  <w:tcW w:w="383" w:type="pct"/>
                  <w:tcBorders>
                    <w:tl2br w:val="nil"/>
                    <w:tr2bl w:val="nil"/>
                  </w:tcBorders>
                  <w:noWrap w:val="0"/>
                  <w:vAlign w:val="center"/>
                </w:tcPr>
                <w:p w14:paraId="779904A2">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VOCs</w:t>
                  </w:r>
                </w:p>
              </w:tc>
              <w:tc>
                <w:tcPr>
                  <w:tcW w:w="429" w:type="pct"/>
                  <w:tcBorders>
                    <w:tl2br w:val="nil"/>
                    <w:tr2bl w:val="nil"/>
                  </w:tcBorders>
                  <w:noWrap w:val="0"/>
                  <w:vAlign w:val="center"/>
                </w:tcPr>
                <w:p w14:paraId="603562F9">
                  <w:pPr>
                    <w:keepNext w:val="0"/>
                    <w:keepLines w:val="0"/>
                    <w:widowControl/>
                    <w:suppressLineNumbers w:val="0"/>
                    <w:jc w:val="center"/>
                    <w:textAlignment w:val="center"/>
                    <w:rPr>
                      <w:rFonts w:hint="default" w:ascii="Times New Roman" w:hAnsi="Times New Roman" w:eastAsia="宋体" w:cs="Times New Roman"/>
                      <w:strike w:val="0"/>
                      <w:dstrike w:val="0"/>
                      <w:color w:val="auto"/>
                      <w:sz w:val="21"/>
                      <w:szCs w:val="21"/>
                      <w:highlight w:val="none"/>
                      <w:lang w:val="en-US" w:eastAsia="zh-CN"/>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产污系数法</w:t>
                  </w:r>
                </w:p>
              </w:tc>
              <w:tc>
                <w:tcPr>
                  <w:tcW w:w="273" w:type="pct"/>
                  <w:tcBorders>
                    <w:tl2br w:val="nil"/>
                    <w:tr2bl w:val="nil"/>
                  </w:tcBorders>
                  <w:noWrap w:val="0"/>
                  <w:vAlign w:val="center"/>
                </w:tcPr>
                <w:p w14:paraId="4A197918">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17.500 </w:t>
                  </w:r>
                </w:p>
              </w:tc>
              <w:tc>
                <w:tcPr>
                  <w:tcW w:w="232" w:type="pct"/>
                  <w:tcBorders>
                    <w:tl2br w:val="nil"/>
                    <w:tr2bl w:val="nil"/>
                  </w:tcBorders>
                  <w:noWrap w:val="0"/>
                  <w:vAlign w:val="center"/>
                </w:tcPr>
                <w:p w14:paraId="497AB931">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0.053 </w:t>
                  </w:r>
                </w:p>
              </w:tc>
              <w:tc>
                <w:tcPr>
                  <w:tcW w:w="240" w:type="pct"/>
                  <w:tcBorders>
                    <w:tl2br w:val="nil"/>
                    <w:tr2bl w:val="nil"/>
                  </w:tcBorders>
                  <w:noWrap w:val="0"/>
                  <w:vAlign w:val="center"/>
                </w:tcPr>
                <w:p w14:paraId="25232C61">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0.126 </w:t>
                  </w:r>
                </w:p>
              </w:tc>
              <w:tc>
                <w:tcPr>
                  <w:tcW w:w="265" w:type="pct"/>
                  <w:tcBorders>
                    <w:tl2br w:val="nil"/>
                    <w:tr2bl w:val="nil"/>
                  </w:tcBorders>
                  <w:noWrap w:val="0"/>
                  <w:vAlign w:val="center"/>
                </w:tcPr>
                <w:p w14:paraId="06369C22">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DA005</w:t>
                  </w:r>
                </w:p>
              </w:tc>
              <w:tc>
                <w:tcPr>
                  <w:tcW w:w="603" w:type="pct"/>
                  <w:tcBorders>
                    <w:tl2br w:val="nil"/>
                    <w:tr2bl w:val="nil"/>
                  </w:tcBorders>
                  <w:noWrap w:val="0"/>
                  <w:vAlign w:val="center"/>
                </w:tcPr>
                <w:p w14:paraId="7F14809A">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eastAsia" w:cs="Times New Roman"/>
                      <w:i w:val="0"/>
                      <w:iCs w:val="0"/>
                      <w:strike w:val="0"/>
                      <w:dstrike w:val="0"/>
                      <w:color w:val="auto"/>
                      <w:kern w:val="0"/>
                      <w:sz w:val="21"/>
                      <w:szCs w:val="21"/>
                      <w:highlight w:val="none"/>
                      <w:u w:val="none"/>
                      <w:lang w:val="en-US" w:eastAsia="zh-CN" w:bidi="ar"/>
                    </w:rPr>
                    <w:t>TA005</w:t>
                  </w: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除雾器+二级活性炭</w:t>
                  </w:r>
                </w:p>
              </w:tc>
              <w:tc>
                <w:tcPr>
                  <w:tcW w:w="318" w:type="pct"/>
                  <w:tcBorders>
                    <w:tl2br w:val="nil"/>
                    <w:tr2bl w:val="nil"/>
                  </w:tcBorders>
                  <w:noWrap w:val="0"/>
                  <w:vAlign w:val="center"/>
                </w:tcPr>
                <w:p w14:paraId="43B349EC">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3000 </w:t>
                  </w:r>
                </w:p>
              </w:tc>
              <w:tc>
                <w:tcPr>
                  <w:tcW w:w="232" w:type="pct"/>
                  <w:tcBorders>
                    <w:tl2br w:val="nil"/>
                    <w:tr2bl w:val="nil"/>
                  </w:tcBorders>
                  <w:noWrap w:val="0"/>
                  <w:vAlign w:val="center"/>
                </w:tcPr>
                <w:p w14:paraId="351DF706">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90%</w:t>
                  </w:r>
                </w:p>
              </w:tc>
              <w:tc>
                <w:tcPr>
                  <w:tcW w:w="232" w:type="pct"/>
                  <w:tcBorders>
                    <w:tl2br w:val="nil"/>
                    <w:tr2bl w:val="nil"/>
                  </w:tcBorders>
                  <w:noWrap w:val="0"/>
                  <w:vAlign w:val="center"/>
                </w:tcPr>
                <w:p w14:paraId="5A659DFF">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90%</w:t>
                  </w:r>
                </w:p>
              </w:tc>
              <w:tc>
                <w:tcPr>
                  <w:tcW w:w="260" w:type="pct"/>
                  <w:tcBorders>
                    <w:tl2br w:val="nil"/>
                    <w:tr2bl w:val="nil"/>
                  </w:tcBorders>
                  <w:noWrap w:val="0"/>
                  <w:vAlign w:val="center"/>
                </w:tcPr>
                <w:p w14:paraId="4B1EEC5E">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是</w:t>
                  </w:r>
                </w:p>
              </w:tc>
              <w:tc>
                <w:tcPr>
                  <w:tcW w:w="273" w:type="pct"/>
                  <w:tcBorders>
                    <w:tl2br w:val="nil"/>
                    <w:tr2bl w:val="nil"/>
                  </w:tcBorders>
                  <w:noWrap w:val="0"/>
                  <w:vAlign w:val="center"/>
                </w:tcPr>
                <w:p w14:paraId="11F14694">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t xml:space="preserve">1.750 </w:t>
                  </w:r>
                </w:p>
              </w:tc>
              <w:tc>
                <w:tcPr>
                  <w:tcW w:w="236" w:type="pct"/>
                  <w:tcBorders>
                    <w:tl2br w:val="nil"/>
                    <w:tr2bl w:val="nil"/>
                  </w:tcBorders>
                  <w:noWrap w:val="0"/>
                  <w:vAlign w:val="center"/>
                </w:tcPr>
                <w:p w14:paraId="621E73C9">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t xml:space="preserve">0.005 </w:t>
                  </w:r>
                </w:p>
              </w:tc>
              <w:tc>
                <w:tcPr>
                  <w:tcW w:w="225" w:type="pct"/>
                  <w:tcBorders>
                    <w:tl2br w:val="nil"/>
                    <w:tr2bl w:val="nil"/>
                  </w:tcBorders>
                  <w:noWrap w:val="0"/>
                  <w:vAlign w:val="center"/>
                </w:tcPr>
                <w:p w14:paraId="5C6EB17E">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t xml:space="preserve">0.013 </w:t>
                  </w:r>
                </w:p>
              </w:tc>
              <w:tc>
                <w:tcPr>
                  <w:tcW w:w="323" w:type="pct"/>
                  <w:tcBorders>
                    <w:tl2br w:val="nil"/>
                    <w:tr2bl w:val="nil"/>
                  </w:tcBorders>
                  <w:noWrap w:val="0"/>
                  <w:vAlign w:val="center"/>
                </w:tcPr>
                <w:p w14:paraId="3B316E3D">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2400 </w:t>
                  </w:r>
                </w:p>
              </w:tc>
            </w:tr>
            <w:tr w14:paraId="15F3C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5" w:hRule="atLeast"/>
              </w:trPr>
              <w:tc>
                <w:tcPr>
                  <w:tcW w:w="468" w:type="pct"/>
                  <w:tcBorders>
                    <w:tl2br w:val="nil"/>
                    <w:tr2bl w:val="nil"/>
                  </w:tcBorders>
                  <w:noWrap w:val="0"/>
                  <w:vAlign w:val="center"/>
                </w:tcPr>
                <w:p w14:paraId="3987E9BB">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配料、球磨、微粉过筛</w:t>
                  </w:r>
                </w:p>
              </w:tc>
              <w:tc>
                <w:tcPr>
                  <w:tcW w:w="383" w:type="pct"/>
                  <w:tcBorders>
                    <w:tl2br w:val="nil"/>
                    <w:tr2bl w:val="nil"/>
                  </w:tcBorders>
                  <w:noWrap w:val="0"/>
                  <w:vAlign w:val="center"/>
                </w:tcPr>
                <w:p w14:paraId="3E41D56B">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颗粒物</w:t>
                  </w:r>
                </w:p>
              </w:tc>
              <w:tc>
                <w:tcPr>
                  <w:tcW w:w="429" w:type="pct"/>
                  <w:tcBorders>
                    <w:tl2br w:val="nil"/>
                    <w:tr2bl w:val="nil"/>
                  </w:tcBorders>
                  <w:noWrap w:val="0"/>
                  <w:vAlign w:val="center"/>
                </w:tcPr>
                <w:p w14:paraId="4D82A6DA">
                  <w:pPr>
                    <w:keepNext w:val="0"/>
                    <w:keepLines w:val="0"/>
                    <w:widowControl/>
                    <w:suppressLineNumbers w:val="0"/>
                    <w:jc w:val="center"/>
                    <w:textAlignment w:val="center"/>
                    <w:rPr>
                      <w:rFonts w:hint="default" w:ascii="Times New Roman" w:hAnsi="Times New Roman" w:eastAsia="宋体" w:cs="Times New Roman"/>
                      <w:strike w:val="0"/>
                      <w:dstrike w:val="0"/>
                      <w:color w:val="auto"/>
                      <w:sz w:val="21"/>
                      <w:szCs w:val="21"/>
                      <w:highlight w:val="none"/>
                      <w:lang w:val="en-US" w:eastAsia="zh-CN"/>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产污系数法</w:t>
                  </w:r>
                </w:p>
              </w:tc>
              <w:tc>
                <w:tcPr>
                  <w:tcW w:w="273" w:type="pct"/>
                  <w:tcBorders>
                    <w:tl2br w:val="nil"/>
                    <w:tr2bl w:val="nil"/>
                  </w:tcBorders>
                  <w:noWrap w:val="0"/>
                  <w:vAlign w:val="center"/>
                </w:tcPr>
                <w:p w14:paraId="57CA4E38">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2" w:type="pct"/>
                  <w:tcBorders>
                    <w:tl2br w:val="nil"/>
                    <w:tr2bl w:val="nil"/>
                  </w:tcBorders>
                  <w:noWrap w:val="0"/>
                  <w:vAlign w:val="center"/>
                </w:tcPr>
                <w:p w14:paraId="0ED83597">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40" w:type="pct"/>
                  <w:tcBorders>
                    <w:tl2br w:val="nil"/>
                    <w:tr2bl w:val="nil"/>
                  </w:tcBorders>
                  <w:noWrap w:val="0"/>
                  <w:vAlign w:val="center"/>
                </w:tcPr>
                <w:p w14:paraId="4FA80705">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eastAsia" w:cs="Times New Roman"/>
                      <w:i w:val="0"/>
                      <w:iCs w:val="0"/>
                      <w:strike w:val="0"/>
                      <w:dstrike w:val="0"/>
                      <w:color w:val="auto"/>
                      <w:kern w:val="0"/>
                      <w:sz w:val="21"/>
                      <w:szCs w:val="21"/>
                      <w:highlight w:val="none"/>
                      <w:u w:val="none"/>
                      <w:lang w:val="en-US" w:eastAsia="zh-CN" w:bidi="ar"/>
                    </w:rPr>
                    <w:t>0.091</w:t>
                  </w: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 </w:t>
                  </w:r>
                </w:p>
              </w:tc>
              <w:tc>
                <w:tcPr>
                  <w:tcW w:w="265" w:type="pct"/>
                  <w:tcBorders>
                    <w:tl2br w:val="nil"/>
                    <w:tr2bl w:val="nil"/>
                  </w:tcBorders>
                  <w:noWrap w:val="0"/>
                  <w:vAlign w:val="center"/>
                </w:tcPr>
                <w:p w14:paraId="62CA5F9F">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无组织</w:t>
                  </w:r>
                </w:p>
              </w:tc>
              <w:tc>
                <w:tcPr>
                  <w:tcW w:w="603" w:type="pct"/>
                  <w:tcBorders>
                    <w:tl2br w:val="nil"/>
                    <w:tr2bl w:val="nil"/>
                  </w:tcBorders>
                  <w:noWrap w:val="0"/>
                  <w:vAlign w:val="center"/>
                </w:tcPr>
                <w:p w14:paraId="0BD5717D">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eastAsia" w:cs="Times New Roman"/>
                      <w:i w:val="0"/>
                      <w:iCs w:val="0"/>
                      <w:strike w:val="0"/>
                      <w:dstrike w:val="0"/>
                      <w:color w:val="auto"/>
                      <w:kern w:val="0"/>
                      <w:sz w:val="21"/>
                      <w:szCs w:val="21"/>
                      <w:highlight w:val="none"/>
                      <w:u w:val="none"/>
                      <w:lang w:val="en-US" w:eastAsia="zh-CN" w:bidi="ar"/>
                    </w:rPr>
                    <w:t>加强车间密闭</w:t>
                  </w:r>
                </w:p>
              </w:tc>
              <w:tc>
                <w:tcPr>
                  <w:tcW w:w="318" w:type="pct"/>
                  <w:tcBorders>
                    <w:tl2br w:val="nil"/>
                    <w:tr2bl w:val="nil"/>
                  </w:tcBorders>
                  <w:noWrap w:val="0"/>
                  <w:vAlign w:val="center"/>
                </w:tcPr>
                <w:p w14:paraId="106D174B">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2" w:type="pct"/>
                  <w:tcBorders>
                    <w:tl2br w:val="nil"/>
                    <w:tr2bl w:val="nil"/>
                  </w:tcBorders>
                  <w:noWrap w:val="0"/>
                  <w:vAlign w:val="center"/>
                </w:tcPr>
                <w:p w14:paraId="088158B8">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2" w:type="pct"/>
                  <w:tcBorders>
                    <w:tl2br w:val="nil"/>
                    <w:tr2bl w:val="nil"/>
                  </w:tcBorders>
                  <w:noWrap w:val="0"/>
                  <w:vAlign w:val="center"/>
                </w:tcPr>
                <w:p w14:paraId="4A36DE60">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60" w:type="pct"/>
                  <w:tcBorders>
                    <w:tl2br w:val="nil"/>
                    <w:tr2bl w:val="nil"/>
                  </w:tcBorders>
                  <w:noWrap w:val="0"/>
                  <w:vAlign w:val="center"/>
                </w:tcPr>
                <w:p w14:paraId="2A384AA6">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73" w:type="pct"/>
                  <w:tcBorders>
                    <w:tl2br w:val="nil"/>
                    <w:tr2bl w:val="nil"/>
                  </w:tcBorders>
                  <w:noWrap w:val="0"/>
                  <w:vAlign w:val="center"/>
                </w:tcPr>
                <w:p w14:paraId="4544DD78">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6" w:type="pct"/>
                  <w:tcBorders>
                    <w:tl2br w:val="nil"/>
                    <w:tr2bl w:val="nil"/>
                  </w:tcBorders>
                  <w:noWrap w:val="0"/>
                  <w:vAlign w:val="center"/>
                </w:tcPr>
                <w:p w14:paraId="015C1266">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25" w:type="pct"/>
                  <w:tcBorders>
                    <w:tl2br w:val="nil"/>
                    <w:tr2bl w:val="nil"/>
                  </w:tcBorders>
                  <w:noWrap w:val="0"/>
                  <w:vAlign w:val="center"/>
                </w:tcPr>
                <w:p w14:paraId="32CC1016">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eastAsia" w:cs="Times New Roman"/>
                      <w:i w:val="0"/>
                      <w:iCs w:val="0"/>
                      <w:strike w:val="0"/>
                      <w:dstrike w:val="0"/>
                      <w:color w:val="auto"/>
                      <w:kern w:val="0"/>
                      <w:sz w:val="21"/>
                      <w:szCs w:val="21"/>
                      <w:highlight w:val="none"/>
                      <w:u w:val="none"/>
                      <w:lang w:val="en-US" w:eastAsia="zh-CN" w:bidi="ar"/>
                    </w:rPr>
                    <w:t>0.091</w:t>
                  </w: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 </w:t>
                  </w:r>
                </w:p>
              </w:tc>
              <w:tc>
                <w:tcPr>
                  <w:tcW w:w="323" w:type="pct"/>
                  <w:tcBorders>
                    <w:tl2br w:val="nil"/>
                    <w:tr2bl w:val="nil"/>
                  </w:tcBorders>
                  <w:noWrap w:val="0"/>
                  <w:vAlign w:val="center"/>
                </w:tcPr>
                <w:p w14:paraId="355BC5AC">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2400 </w:t>
                  </w:r>
                </w:p>
              </w:tc>
            </w:tr>
            <w:tr w14:paraId="72A4C5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468" w:type="pct"/>
                  <w:tcBorders>
                    <w:tl2br w:val="nil"/>
                    <w:tr2bl w:val="nil"/>
                  </w:tcBorders>
                  <w:noWrap w:val="0"/>
                  <w:vAlign w:val="center"/>
                </w:tcPr>
                <w:p w14:paraId="18CF7F29">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混料</w:t>
                  </w:r>
                  <w:r>
                    <w:rPr>
                      <w:rFonts w:hint="eastAsia" w:cs="Times New Roman"/>
                      <w:i w:val="0"/>
                      <w:iCs w:val="0"/>
                      <w:strike w:val="0"/>
                      <w:dstrike w:val="0"/>
                      <w:color w:val="auto"/>
                      <w:kern w:val="0"/>
                      <w:sz w:val="21"/>
                      <w:szCs w:val="21"/>
                      <w:highlight w:val="none"/>
                      <w:u w:val="none"/>
                      <w:lang w:val="en-US" w:eastAsia="zh-CN" w:bidi="ar"/>
                    </w:rPr>
                    <w:t>、气流磨</w:t>
                  </w:r>
                </w:p>
              </w:tc>
              <w:tc>
                <w:tcPr>
                  <w:tcW w:w="383" w:type="pct"/>
                  <w:tcBorders>
                    <w:tl2br w:val="nil"/>
                    <w:tr2bl w:val="nil"/>
                  </w:tcBorders>
                  <w:noWrap w:val="0"/>
                  <w:vAlign w:val="center"/>
                </w:tcPr>
                <w:p w14:paraId="0FABCF73">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颗粒物</w:t>
                  </w:r>
                </w:p>
              </w:tc>
              <w:tc>
                <w:tcPr>
                  <w:tcW w:w="429" w:type="pct"/>
                  <w:tcBorders>
                    <w:tl2br w:val="nil"/>
                    <w:tr2bl w:val="nil"/>
                  </w:tcBorders>
                  <w:noWrap w:val="0"/>
                  <w:vAlign w:val="center"/>
                </w:tcPr>
                <w:p w14:paraId="24462DA3">
                  <w:pPr>
                    <w:keepNext w:val="0"/>
                    <w:keepLines w:val="0"/>
                    <w:widowControl/>
                    <w:suppressLineNumbers w:val="0"/>
                    <w:jc w:val="center"/>
                    <w:textAlignment w:val="center"/>
                    <w:rPr>
                      <w:rFonts w:hint="default" w:ascii="Times New Roman" w:hAnsi="Times New Roman" w:eastAsia="宋体" w:cs="Times New Roman"/>
                      <w:strike w:val="0"/>
                      <w:dstrike w:val="0"/>
                      <w:color w:val="auto"/>
                      <w:sz w:val="21"/>
                      <w:szCs w:val="21"/>
                      <w:highlight w:val="none"/>
                      <w:lang w:val="en-US" w:eastAsia="zh-CN"/>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产污系数法</w:t>
                  </w:r>
                </w:p>
              </w:tc>
              <w:tc>
                <w:tcPr>
                  <w:tcW w:w="273" w:type="pct"/>
                  <w:tcBorders>
                    <w:tl2br w:val="nil"/>
                    <w:tr2bl w:val="nil"/>
                  </w:tcBorders>
                  <w:noWrap w:val="0"/>
                  <w:vAlign w:val="center"/>
                </w:tcPr>
                <w:p w14:paraId="133D85A1">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2" w:type="pct"/>
                  <w:tcBorders>
                    <w:tl2br w:val="nil"/>
                    <w:tr2bl w:val="nil"/>
                  </w:tcBorders>
                  <w:noWrap w:val="0"/>
                  <w:vAlign w:val="center"/>
                </w:tcPr>
                <w:p w14:paraId="562D3717">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40" w:type="pct"/>
                  <w:tcBorders>
                    <w:tl2br w:val="nil"/>
                    <w:tr2bl w:val="nil"/>
                  </w:tcBorders>
                  <w:noWrap w:val="0"/>
                  <w:vAlign w:val="center"/>
                </w:tcPr>
                <w:p w14:paraId="346C8471">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0.035 </w:t>
                  </w:r>
                </w:p>
              </w:tc>
              <w:tc>
                <w:tcPr>
                  <w:tcW w:w="265" w:type="pct"/>
                  <w:tcBorders>
                    <w:tl2br w:val="nil"/>
                    <w:tr2bl w:val="nil"/>
                  </w:tcBorders>
                  <w:noWrap w:val="0"/>
                  <w:vAlign w:val="center"/>
                </w:tcPr>
                <w:p w14:paraId="47EE8563">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无组织</w:t>
                  </w:r>
                </w:p>
              </w:tc>
              <w:tc>
                <w:tcPr>
                  <w:tcW w:w="603" w:type="pct"/>
                  <w:tcBorders>
                    <w:tl2br w:val="nil"/>
                    <w:tr2bl w:val="nil"/>
                  </w:tcBorders>
                  <w:noWrap w:val="0"/>
                  <w:vAlign w:val="center"/>
                </w:tcPr>
                <w:p w14:paraId="17DA49AF">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eastAsia" w:cs="Times New Roman"/>
                      <w:i w:val="0"/>
                      <w:iCs w:val="0"/>
                      <w:strike w:val="0"/>
                      <w:dstrike w:val="0"/>
                      <w:color w:val="auto"/>
                      <w:kern w:val="0"/>
                      <w:sz w:val="21"/>
                      <w:szCs w:val="21"/>
                      <w:highlight w:val="none"/>
                      <w:u w:val="none"/>
                      <w:lang w:val="en-US" w:eastAsia="zh-CN" w:bidi="ar"/>
                    </w:rPr>
                    <w:t>加强车间密闭</w:t>
                  </w:r>
                </w:p>
              </w:tc>
              <w:tc>
                <w:tcPr>
                  <w:tcW w:w="318" w:type="pct"/>
                  <w:tcBorders>
                    <w:tl2br w:val="nil"/>
                    <w:tr2bl w:val="nil"/>
                  </w:tcBorders>
                  <w:noWrap w:val="0"/>
                  <w:vAlign w:val="center"/>
                </w:tcPr>
                <w:p w14:paraId="182C8DAE">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2" w:type="pct"/>
                  <w:tcBorders>
                    <w:tl2br w:val="nil"/>
                    <w:tr2bl w:val="nil"/>
                  </w:tcBorders>
                  <w:noWrap w:val="0"/>
                  <w:vAlign w:val="center"/>
                </w:tcPr>
                <w:p w14:paraId="41CC2F0E">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2" w:type="pct"/>
                  <w:tcBorders>
                    <w:tl2br w:val="nil"/>
                    <w:tr2bl w:val="nil"/>
                  </w:tcBorders>
                  <w:noWrap w:val="0"/>
                  <w:vAlign w:val="center"/>
                </w:tcPr>
                <w:p w14:paraId="0B9D47B6">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60" w:type="pct"/>
                  <w:tcBorders>
                    <w:tl2br w:val="nil"/>
                    <w:tr2bl w:val="nil"/>
                  </w:tcBorders>
                  <w:noWrap w:val="0"/>
                  <w:vAlign w:val="center"/>
                </w:tcPr>
                <w:p w14:paraId="06F742F5">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73" w:type="pct"/>
                  <w:tcBorders>
                    <w:tl2br w:val="nil"/>
                    <w:tr2bl w:val="nil"/>
                  </w:tcBorders>
                  <w:noWrap w:val="0"/>
                  <w:vAlign w:val="center"/>
                </w:tcPr>
                <w:p w14:paraId="6026B7F5">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6" w:type="pct"/>
                  <w:tcBorders>
                    <w:tl2br w:val="nil"/>
                    <w:tr2bl w:val="nil"/>
                  </w:tcBorders>
                  <w:noWrap w:val="0"/>
                  <w:vAlign w:val="center"/>
                </w:tcPr>
                <w:p w14:paraId="2AF07E37">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25" w:type="pct"/>
                  <w:tcBorders>
                    <w:tl2br w:val="nil"/>
                    <w:tr2bl w:val="nil"/>
                  </w:tcBorders>
                  <w:noWrap w:val="0"/>
                  <w:vAlign w:val="center"/>
                </w:tcPr>
                <w:p w14:paraId="7D2EC3A6">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0.035 </w:t>
                  </w:r>
                </w:p>
              </w:tc>
              <w:tc>
                <w:tcPr>
                  <w:tcW w:w="323" w:type="pct"/>
                  <w:tcBorders>
                    <w:tl2br w:val="nil"/>
                    <w:tr2bl w:val="nil"/>
                  </w:tcBorders>
                  <w:noWrap w:val="0"/>
                  <w:vAlign w:val="center"/>
                </w:tcPr>
                <w:p w14:paraId="40A7CC26">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2400 </w:t>
                  </w:r>
                </w:p>
              </w:tc>
            </w:tr>
            <w:tr w14:paraId="66E51B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468" w:type="pct"/>
                  <w:tcBorders>
                    <w:tl2br w:val="nil"/>
                    <w:tr2bl w:val="nil"/>
                  </w:tcBorders>
                  <w:noWrap w:val="0"/>
                  <w:vAlign w:val="center"/>
                </w:tcPr>
                <w:p w14:paraId="25D589A6">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配料、搅拌</w:t>
                  </w:r>
                </w:p>
              </w:tc>
              <w:tc>
                <w:tcPr>
                  <w:tcW w:w="383" w:type="pct"/>
                  <w:tcBorders>
                    <w:tl2br w:val="nil"/>
                    <w:tr2bl w:val="nil"/>
                  </w:tcBorders>
                  <w:noWrap w:val="0"/>
                  <w:vAlign w:val="center"/>
                </w:tcPr>
                <w:p w14:paraId="25C5EC3A">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颗粒物</w:t>
                  </w:r>
                </w:p>
              </w:tc>
              <w:tc>
                <w:tcPr>
                  <w:tcW w:w="429" w:type="pct"/>
                  <w:tcBorders>
                    <w:tl2br w:val="nil"/>
                    <w:tr2bl w:val="nil"/>
                  </w:tcBorders>
                  <w:noWrap w:val="0"/>
                  <w:vAlign w:val="center"/>
                </w:tcPr>
                <w:p w14:paraId="563AA975">
                  <w:pPr>
                    <w:keepNext w:val="0"/>
                    <w:keepLines w:val="0"/>
                    <w:widowControl/>
                    <w:suppressLineNumbers w:val="0"/>
                    <w:jc w:val="center"/>
                    <w:textAlignment w:val="center"/>
                    <w:rPr>
                      <w:rFonts w:hint="default" w:ascii="Times New Roman" w:hAnsi="Times New Roman" w:eastAsia="宋体" w:cs="Times New Roman"/>
                      <w:strike w:val="0"/>
                      <w:dstrike w:val="0"/>
                      <w:color w:val="auto"/>
                      <w:sz w:val="21"/>
                      <w:szCs w:val="21"/>
                      <w:highlight w:val="none"/>
                      <w:lang w:val="en-US" w:eastAsia="zh-CN"/>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产污系数法</w:t>
                  </w:r>
                </w:p>
              </w:tc>
              <w:tc>
                <w:tcPr>
                  <w:tcW w:w="273" w:type="pct"/>
                  <w:tcBorders>
                    <w:tl2br w:val="nil"/>
                    <w:tr2bl w:val="nil"/>
                  </w:tcBorders>
                  <w:noWrap w:val="0"/>
                  <w:vAlign w:val="center"/>
                </w:tcPr>
                <w:p w14:paraId="4B28735A">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2" w:type="pct"/>
                  <w:tcBorders>
                    <w:tl2br w:val="nil"/>
                    <w:tr2bl w:val="nil"/>
                  </w:tcBorders>
                  <w:noWrap w:val="0"/>
                  <w:vAlign w:val="center"/>
                </w:tcPr>
                <w:p w14:paraId="173E4C23">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40" w:type="pct"/>
                  <w:tcBorders>
                    <w:tl2br w:val="nil"/>
                    <w:tr2bl w:val="nil"/>
                  </w:tcBorders>
                  <w:noWrap w:val="0"/>
                  <w:vAlign w:val="center"/>
                </w:tcPr>
                <w:p w14:paraId="6ADE9558">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0.010 </w:t>
                  </w:r>
                </w:p>
              </w:tc>
              <w:tc>
                <w:tcPr>
                  <w:tcW w:w="265" w:type="pct"/>
                  <w:tcBorders>
                    <w:tl2br w:val="nil"/>
                    <w:tr2bl w:val="nil"/>
                  </w:tcBorders>
                  <w:noWrap w:val="0"/>
                  <w:vAlign w:val="center"/>
                </w:tcPr>
                <w:p w14:paraId="5938CB27">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无组织</w:t>
                  </w:r>
                </w:p>
              </w:tc>
              <w:tc>
                <w:tcPr>
                  <w:tcW w:w="603" w:type="pct"/>
                  <w:tcBorders>
                    <w:tl2br w:val="nil"/>
                    <w:tr2bl w:val="nil"/>
                  </w:tcBorders>
                  <w:noWrap w:val="0"/>
                  <w:vAlign w:val="center"/>
                </w:tcPr>
                <w:p w14:paraId="7AB1B47C">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eastAsia" w:cs="Times New Roman"/>
                      <w:i w:val="0"/>
                      <w:iCs w:val="0"/>
                      <w:strike w:val="0"/>
                      <w:dstrike w:val="0"/>
                      <w:color w:val="auto"/>
                      <w:kern w:val="0"/>
                      <w:sz w:val="21"/>
                      <w:szCs w:val="21"/>
                      <w:highlight w:val="none"/>
                      <w:u w:val="none"/>
                      <w:lang w:val="en-US" w:eastAsia="zh-CN" w:bidi="ar"/>
                    </w:rPr>
                    <w:t>加强车间密闭</w:t>
                  </w:r>
                </w:p>
              </w:tc>
              <w:tc>
                <w:tcPr>
                  <w:tcW w:w="318" w:type="pct"/>
                  <w:tcBorders>
                    <w:tl2br w:val="nil"/>
                    <w:tr2bl w:val="nil"/>
                  </w:tcBorders>
                  <w:noWrap w:val="0"/>
                  <w:vAlign w:val="center"/>
                </w:tcPr>
                <w:p w14:paraId="06226A10">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2" w:type="pct"/>
                  <w:tcBorders>
                    <w:tl2br w:val="nil"/>
                    <w:tr2bl w:val="nil"/>
                  </w:tcBorders>
                  <w:noWrap w:val="0"/>
                  <w:vAlign w:val="center"/>
                </w:tcPr>
                <w:p w14:paraId="75D12E73">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2" w:type="pct"/>
                  <w:tcBorders>
                    <w:tl2br w:val="nil"/>
                    <w:tr2bl w:val="nil"/>
                  </w:tcBorders>
                  <w:noWrap w:val="0"/>
                  <w:vAlign w:val="center"/>
                </w:tcPr>
                <w:p w14:paraId="7911A396">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60" w:type="pct"/>
                  <w:tcBorders>
                    <w:tl2br w:val="nil"/>
                    <w:tr2bl w:val="nil"/>
                  </w:tcBorders>
                  <w:noWrap w:val="0"/>
                  <w:vAlign w:val="center"/>
                </w:tcPr>
                <w:p w14:paraId="19EF5ADA">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73" w:type="pct"/>
                  <w:tcBorders>
                    <w:tl2br w:val="nil"/>
                    <w:tr2bl w:val="nil"/>
                  </w:tcBorders>
                  <w:noWrap w:val="0"/>
                  <w:vAlign w:val="center"/>
                </w:tcPr>
                <w:p w14:paraId="43F7CF59">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36" w:type="pct"/>
                  <w:tcBorders>
                    <w:tl2br w:val="nil"/>
                    <w:tr2bl w:val="nil"/>
                  </w:tcBorders>
                  <w:noWrap w:val="0"/>
                  <w:vAlign w:val="center"/>
                </w:tcPr>
                <w:p w14:paraId="4E9CAD1A">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w:t>
                  </w:r>
                </w:p>
              </w:tc>
              <w:tc>
                <w:tcPr>
                  <w:tcW w:w="225" w:type="pct"/>
                  <w:tcBorders>
                    <w:tl2br w:val="nil"/>
                    <w:tr2bl w:val="nil"/>
                  </w:tcBorders>
                  <w:noWrap w:val="0"/>
                  <w:vAlign w:val="center"/>
                </w:tcPr>
                <w:p w14:paraId="1943F46E">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none"/>
                      <w:u w:val="none"/>
                      <w:lang w:val="en-US" w:eastAsia="zh-CN" w:bidi="ar"/>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0.010 </w:t>
                  </w:r>
                </w:p>
              </w:tc>
              <w:tc>
                <w:tcPr>
                  <w:tcW w:w="323" w:type="pct"/>
                  <w:tcBorders>
                    <w:tl2br w:val="nil"/>
                    <w:tr2bl w:val="nil"/>
                  </w:tcBorders>
                  <w:noWrap w:val="0"/>
                  <w:vAlign w:val="center"/>
                </w:tcPr>
                <w:p w14:paraId="5F63671C">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none"/>
                      <w:lang w:val="en-US" w:eastAsia="zh-CN" w:bidi="ar-SA"/>
                    </w:rPr>
                  </w:pPr>
                  <w:r>
                    <w:rPr>
                      <w:rFonts w:hint="default" w:ascii="Times New Roman" w:hAnsi="Times New Roman" w:eastAsia="宋体" w:cs="Times New Roman"/>
                      <w:i w:val="0"/>
                      <w:iCs w:val="0"/>
                      <w:strike w:val="0"/>
                      <w:dstrike w:val="0"/>
                      <w:color w:val="auto"/>
                      <w:kern w:val="0"/>
                      <w:sz w:val="21"/>
                      <w:szCs w:val="21"/>
                      <w:highlight w:val="none"/>
                      <w:u w:val="none"/>
                      <w:lang w:val="en-US" w:eastAsia="zh-CN" w:bidi="ar"/>
                    </w:rPr>
                    <w:t xml:space="preserve">2400 </w:t>
                  </w:r>
                </w:p>
              </w:tc>
            </w:tr>
            <w:tr w14:paraId="732671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2" w:hRule="atLeast"/>
              </w:trPr>
              <w:tc>
                <w:tcPr>
                  <w:tcW w:w="468" w:type="pct"/>
                  <w:tcBorders>
                    <w:tl2br w:val="nil"/>
                    <w:tr2bl w:val="nil"/>
                  </w:tcBorders>
                  <w:noWrap w:val="0"/>
                  <w:vAlign w:val="center"/>
                </w:tcPr>
                <w:p w14:paraId="3652D11E">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yellow"/>
                      <w:lang w:val="en-US" w:eastAsia="zh-CN" w:bidi="ar-SA"/>
                    </w:rPr>
                  </w:pPr>
                  <w:r>
                    <w:rPr>
                      <w:rFonts w:hint="default" w:ascii="Times New Roman" w:hAnsi="Times New Roman" w:eastAsia="宋体" w:cs="Times New Roman"/>
                      <w:i w:val="0"/>
                      <w:iCs w:val="0"/>
                      <w:strike w:val="0"/>
                      <w:dstrike w:val="0"/>
                      <w:color w:val="auto"/>
                      <w:kern w:val="0"/>
                      <w:sz w:val="21"/>
                      <w:szCs w:val="21"/>
                      <w:u w:val="none"/>
                      <w:lang w:val="en-US" w:eastAsia="zh-CN" w:bidi="ar"/>
                    </w:rPr>
                    <w:t>蒸发</w:t>
                  </w:r>
                </w:p>
              </w:tc>
              <w:tc>
                <w:tcPr>
                  <w:tcW w:w="383" w:type="pct"/>
                  <w:tcBorders>
                    <w:tl2br w:val="nil"/>
                    <w:tr2bl w:val="nil"/>
                  </w:tcBorders>
                  <w:noWrap w:val="0"/>
                  <w:vAlign w:val="center"/>
                </w:tcPr>
                <w:p w14:paraId="3B89A329">
                  <w:pPr>
                    <w:keepNext w:val="0"/>
                    <w:keepLines w:val="0"/>
                    <w:widowControl/>
                    <w:suppressLineNumbers w:val="0"/>
                    <w:jc w:val="center"/>
                    <w:textAlignment w:val="center"/>
                    <w:rPr>
                      <w:rFonts w:hint="default" w:ascii="Times New Roman" w:hAnsi="Times New Roman" w:cs="Times New Roman"/>
                      <w:strike w:val="0"/>
                      <w:dstrike w:val="0"/>
                      <w:color w:val="auto"/>
                      <w:lang w:val="en-US" w:eastAsia="zh-CN"/>
                    </w:rPr>
                  </w:pPr>
                  <w:r>
                    <w:rPr>
                      <w:rFonts w:hint="default" w:ascii="Times New Roman" w:hAnsi="Times New Roman" w:eastAsia="宋体" w:cs="Times New Roman"/>
                      <w:i w:val="0"/>
                      <w:iCs w:val="0"/>
                      <w:strike w:val="0"/>
                      <w:dstrike w:val="0"/>
                      <w:color w:val="auto"/>
                      <w:kern w:val="0"/>
                      <w:sz w:val="21"/>
                      <w:szCs w:val="21"/>
                      <w:u w:val="none"/>
                      <w:lang w:val="en-US" w:eastAsia="zh-CN" w:bidi="ar"/>
                    </w:rPr>
                    <w:t>VOCs</w:t>
                  </w:r>
                </w:p>
              </w:tc>
              <w:tc>
                <w:tcPr>
                  <w:tcW w:w="429" w:type="pct"/>
                  <w:tcBorders>
                    <w:tl2br w:val="nil"/>
                    <w:tr2bl w:val="nil"/>
                  </w:tcBorders>
                  <w:noWrap w:val="0"/>
                  <w:vAlign w:val="center"/>
                </w:tcPr>
                <w:p w14:paraId="594AA64D">
                  <w:pPr>
                    <w:keepNext w:val="0"/>
                    <w:keepLines w:val="0"/>
                    <w:widowControl/>
                    <w:suppressLineNumbers w:val="0"/>
                    <w:jc w:val="center"/>
                    <w:textAlignment w:val="center"/>
                    <w:rPr>
                      <w:rFonts w:hint="default" w:ascii="Times New Roman" w:hAnsi="Times New Roman" w:eastAsia="宋体" w:cs="Times New Roman"/>
                      <w:strike w:val="0"/>
                      <w:dstrike w:val="0"/>
                      <w:color w:val="auto"/>
                      <w:sz w:val="21"/>
                      <w:szCs w:val="21"/>
                      <w:highlight w:val="yellow"/>
                      <w:lang w:val="en-US" w:eastAsia="zh-CN"/>
                    </w:rPr>
                  </w:pPr>
                  <w:r>
                    <w:rPr>
                      <w:rFonts w:hint="default" w:ascii="Times New Roman" w:hAnsi="Times New Roman" w:eastAsia="宋体" w:cs="Times New Roman"/>
                      <w:i w:val="0"/>
                      <w:iCs w:val="0"/>
                      <w:strike w:val="0"/>
                      <w:dstrike w:val="0"/>
                      <w:color w:val="auto"/>
                      <w:kern w:val="0"/>
                      <w:sz w:val="21"/>
                      <w:szCs w:val="21"/>
                      <w:u w:val="none"/>
                      <w:lang w:val="en-US" w:eastAsia="zh-CN" w:bidi="ar"/>
                    </w:rPr>
                    <w:t>产污系数法</w:t>
                  </w:r>
                </w:p>
              </w:tc>
              <w:tc>
                <w:tcPr>
                  <w:tcW w:w="273" w:type="pct"/>
                  <w:tcBorders>
                    <w:tl2br w:val="nil"/>
                    <w:tr2bl w:val="nil"/>
                  </w:tcBorders>
                  <w:noWrap w:val="0"/>
                  <w:vAlign w:val="center"/>
                </w:tcPr>
                <w:p w14:paraId="3678076D">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yellow"/>
                      <w:lang w:val="en-US" w:eastAsia="zh-CN" w:bidi="ar-SA"/>
                    </w:rPr>
                  </w:pPr>
                  <w:r>
                    <w:rPr>
                      <w:rFonts w:hint="default" w:ascii="Times New Roman" w:hAnsi="Times New Roman" w:eastAsia="宋体" w:cs="Times New Roman"/>
                      <w:i w:val="0"/>
                      <w:iCs w:val="0"/>
                      <w:strike w:val="0"/>
                      <w:dstrike w:val="0"/>
                      <w:color w:val="auto"/>
                      <w:kern w:val="0"/>
                      <w:sz w:val="21"/>
                      <w:szCs w:val="21"/>
                      <w:u w:val="none"/>
                      <w:lang w:val="en-US" w:eastAsia="zh-CN" w:bidi="ar"/>
                    </w:rPr>
                    <w:t>/</w:t>
                  </w:r>
                </w:p>
              </w:tc>
              <w:tc>
                <w:tcPr>
                  <w:tcW w:w="232" w:type="pct"/>
                  <w:tcBorders>
                    <w:tl2br w:val="nil"/>
                    <w:tr2bl w:val="nil"/>
                  </w:tcBorders>
                  <w:noWrap w:val="0"/>
                  <w:vAlign w:val="center"/>
                </w:tcPr>
                <w:p w14:paraId="6109ABB8">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yellow"/>
                      <w:lang w:val="en-US" w:eastAsia="zh-CN" w:bidi="ar-SA"/>
                    </w:rPr>
                  </w:pPr>
                  <w:r>
                    <w:rPr>
                      <w:rFonts w:hint="default" w:ascii="Times New Roman" w:hAnsi="Times New Roman" w:eastAsia="宋体" w:cs="Times New Roman"/>
                      <w:i w:val="0"/>
                      <w:iCs w:val="0"/>
                      <w:strike w:val="0"/>
                      <w:dstrike w:val="0"/>
                      <w:color w:val="auto"/>
                      <w:kern w:val="0"/>
                      <w:sz w:val="21"/>
                      <w:szCs w:val="21"/>
                      <w:u w:val="none"/>
                      <w:lang w:val="en-US" w:eastAsia="zh-CN" w:bidi="ar"/>
                    </w:rPr>
                    <w:t>/</w:t>
                  </w:r>
                </w:p>
              </w:tc>
              <w:tc>
                <w:tcPr>
                  <w:tcW w:w="240" w:type="pct"/>
                  <w:tcBorders>
                    <w:tl2br w:val="nil"/>
                    <w:tr2bl w:val="nil"/>
                  </w:tcBorders>
                  <w:noWrap w:val="0"/>
                  <w:vAlign w:val="center"/>
                </w:tcPr>
                <w:p w14:paraId="202195D7">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yellow"/>
                      <w:lang w:val="en-US" w:eastAsia="zh-CN" w:bidi="ar-SA"/>
                    </w:rPr>
                  </w:pPr>
                  <w:r>
                    <w:rPr>
                      <w:rFonts w:hint="default" w:ascii="Times New Roman" w:hAnsi="Times New Roman" w:eastAsia="宋体" w:cs="Times New Roman"/>
                      <w:i w:val="0"/>
                      <w:iCs w:val="0"/>
                      <w:strike w:val="0"/>
                      <w:dstrike w:val="0"/>
                      <w:color w:val="auto"/>
                      <w:kern w:val="0"/>
                      <w:sz w:val="21"/>
                      <w:szCs w:val="21"/>
                      <w:u w:val="none"/>
                      <w:lang w:val="en-US" w:eastAsia="zh-CN" w:bidi="ar"/>
                    </w:rPr>
                    <w:t xml:space="preserve">0.014 </w:t>
                  </w:r>
                </w:p>
              </w:tc>
              <w:tc>
                <w:tcPr>
                  <w:tcW w:w="265" w:type="pct"/>
                  <w:tcBorders>
                    <w:tl2br w:val="nil"/>
                    <w:tr2bl w:val="nil"/>
                  </w:tcBorders>
                  <w:noWrap w:val="0"/>
                  <w:vAlign w:val="center"/>
                </w:tcPr>
                <w:p w14:paraId="3AF66E39">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yellow"/>
                      <w:lang w:val="en-US" w:eastAsia="zh-CN" w:bidi="ar-SA"/>
                    </w:rPr>
                  </w:pPr>
                  <w:r>
                    <w:rPr>
                      <w:rFonts w:hint="default" w:ascii="Times New Roman" w:hAnsi="Times New Roman" w:eastAsia="宋体" w:cs="Times New Roman"/>
                      <w:i w:val="0"/>
                      <w:iCs w:val="0"/>
                      <w:strike w:val="0"/>
                      <w:dstrike w:val="0"/>
                      <w:color w:val="auto"/>
                      <w:kern w:val="0"/>
                      <w:sz w:val="21"/>
                      <w:szCs w:val="21"/>
                      <w:u w:val="none"/>
                      <w:lang w:val="en-US" w:eastAsia="zh-CN" w:bidi="ar"/>
                    </w:rPr>
                    <w:t>无组织</w:t>
                  </w:r>
                </w:p>
              </w:tc>
              <w:tc>
                <w:tcPr>
                  <w:tcW w:w="603" w:type="pct"/>
                  <w:tcBorders>
                    <w:tl2br w:val="nil"/>
                    <w:tr2bl w:val="nil"/>
                  </w:tcBorders>
                  <w:noWrap w:val="0"/>
                  <w:vAlign w:val="center"/>
                </w:tcPr>
                <w:p w14:paraId="04227793">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yellow"/>
                      <w:lang w:val="en-US" w:eastAsia="zh-CN" w:bidi="ar-SA"/>
                    </w:rPr>
                  </w:pPr>
                  <w:r>
                    <w:rPr>
                      <w:rFonts w:hint="eastAsia" w:cs="Times New Roman"/>
                      <w:i w:val="0"/>
                      <w:iCs w:val="0"/>
                      <w:strike w:val="0"/>
                      <w:dstrike w:val="0"/>
                      <w:color w:val="auto"/>
                      <w:kern w:val="0"/>
                      <w:sz w:val="21"/>
                      <w:szCs w:val="21"/>
                      <w:u w:val="none"/>
                      <w:lang w:val="en-US" w:eastAsia="zh-CN" w:bidi="ar"/>
                    </w:rPr>
                    <w:t>加强车间密闭</w:t>
                  </w:r>
                </w:p>
              </w:tc>
              <w:tc>
                <w:tcPr>
                  <w:tcW w:w="318" w:type="pct"/>
                  <w:tcBorders>
                    <w:tl2br w:val="nil"/>
                    <w:tr2bl w:val="nil"/>
                  </w:tcBorders>
                  <w:noWrap w:val="0"/>
                  <w:vAlign w:val="center"/>
                </w:tcPr>
                <w:p w14:paraId="3E5FAB41">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yellow"/>
                      <w:lang w:val="en-US" w:eastAsia="zh-CN" w:bidi="ar-SA"/>
                    </w:rPr>
                  </w:pPr>
                  <w:r>
                    <w:rPr>
                      <w:rFonts w:hint="default" w:ascii="Times New Roman" w:hAnsi="Times New Roman" w:eastAsia="宋体" w:cs="Times New Roman"/>
                      <w:i w:val="0"/>
                      <w:iCs w:val="0"/>
                      <w:strike w:val="0"/>
                      <w:dstrike w:val="0"/>
                      <w:color w:val="auto"/>
                      <w:kern w:val="0"/>
                      <w:sz w:val="21"/>
                      <w:szCs w:val="21"/>
                      <w:u w:val="none"/>
                      <w:lang w:val="en-US" w:eastAsia="zh-CN" w:bidi="ar"/>
                    </w:rPr>
                    <w:t>/</w:t>
                  </w:r>
                </w:p>
              </w:tc>
              <w:tc>
                <w:tcPr>
                  <w:tcW w:w="232" w:type="pct"/>
                  <w:tcBorders>
                    <w:tl2br w:val="nil"/>
                    <w:tr2bl w:val="nil"/>
                  </w:tcBorders>
                  <w:noWrap w:val="0"/>
                  <w:vAlign w:val="center"/>
                </w:tcPr>
                <w:p w14:paraId="339E5A28">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yellow"/>
                      <w:lang w:val="en-US" w:eastAsia="zh-CN" w:bidi="ar-SA"/>
                    </w:rPr>
                  </w:pPr>
                  <w:r>
                    <w:rPr>
                      <w:rFonts w:hint="default" w:ascii="Times New Roman" w:hAnsi="Times New Roman" w:eastAsia="宋体" w:cs="Times New Roman"/>
                      <w:i w:val="0"/>
                      <w:iCs w:val="0"/>
                      <w:strike w:val="0"/>
                      <w:dstrike w:val="0"/>
                      <w:color w:val="auto"/>
                      <w:kern w:val="0"/>
                      <w:sz w:val="21"/>
                      <w:szCs w:val="21"/>
                      <w:u w:val="none"/>
                      <w:lang w:val="en-US" w:eastAsia="zh-CN" w:bidi="ar"/>
                    </w:rPr>
                    <w:t>/</w:t>
                  </w:r>
                </w:p>
              </w:tc>
              <w:tc>
                <w:tcPr>
                  <w:tcW w:w="232" w:type="pct"/>
                  <w:tcBorders>
                    <w:tl2br w:val="nil"/>
                    <w:tr2bl w:val="nil"/>
                  </w:tcBorders>
                  <w:noWrap w:val="0"/>
                  <w:vAlign w:val="center"/>
                </w:tcPr>
                <w:p w14:paraId="0F2887FD">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yellow"/>
                      <w:lang w:val="en-US" w:eastAsia="zh-CN" w:bidi="ar-SA"/>
                    </w:rPr>
                  </w:pPr>
                  <w:r>
                    <w:rPr>
                      <w:rFonts w:hint="default" w:ascii="Times New Roman" w:hAnsi="Times New Roman" w:eastAsia="宋体" w:cs="Times New Roman"/>
                      <w:i w:val="0"/>
                      <w:iCs w:val="0"/>
                      <w:strike w:val="0"/>
                      <w:dstrike w:val="0"/>
                      <w:color w:val="auto"/>
                      <w:kern w:val="0"/>
                      <w:sz w:val="21"/>
                      <w:szCs w:val="21"/>
                      <w:u w:val="none"/>
                      <w:lang w:val="en-US" w:eastAsia="zh-CN" w:bidi="ar"/>
                    </w:rPr>
                    <w:t>/</w:t>
                  </w:r>
                </w:p>
              </w:tc>
              <w:tc>
                <w:tcPr>
                  <w:tcW w:w="260" w:type="pct"/>
                  <w:tcBorders>
                    <w:tl2br w:val="nil"/>
                    <w:tr2bl w:val="nil"/>
                  </w:tcBorders>
                  <w:noWrap w:val="0"/>
                  <w:vAlign w:val="center"/>
                </w:tcPr>
                <w:p w14:paraId="4EC67FF3">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yellow"/>
                      <w:lang w:val="en-US" w:eastAsia="zh-CN" w:bidi="ar-SA"/>
                    </w:rPr>
                  </w:pPr>
                  <w:r>
                    <w:rPr>
                      <w:rFonts w:hint="default" w:ascii="Times New Roman" w:hAnsi="Times New Roman" w:eastAsia="宋体" w:cs="Times New Roman"/>
                      <w:i w:val="0"/>
                      <w:iCs w:val="0"/>
                      <w:strike w:val="0"/>
                      <w:dstrike w:val="0"/>
                      <w:color w:val="auto"/>
                      <w:kern w:val="0"/>
                      <w:sz w:val="21"/>
                      <w:szCs w:val="21"/>
                      <w:u w:val="none"/>
                      <w:lang w:val="en-US" w:eastAsia="zh-CN" w:bidi="ar"/>
                    </w:rPr>
                    <w:t>/</w:t>
                  </w:r>
                </w:p>
              </w:tc>
              <w:tc>
                <w:tcPr>
                  <w:tcW w:w="273" w:type="pct"/>
                  <w:tcBorders>
                    <w:tl2br w:val="nil"/>
                    <w:tr2bl w:val="nil"/>
                  </w:tcBorders>
                  <w:noWrap w:val="0"/>
                  <w:vAlign w:val="center"/>
                </w:tcPr>
                <w:p w14:paraId="6A9AC2F2">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yellow"/>
                      <w:u w:val="none"/>
                      <w:lang w:val="en-US" w:eastAsia="zh-CN" w:bidi="ar"/>
                    </w:rPr>
                  </w:pPr>
                  <w:r>
                    <w:rPr>
                      <w:rFonts w:hint="default" w:ascii="Times New Roman" w:hAnsi="Times New Roman" w:eastAsia="宋体" w:cs="Times New Roman"/>
                      <w:i w:val="0"/>
                      <w:iCs w:val="0"/>
                      <w:strike w:val="0"/>
                      <w:dstrike w:val="0"/>
                      <w:color w:val="auto"/>
                      <w:kern w:val="0"/>
                      <w:sz w:val="21"/>
                      <w:szCs w:val="21"/>
                      <w:u w:val="none"/>
                      <w:lang w:val="en-US" w:eastAsia="zh-CN" w:bidi="ar"/>
                    </w:rPr>
                    <w:t>/</w:t>
                  </w:r>
                </w:p>
              </w:tc>
              <w:tc>
                <w:tcPr>
                  <w:tcW w:w="236" w:type="pct"/>
                  <w:tcBorders>
                    <w:tl2br w:val="nil"/>
                    <w:tr2bl w:val="nil"/>
                  </w:tcBorders>
                  <w:noWrap w:val="0"/>
                  <w:vAlign w:val="center"/>
                </w:tcPr>
                <w:p w14:paraId="710C3EA2">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yellow"/>
                      <w:u w:val="none"/>
                      <w:lang w:val="en-US" w:eastAsia="zh-CN" w:bidi="ar"/>
                    </w:rPr>
                  </w:pPr>
                  <w:r>
                    <w:rPr>
                      <w:rFonts w:hint="default" w:ascii="Times New Roman" w:hAnsi="Times New Roman" w:eastAsia="宋体" w:cs="Times New Roman"/>
                      <w:i w:val="0"/>
                      <w:iCs w:val="0"/>
                      <w:strike w:val="0"/>
                      <w:dstrike w:val="0"/>
                      <w:color w:val="auto"/>
                      <w:kern w:val="0"/>
                      <w:sz w:val="21"/>
                      <w:szCs w:val="21"/>
                      <w:u w:val="none"/>
                      <w:lang w:val="en-US" w:eastAsia="zh-CN" w:bidi="ar"/>
                    </w:rPr>
                    <w:t>/</w:t>
                  </w:r>
                </w:p>
              </w:tc>
              <w:tc>
                <w:tcPr>
                  <w:tcW w:w="225" w:type="pct"/>
                  <w:tcBorders>
                    <w:tl2br w:val="nil"/>
                    <w:tr2bl w:val="nil"/>
                  </w:tcBorders>
                  <w:noWrap w:val="0"/>
                  <w:vAlign w:val="center"/>
                </w:tcPr>
                <w:p w14:paraId="59B1D10C">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kern w:val="0"/>
                      <w:sz w:val="22"/>
                      <w:szCs w:val="22"/>
                      <w:highlight w:val="yellow"/>
                      <w:u w:val="none"/>
                      <w:lang w:val="en-US" w:eastAsia="zh-CN" w:bidi="ar"/>
                    </w:rPr>
                  </w:pPr>
                  <w:r>
                    <w:rPr>
                      <w:rFonts w:hint="default" w:ascii="Times New Roman" w:hAnsi="Times New Roman" w:eastAsia="宋体" w:cs="Times New Roman"/>
                      <w:i w:val="0"/>
                      <w:iCs w:val="0"/>
                      <w:strike w:val="0"/>
                      <w:dstrike w:val="0"/>
                      <w:color w:val="auto"/>
                      <w:kern w:val="0"/>
                      <w:sz w:val="21"/>
                      <w:szCs w:val="21"/>
                      <w:u w:val="none"/>
                      <w:lang w:val="en-US" w:eastAsia="zh-CN" w:bidi="ar"/>
                    </w:rPr>
                    <w:t xml:space="preserve">0.014 </w:t>
                  </w:r>
                </w:p>
              </w:tc>
              <w:tc>
                <w:tcPr>
                  <w:tcW w:w="323" w:type="pct"/>
                  <w:tcBorders>
                    <w:tl2br w:val="nil"/>
                    <w:tr2bl w:val="nil"/>
                  </w:tcBorders>
                  <w:noWrap w:val="0"/>
                  <w:vAlign w:val="center"/>
                </w:tcPr>
                <w:p w14:paraId="0159476D">
                  <w:pPr>
                    <w:keepNext w:val="0"/>
                    <w:keepLines w:val="0"/>
                    <w:widowControl/>
                    <w:suppressLineNumbers w:val="0"/>
                    <w:jc w:val="center"/>
                    <w:textAlignment w:val="center"/>
                    <w:rPr>
                      <w:rFonts w:hint="default" w:ascii="Times New Roman" w:hAnsi="Times New Roman" w:eastAsia="宋体" w:cs="Times New Roman"/>
                      <w:strike w:val="0"/>
                      <w:dstrike w:val="0"/>
                      <w:color w:val="auto"/>
                      <w:kern w:val="2"/>
                      <w:sz w:val="21"/>
                      <w:szCs w:val="21"/>
                      <w:highlight w:val="yellow"/>
                      <w:lang w:val="en-US" w:eastAsia="zh-CN" w:bidi="ar-SA"/>
                    </w:rPr>
                  </w:pPr>
                  <w:r>
                    <w:rPr>
                      <w:rFonts w:hint="default" w:ascii="Times New Roman" w:hAnsi="Times New Roman" w:eastAsia="宋体" w:cs="Times New Roman"/>
                      <w:i w:val="0"/>
                      <w:iCs w:val="0"/>
                      <w:strike w:val="0"/>
                      <w:dstrike w:val="0"/>
                      <w:color w:val="auto"/>
                      <w:kern w:val="0"/>
                      <w:sz w:val="21"/>
                      <w:szCs w:val="21"/>
                      <w:u w:val="none"/>
                      <w:lang w:val="en-US" w:eastAsia="zh-CN" w:bidi="ar"/>
                    </w:rPr>
                    <w:t xml:space="preserve">2400 </w:t>
                  </w:r>
                </w:p>
              </w:tc>
            </w:tr>
          </w:tbl>
          <w:p w14:paraId="595D1793">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highlight w:val="none"/>
                <w:vertAlign w:val="baseline"/>
                <w:lang w:eastAsia="zh-CN"/>
              </w:rPr>
            </w:pPr>
          </w:p>
        </w:tc>
      </w:tr>
    </w:tbl>
    <w:p w14:paraId="1E6EB275">
      <w:pPr>
        <w:pStyle w:val="23"/>
        <w:keepNext w:val="0"/>
        <w:keepLines w:val="0"/>
        <w:pageBreakBefore w:val="0"/>
        <w:shd w:val="clear"/>
        <w:kinsoku/>
        <w:wordWrap/>
        <w:overflowPunct/>
        <w:topLinePunct w:val="0"/>
        <w:autoSpaceDE/>
        <w:autoSpaceDN/>
        <w:bidi w:val="0"/>
        <w:spacing w:line="480" w:lineRule="atLeast"/>
        <w:textAlignment w:val="auto"/>
        <w:rPr>
          <w:rFonts w:hint="default" w:ascii="Times New Roman" w:hAnsi="Times New Roman" w:cs="Times New Roman"/>
          <w:color w:val="auto"/>
          <w:sz w:val="24"/>
          <w:szCs w:val="24"/>
          <w:highlight w:val="none"/>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580F5A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99" w:hRule="atLeast"/>
          <w:jc w:val="center"/>
        </w:trPr>
        <w:tc>
          <w:tcPr>
            <w:tcW w:w="746" w:type="dxa"/>
            <w:noWrap w:val="0"/>
            <w:tcMar>
              <w:left w:w="28" w:type="dxa"/>
              <w:right w:w="28" w:type="dxa"/>
            </w:tcMar>
            <w:vAlign w:val="center"/>
          </w:tcPr>
          <w:p w14:paraId="13A14287">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atLeas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运营期环境影响和保护措施</w:t>
            </w:r>
          </w:p>
        </w:tc>
        <w:tc>
          <w:tcPr>
            <w:tcW w:w="8162" w:type="dxa"/>
            <w:noWrap w:val="0"/>
            <w:vAlign w:val="center"/>
          </w:tcPr>
          <w:p w14:paraId="2605A3B4">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源强确定依据：</w:t>
            </w:r>
          </w:p>
          <w:p w14:paraId="690AB3A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textAlignment w:val="auto"/>
              <w:rPr>
                <w:rFonts w:hint="default" w:ascii="Times New Roman" w:hAnsi="Times New Roman" w:cs="Times New Roman"/>
                <w:color w:val="auto"/>
                <w:spacing w:val="9"/>
                <w:sz w:val="24"/>
                <w:szCs w:val="24"/>
                <w:lang w:val="en-US" w:eastAsia="zh-CN"/>
              </w:rPr>
            </w:pPr>
            <w:r>
              <w:rPr>
                <w:rFonts w:hint="default" w:ascii="Times New Roman" w:hAnsi="Times New Roman" w:cs="Times New Roman"/>
                <w:color w:val="auto"/>
                <w:spacing w:val="9"/>
                <w:sz w:val="24"/>
                <w:szCs w:val="24"/>
                <w:lang w:val="en-US" w:eastAsia="zh-CN"/>
              </w:rPr>
              <w:t>A.铝铁红</w:t>
            </w:r>
          </w:p>
          <w:p w14:paraId="3B730F5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textAlignment w:val="auto"/>
              <w:rPr>
                <w:rFonts w:hint="default" w:ascii="Times New Roman" w:hAnsi="Times New Roman" w:cs="Times New Roman"/>
                <w:color w:val="auto"/>
                <w:spacing w:val="9"/>
                <w:sz w:val="24"/>
                <w:szCs w:val="24"/>
                <w:lang w:val="en-US" w:eastAsia="zh-CN"/>
              </w:rPr>
            </w:pPr>
            <w:r>
              <w:rPr>
                <w:rFonts w:hint="default" w:ascii="Times New Roman" w:hAnsi="Times New Roman" w:cs="Times New Roman"/>
                <w:color w:val="auto"/>
                <w:spacing w:val="9"/>
                <w:sz w:val="24"/>
                <w:szCs w:val="24"/>
                <w:lang w:val="en-US" w:eastAsia="zh-CN"/>
              </w:rPr>
              <w:t>（1）配料、球磨、微粉过筛废气</w:t>
            </w:r>
          </w:p>
          <w:p w14:paraId="66238A7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textAlignment w:val="auto"/>
              <w:rPr>
                <w:rFonts w:hint="default" w:ascii="Times New Roman" w:hAnsi="Times New Roman" w:cs="Times New Roman"/>
                <w:color w:val="auto"/>
                <w:spacing w:val="9"/>
                <w:sz w:val="24"/>
                <w:szCs w:val="24"/>
                <w:lang w:val="en-US" w:eastAsia="zh-CN"/>
              </w:rPr>
            </w:pPr>
            <w:r>
              <w:rPr>
                <w:rFonts w:hint="default" w:ascii="Times New Roman" w:hAnsi="Times New Roman" w:cs="Times New Roman"/>
                <w:color w:val="auto"/>
                <w:spacing w:val="9"/>
                <w:sz w:val="24"/>
                <w:szCs w:val="24"/>
                <w:lang w:val="en-US" w:eastAsia="zh-CN"/>
              </w:rPr>
              <w:t>配料、球磨、微粉过筛工序产生的颗粒物通过集气罩收集后，经</w:t>
            </w:r>
          </w:p>
          <w:p w14:paraId="0ADC52E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textAlignment w:val="auto"/>
              <w:rPr>
                <w:rFonts w:hint="default" w:ascii="Times New Roman" w:hAnsi="Times New Roman" w:cs="Times New Roman"/>
                <w:color w:val="auto"/>
                <w:spacing w:val="-3"/>
                <w:sz w:val="24"/>
                <w:szCs w:val="24"/>
                <w:lang w:val="en-US" w:eastAsia="zh-CN"/>
              </w:rPr>
            </w:pPr>
            <w:r>
              <w:rPr>
                <w:rFonts w:hint="default" w:ascii="Times New Roman" w:hAnsi="Times New Roman" w:cs="Times New Roman"/>
                <w:color w:val="auto"/>
                <w:spacing w:val="9"/>
                <w:sz w:val="24"/>
                <w:szCs w:val="24"/>
                <w:lang w:val="en-US" w:eastAsia="zh-CN"/>
              </w:rPr>
              <w:t>TA001布袋除尘器处理，通过15m排气筒DA001有组织排放。</w:t>
            </w:r>
          </w:p>
          <w:p w14:paraId="2C3247A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textAlignment w:val="auto"/>
              <w:rPr>
                <w:rFonts w:hint="default" w:ascii="Times New Roman" w:hAnsi="Times New Roman" w:cs="Times New Roman"/>
                <w:color w:val="auto"/>
                <w:spacing w:val="-3"/>
                <w:sz w:val="24"/>
                <w:szCs w:val="24"/>
                <w:highlight w:val="none"/>
                <w:lang w:val="en-US" w:eastAsia="zh-CN"/>
              </w:rPr>
            </w:pPr>
            <w:r>
              <w:rPr>
                <w:rFonts w:hint="default" w:ascii="Times New Roman" w:hAnsi="Times New Roman" w:cs="Times New Roman"/>
                <w:color w:val="auto"/>
                <w:spacing w:val="-3"/>
                <w:sz w:val="24"/>
                <w:szCs w:val="24"/>
                <w:highlight w:val="none"/>
                <w:lang w:val="en-US" w:eastAsia="zh-CN"/>
              </w:rPr>
              <w:t>根据淄博锦明陶瓷材料有限公司</w:t>
            </w:r>
            <w:r>
              <w:rPr>
                <w:rFonts w:hint="eastAsia" w:cs="Times New Roman"/>
                <w:color w:val="auto"/>
                <w:spacing w:val="-3"/>
                <w:sz w:val="24"/>
                <w:szCs w:val="24"/>
                <w:highlight w:val="none"/>
                <w:lang w:val="en-US" w:eastAsia="zh-CN"/>
              </w:rPr>
              <w:t>2026年2月</w:t>
            </w:r>
            <w:r>
              <w:rPr>
                <w:rFonts w:hint="default" w:ascii="Times New Roman" w:hAnsi="Times New Roman" w:cs="Times New Roman"/>
                <w:color w:val="auto"/>
                <w:spacing w:val="-3"/>
                <w:sz w:val="24"/>
                <w:szCs w:val="24"/>
                <w:highlight w:val="none"/>
                <w:lang w:val="en-US" w:eastAsia="zh-CN"/>
              </w:rPr>
              <w:t>例行检测数据（检测报告编号：</w:t>
            </w:r>
          </w:p>
          <w:p w14:paraId="784DCAA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textAlignment w:val="auto"/>
              <w:rPr>
                <w:rFonts w:hint="default" w:ascii="Times New Roman" w:hAnsi="Times New Roman" w:cs="Times New Roman"/>
                <w:color w:val="auto"/>
                <w:spacing w:val="-3"/>
                <w:sz w:val="24"/>
                <w:szCs w:val="24"/>
                <w:highlight w:val="yellow"/>
                <w:lang w:val="en-US" w:eastAsia="zh-CN"/>
              </w:rPr>
            </w:pPr>
            <w:r>
              <w:rPr>
                <w:rFonts w:hint="eastAsia" w:cs="Times New Roman"/>
                <w:color w:val="auto"/>
                <w:kern w:val="2"/>
                <w:sz w:val="24"/>
                <w:szCs w:val="24"/>
                <w:highlight w:val="none"/>
                <w:lang w:val="en-US" w:eastAsia="zh-CN" w:bidi="ar-SA"/>
              </w:rPr>
              <w:t>SDQS2601083</w:t>
            </w:r>
            <w:r>
              <w:rPr>
                <w:rFonts w:hint="default" w:ascii="Times New Roman" w:hAnsi="Times New Roman" w:cs="Times New Roman"/>
                <w:color w:val="auto"/>
                <w:spacing w:val="-3"/>
                <w:sz w:val="24"/>
                <w:szCs w:val="24"/>
                <w:highlight w:val="none"/>
                <w:lang w:val="en-US" w:eastAsia="zh-CN"/>
              </w:rPr>
              <w:t>），DA001颗粒物</w:t>
            </w:r>
            <w:r>
              <w:rPr>
                <w:rFonts w:hint="eastAsia" w:cs="Times New Roman"/>
                <w:color w:val="auto"/>
                <w:spacing w:val="-3"/>
                <w:sz w:val="24"/>
                <w:szCs w:val="24"/>
                <w:highlight w:val="none"/>
                <w:lang w:val="en-US" w:eastAsia="zh-CN"/>
              </w:rPr>
              <w:t>平均</w:t>
            </w:r>
            <w:r>
              <w:rPr>
                <w:rFonts w:hint="default" w:ascii="Times New Roman" w:hAnsi="Times New Roman" w:cs="Times New Roman"/>
                <w:color w:val="auto"/>
                <w:spacing w:val="-3"/>
                <w:sz w:val="24"/>
                <w:szCs w:val="24"/>
                <w:highlight w:val="none"/>
                <w:lang w:val="en-US" w:eastAsia="zh-CN"/>
              </w:rPr>
              <w:t>排放速率为</w:t>
            </w:r>
            <w:r>
              <w:rPr>
                <w:rFonts w:hint="eastAsia" w:cs="Times New Roman"/>
                <w:color w:val="auto"/>
                <w:spacing w:val="-3"/>
                <w:sz w:val="24"/>
                <w:szCs w:val="24"/>
                <w:highlight w:val="none"/>
                <w:lang w:val="en-US" w:eastAsia="zh-CN"/>
              </w:rPr>
              <w:t>0.044</w:t>
            </w:r>
            <w:r>
              <w:rPr>
                <w:rFonts w:hint="default" w:ascii="Times New Roman" w:hAnsi="Times New Roman" w:cs="Times New Roman"/>
                <w:color w:val="auto"/>
                <w:spacing w:val="-3"/>
                <w:sz w:val="24"/>
                <w:szCs w:val="24"/>
                <w:highlight w:val="none"/>
                <w:lang w:val="en-US" w:eastAsia="zh-CN"/>
              </w:rPr>
              <w:t>kg/h，年运行时间为2400h，</w:t>
            </w:r>
            <w:r>
              <w:rPr>
                <w:rFonts w:hint="eastAsia" w:cs="Times New Roman"/>
                <w:color w:val="auto"/>
                <w:spacing w:val="-3"/>
                <w:sz w:val="24"/>
                <w:szCs w:val="24"/>
                <w:highlight w:val="none"/>
                <w:lang w:val="en-US" w:eastAsia="zh-CN"/>
              </w:rPr>
              <w:t>监测期间生产工况为100%。</w:t>
            </w:r>
            <w:r>
              <w:rPr>
                <w:rFonts w:hint="default" w:ascii="Times New Roman" w:hAnsi="Times New Roman" w:cs="Times New Roman"/>
                <w:color w:val="auto"/>
                <w:spacing w:val="-3"/>
                <w:sz w:val="24"/>
                <w:szCs w:val="24"/>
                <w:highlight w:val="none"/>
                <w:lang w:val="en-US" w:eastAsia="zh-CN"/>
              </w:rPr>
              <w:t>则配料、球磨、微粉过筛工序有组织颗粒物排放量为</w:t>
            </w:r>
            <w:r>
              <w:rPr>
                <w:rFonts w:hint="eastAsia" w:cs="Times New Roman"/>
                <w:color w:val="auto"/>
                <w:spacing w:val="-3"/>
                <w:sz w:val="24"/>
                <w:szCs w:val="24"/>
                <w:highlight w:val="none"/>
                <w:lang w:val="en-US" w:eastAsia="zh-CN"/>
              </w:rPr>
              <w:t>0.105</w:t>
            </w:r>
            <w:r>
              <w:rPr>
                <w:rFonts w:hint="default" w:ascii="Times New Roman" w:hAnsi="Times New Roman" w:cs="Times New Roman"/>
                <w:color w:val="auto"/>
                <w:spacing w:val="-3"/>
                <w:sz w:val="24"/>
                <w:szCs w:val="24"/>
                <w:highlight w:val="none"/>
                <w:lang w:val="en-US" w:eastAsia="zh-CN"/>
              </w:rPr>
              <w:t>t/a。技改完成后，铝铁红产能由500t下降至420t，则有组织颗粒物排放量为</w:t>
            </w:r>
            <w:r>
              <w:rPr>
                <w:rFonts w:hint="eastAsia" w:cs="Times New Roman"/>
                <w:color w:val="auto"/>
                <w:spacing w:val="-3"/>
                <w:sz w:val="24"/>
                <w:szCs w:val="24"/>
                <w:highlight w:val="none"/>
                <w:lang w:val="en-US" w:eastAsia="zh-CN"/>
              </w:rPr>
              <w:t>0.088</w:t>
            </w:r>
            <w:r>
              <w:rPr>
                <w:rFonts w:hint="default" w:ascii="Times New Roman" w:hAnsi="Times New Roman" w:cs="Times New Roman"/>
                <w:color w:val="auto"/>
                <w:spacing w:val="-3"/>
                <w:sz w:val="24"/>
                <w:szCs w:val="24"/>
                <w:highlight w:val="none"/>
                <w:lang w:val="en-US" w:eastAsia="zh-CN"/>
              </w:rPr>
              <w:t>t/a。集气罩收集效率为按90%计，布袋除尘器处理效率按95%计，则推算出本项目无组织颗粒物排放量为</w:t>
            </w:r>
            <w:r>
              <w:rPr>
                <w:rFonts w:hint="eastAsia" w:cs="Times New Roman"/>
                <w:color w:val="auto"/>
                <w:spacing w:val="-3"/>
                <w:sz w:val="24"/>
                <w:szCs w:val="24"/>
                <w:highlight w:val="none"/>
                <w:lang w:val="en-US" w:eastAsia="zh-CN"/>
              </w:rPr>
              <w:t>0.091</w:t>
            </w:r>
            <w:r>
              <w:rPr>
                <w:rFonts w:hint="default" w:ascii="Times New Roman" w:hAnsi="Times New Roman" w:cs="Times New Roman"/>
                <w:color w:val="auto"/>
                <w:spacing w:val="-3"/>
                <w:sz w:val="24"/>
                <w:szCs w:val="24"/>
                <w:highlight w:val="none"/>
                <w:lang w:val="en-US" w:eastAsia="zh-CN"/>
              </w:rPr>
              <w:t>t/a。</w:t>
            </w:r>
          </w:p>
          <w:p w14:paraId="1C8A7FAF">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right="0" w:firstLine="468" w:firstLineChars="200"/>
              <w:textAlignment w:val="auto"/>
              <w:rPr>
                <w:rFonts w:hint="default" w:ascii="Times New Roman" w:hAnsi="Times New Roman" w:cs="Times New Roman"/>
                <w:color w:val="auto"/>
                <w:spacing w:val="-3"/>
                <w:sz w:val="24"/>
                <w:szCs w:val="24"/>
                <w:lang w:val="en-US" w:eastAsia="zh-CN"/>
              </w:rPr>
            </w:pPr>
            <w:r>
              <w:rPr>
                <w:rFonts w:hint="default" w:ascii="Times New Roman" w:hAnsi="Times New Roman" w:cs="Times New Roman"/>
                <w:color w:val="auto"/>
                <w:spacing w:val="-3"/>
                <w:sz w:val="24"/>
                <w:szCs w:val="24"/>
                <w:lang w:val="en-US" w:eastAsia="zh-CN"/>
              </w:rPr>
              <w:t>烘干废气</w:t>
            </w:r>
          </w:p>
          <w:p w14:paraId="30F5801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516" w:firstLineChars="200"/>
              <w:textAlignment w:val="auto"/>
              <w:rPr>
                <w:rFonts w:hint="eastAsia" w:cs="Times New Roman"/>
                <w:color w:val="auto"/>
                <w:spacing w:val="-3"/>
                <w:sz w:val="24"/>
                <w:szCs w:val="24"/>
                <w:highlight w:val="none"/>
                <w:lang w:val="en-US" w:eastAsia="zh-CN"/>
              </w:rPr>
            </w:pPr>
            <w:r>
              <w:rPr>
                <w:rFonts w:hint="default" w:ascii="Times New Roman" w:hAnsi="Times New Roman" w:cs="Times New Roman"/>
                <w:color w:val="auto"/>
                <w:spacing w:val="9"/>
                <w:sz w:val="24"/>
                <w:szCs w:val="24"/>
                <w:lang w:val="en-US" w:eastAsia="zh-CN"/>
              </w:rPr>
              <w:t>烘干天然气</w:t>
            </w:r>
            <w:r>
              <w:rPr>
                <w:rFonts w:hint="default" w:ascii="Times New Roman" w:hAnsi="Times New Roman" w:cs="Times New Roman"/>
                <w:color w:val="auto"/>
                <w:spacing w:val="9"/>
                <w:sz w:val="24"/>
                <w:szCs w:val="24"/>
                <w:highlight w:val="none"/>
                <w:lang w:val="en-US" w:eastAsia="zh-CN"/>
              </w:rPr>
              <w:t>燃烧产生的烟尘、二氧化硫、氮氧化物、烟气黑度</w:t>
            </w:r>
            <w:r>
              <w:rPr>
                <w:rFonts w:hint="eastAsia" w:cs="Times New Roman"/>
                <w:color w:val="auto"/>
                <w:spacing w:val="9"/>
                <w:sz w:val="24"/>
                <w:szCs w:val="24"/>
                <w:highlight w:val="none"/>
                <w:lang w:val="en-US" w:eastAsia="zh-CN"/>
              </w:rPr>
              <w:t>经SNCR脱硝装置处理</w:t>
            </w:r>
            <w:r>
              <w:rPr>
                <w:rFonts w:hint="default" w:ascii="Times New Roman" w:hAnsi="Times New Roman" w:cs="Times New Roman"/>
                <w:color w:val="auto"/>
                <w:spacing w:val="9"/>
                <w:sz w:val="24"/>
                <w:szCs w:val="24"/>
                <w:highlight w:val="none"/>
                <w:lang w:val="en-US" w:eastAsia="zh-CN"/>
              </w:rPr>
              <w:t>后通过15m排气筒DA002有组织排放。</w:t>
            </w:r>
            <w:r>
              <w:rPr>
                <w:rFonts w:hint="default" w:ascii="Times New Roman" w:hAnsi="Times New Roman" w:cs="Times New Roman"/>
                <w:color w:val="auto"/>
                <w:spacing w:val="-3"/>
                <w:sz w:val="24"/>
                <w:szCs w:val="24"/>
                <w:highlight w:val="none"/>
                <w:lang w:val="en-US" w:eastAsia="zh-CN"/>
              </w:rPr>
              <w:t>根据淄博锦明陶瓷材料有限公司</w:t>
            </w:r>
            <w:r>
              <w:rPr>
                <w:rFonts w:hint="eastAsia" w:cs="Times New Roman"/>
                <w:color w:val="auto"/>
                <w:spacing w:val="-3"/>
                <w:sz w:val="24"/>
                <w:szCs w:val="24"/>
                <w:highlight w:val="none"/>
                <w:lang w:val="en-US" w:eastAsia="zh-CN"/>
              </w:rPr>
              <w:t>2026年2月</w:t>
            </w:r>
            <w:r>
              <w:rPr>
                <w:rFonts w:hint="default" w:ascii="Times New Roman" w:hAnsi="Times New Roman" w:cs="Times New Roman"/>
                <w:color w:val="auto"/>
                <w:spacing w:val="-3"/>
                <w:sz w:val="24"/>
                <w:szCs w:val="24"/>
                <w:highlight w:val="none"/>
                <w:lang w:val="en-US" w:eastAsia="zh-CN"/>
              </w:rPr>
              <w:t>例行检测数据（检测报告编号：</w:t>
            </w:r>
            <w:r>
              <w:rPr>
                <w:rFonts w:hint="eastAsia" w:cs="Times New Roman"/>
                <w:color w:val="auto"/>
                <w:kern w:val="2"/>
                <w:sz w:val="24"/>
                <w:szCs w:val="24"/>
                <w:highlight w:val="none"/>
                <w:lang w:val="en-US" w:eastAsia="zh-CN" w:bidi="ar-SA"/>
              </w:rPr>
              <w:t>SDQS2601083</w:t>
            </w:r>
            <w:r>
              <w:rPr>
                <w:rFonts w:hint="default" w:ascii="Times New Roman" w:hAnsi="Times New Roman" w:cs="Times New Roman"/>
                <w:color w:val="auto"/>
                <w:spacing w:val="-3"/>
                <w:sz w:val="24"/>
                <w:szCs w:val="24"/>
                <w:highlight w:val="none"/>
                <w:lang w:val="en-US" w:eastAsia="zh-CN"/>
              </w:rPr>
              <w:t>），DA002颗粒物、二氧化硫、氮氧化物为排放速率为</w:t>
            </w:r>
            <w:r>
              <w:rPr>
                <w:rFonts w:hint="eastAsia" w:cs="Times New Roman"/>
                <w:color w:val="auto"/>
                <w:spacing w:val="-3"/>
                <w:sz w:val="24"/>
                <w:szCs w:val="24"/>
                <w:highlight w:val="none"/>
                <w:lang w:val="en-US" w:eastAsia="zh-CN"/>
              </w:rPr>
              <w:t>0.0073</w:t>
            </w:r>
            <w:r>
              <w:rPr>
                <w:rFonts w:hint="default" w:ascii="Times New Roman" w:hAnsi="Times New Roman" w:cs="Times New Roman"/>
                <w:color w:val="auto"/>
                <w:spacing w:val="-3"/>
                <w:sz w:val="24"/>
                <w:szCs w:val="24"/>
                <w:highlight w:val="none"/>
                <w:lang w:val="en-US" w:eastAsia="zh-CN"/>
              </w:rPr>
              <w:t>kg/h、</w:t>
            </w:r>
            <w:r>
              <w:rPr>
                <w:rFonts w:hint="eastAsia" w:cs="Times New Roman"/>
                <w:color w:val="auto"/>
                <w:spacing w:val="-3"/>
                <w:sz w:val="24"/>
                <w:szCs w:val="24"/>
                <w:highlight w:val="none"/>
                <w:lang w:val="en-US" w:eastAsia="zh-CN"/>
              </w:rPr>
              <w:t>0.0045</w:t>
            </w:r>
            <w:r>
              <w:rPr>
                <w:rFonts w:hint="default" w:ascii="Times New Roman" w:hAnsi="Times New Roman" w:cs="Times New Roman"/>
                <w:color w:val="auto"/>
                <w:spacing w:val="-3"/>
                <w:sz w:val="24"/>
                <w:szCs w:val="24"/>
                <w:highlight w:val="none"/>
                <w:lang w:val="en-US" w:eastAsia="zh-CN"/>
              </w:rPr>
              <w:t>kg/h、</w:t>
            </w:r>
            <w:r>
              <w:rPr>
                <w:rFonts w:hint="eastAsia" w:cs="Times New Roman"/>
                <w:color w:val="auto"/>
                <w:spacing w:val="-3"/>
                <w:sz w:val="24"/>
                <w:szCs w:val="24"/>
                <w:highlight w:val="none"/>
                <w:lang w:val="en-US" w:eastAsia="zh-CN"/>
              </w:rPr>
              <w:t>0.0420</w:t>
            </w:r>
            <w:r>
              <w:rPr>
                <w:rFonts w:hint="default" w:ascii="Times New Roman" w:hAnsi="Times New Roman" w:cs="Times New Roman"/>
                <w:color w:val="auto"/>
                <w:spacing w:val="-3"/>
                <w:sz w:val="24"/>
                <w:szCs w:val="24"/>
                <w:highlight w:val="none"/>
                <w:lang w:val="en-US" w:eastAsia="zh-CN"/>
              </w:rPr>
              <w:t>kg/h，年运行时间为2400h，</w:t>
            </w:r>
            <w:r>
              <w:rPr>
                <w:rFonts w:hint="eastAsia" w:cs="Times New Roman"/>
                <w:color w:val="auto"/>
                <w:spacing w:val="-3"/>
                <w:sz w:val="24"/>
                <w:szCs w:val="24"/>
                <w:highlight w:val="none"/>
                <w:lang w:val="en-US" w:eastAsia="zh-CN"/>
              </w:rPr>
              <w:t>监测期间生产工况为100%。</w:t>
            </w:r>
            <w:r>
              <w:rPr>
                <w:rFonts w:hint="default" w:ascii="Times New Roman" w:hAnsi="Times New Roman" w:cs="Times New Roman"/>
                <w:color w:val="auto"/>
                <w:spacing w:val="-3"/>
                <w:sz w:val="24"/>
                <w:szCs w:val="24"/>
                <w:highlight w:val="none"/>
                <w:lang w:val="en-US" w:eastAsia="zh-CN"/>
              </w:rPr>
              <w:t>则有组织烟尘、二氧化硫、氮氧化物排放量为</w:t>
            </w:r>
            <w:r>
              <w:rPr>
                <w:rFonts w:hint="eastAsia" w:cs="Times New Roman"/>
                <w:color w:val="auto"/>
                <w:spacing w:val="-3"/>
                <w:sz w:val="24"/>
                <w:szCs w:val="24"/>
                <w:highlight w:val="none"/>
                <w:lang w:val="en-US" w:eastAsia="zh-CN"/>
              </w:rPr>
              <w:t>0.018</w:t>
            </w:r>
            <w:r>
              <w:rPr>
                <w:rFonts w:hint="default" w:ascii="Times New Roman" w:hAnsi="Times New Roman" w:cs="Times New Roman"/>
                <w:color w:val="auto"/>
                <w:spacing w:val="-3"/>
                <w:sz w:val="24"/>
                <w:szCs w:val="24"/>
                <w:highlight w:val="none"/>
                <w:lang w:val="en-US" w:eastAsia="zh-CN"/>
              </w:rPr>
              <w:t>t/a、</w:t>
            </w:r>
            <w:r>
              <w:rPr>
                <w:rFonts w:hint="eastAsia" w:cs="Times New Roman"/>
                <w:color w:val="auto"/>
                <w:spacing w:val="-3"/>
                <w:sz w:val="24"/>
                <w:szCs w:val="24"/>
                <w:highlight w:val="none"/>
                <w:lang w:val="en-US" w:eastAsia="zh-CN"/>
              </w:rPr>
              <w:t>0.011</w:t>
            </w:r>
            <w:r>
              <w:rPr>
                <w:rFonts w:hint="default" w:ascii="Times New Roman" w:hAnsi="Times New Roman" w:cs="Times New Roman"/>
                <w:color w:val="auto"/>
                <w:spacing w:val="-3"/>
                <w:sz w:val="24"/>
                <w:szCs w:val="24"/>
                <w:highlight w:val="none"/>
                <w:lang w:val="en-US" w:eastAsia="zh-CN"/>
              </w:rPr>
              <w:t>t/a、</w:t>
            </w:r>
            <w:r>
              <w:rPr>
                <w:rFonts w:hint="eastAsia" w:cs="Times New Roman"/>
                <w:color w:val="auto"/>
                <w:spacing w:val="-3"/>
                <w:sz w:val="24"/>
                <w:szCs w:val="24"/>
                <w:highlight w:val="none"/>
                <w:lang w:val="en-US" w:eastAsia="zh-CN"/>
              </w:rPr>
              <w:t>0.101</w:t>
            </w:r>
            <w:r>
              <w:rPr>
                <w:rFonts w:hint="default" w:ascii="Times New Roman" w:hAnsi="Times New Roman" w:cs="Times New Roman"/>
                <w:color w:val="auto"/>
                <w:spacing w:val="-3"/>
                <w:sz w:val="24"/>
                <w:szCs w:val="24"/>
                <w:highlight w:val="none"/>
                <w:lang w:val="en-US" w:eastAsia="zh-CN"/>
              </w:rPr>
              <w:t>t/a。技改完成后，铝铁红产能由500t下降至420t，则有组织烟尘、二氧化硫、氮氧化物排放量为</w:t>
            </w:r>
            <w:r>
              <w:rPr>
                <w:rFonts w:hint="eastAsia" w:cs="Times New Roman"/>
                <w:color w:val="auto"/>
                <w:spacing w:val="-3"/>
                <w:sz w:val="24"/>
                <w:szCs w:val="24"/>
                <w:highlight w:val="none"/>
                <w:lang w:val="en-US" w:eastAsia="zh-CN"/>
              </w:rPr>
              <w:t>0.015</w:t>
            </w:r>
            <w:r>
              <w:rPr>
                <w:rFonts w:hint="default" w:ascii="Times New Roman" w:hAnsi="Times New Roman" w:cs="Times New Roman"/>
                <w:color w:val="auto"/>
                <w:spacing w:val="-3"/>
                <w:sz w:val="24"/>
                <w:szCs w:val="24"/>
                <w:highlight w:val="none"/>
                <w:lang w:val="en-US" w:eastAsia="zh-CN"/>
              </w:rPr>
              <w:t>t/a、</w:t>
            </w:r>
            <w:r>
              <w:rPr>
                <w:rFonts w:hint="eastAsia" w:cs="Times New Roman"/>
                <w:color w:val="auto"/>
                <w:spacing w:val="-3"/>
                <w:sz w:val="24"/>
                <w:szCs w:val="24"/>
                <w:highlight w:val="none"/>
                <w:lang w:val="en-US" w:eastAsia="zh-CN"/>
              </w:rPr>
              <w:t>0.009</w:t>
            </w:r>
            <w:r>
              <w:rPr>
                <w:rFonts w:hint="default" w:ascii="Times New Roman" w:hAnsi="Times New Roman" w:cs="Times New Roman"/>
                <w:color w:val="auto"/>
                <w:spacing w:val="-3"/>
                <w:sz w:val="24"/>
                <w:szCs w:val="24"/>
                <w:highlight w:val="none"/>
                <w:lang w:val="en-US" w:eastAsia="zh-CN"/>
              </w:rPr>
              <w:t>t/a、</w:t>
            </w:r>
            <w:r>
              <w:rPr>
                <w:rFonts w:hint="eastAsia" w:cs="Times New Roman"/>
                <w:color w:val="auto"/>
                <w:spacing w:val="-3"/>
                <w:sz w:val="24"/>
                <w:szCs w:val="24"/>
                <w:highlight w:val="none"/>
                <w:lang w:val="en-US" w:eastAsia="zh-CN"/>
              </w:rPr>
              <w:t>0.085</w:t>
            </w:r>
            <w:r>
              <w:rPr>
                <w:rFonts w:hint="default" w:ascii="Times New Roman" w:hAnsi="Times New Roman" w:cs="Times New Roman"/>
                <w:color w:val="auto"/>
                <w:spacing w:val="-3"/>
                <w:sz w:val="24"/>
                <w:szCs w:val="24"/>
                <w:highlight w:val="none"/>
                <w:lang w:val="en-US" w:eastAsia="zh-CN"/>
              </w:rPr>
              <w:t>t/a</w:t>
            </w:r>
            <w:r>
              <w:rPr>
                <w:rFonts w:hint="eastAsia" w:cs="Times New Roman"/>
                <w:color w:val="auto"/>
                <w:spacing w:val="-3"/>
                <w:sz w:val="24"/>
                <w:szCs w:val="24"/>
                <w:highlight w:val="none"/>
                <w:lang w:val="en-US" w:eastAsia="zh-CN"/>
              </w:rPr>
              <w:t>。SNCR脱硝装置处理效率按50%计，则推算出本项目氮氧化物产生量为0.17t/a。</w:t>
            </w:r>
          </w:p>
          <w:p w14:paraId="157418A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68" w:firstLineChars="200"/>
              <w:textAlignment w:val="auto"/>
              <w:rPr>
                <w:rFonts w:hint="default" w:cs="Times New Roman"/>
                <w:color w:val="auto"/>
                <w:spacing w:val="-3"/>
                <w:sz w:val="24"/>
                <w:szCs w:val="24"/>
                <w:highlight w:val="none"/>
                <w:lang w:val="en-US" w:eastAsia="zh-CN"/>
              </w:rPr>
            </w:pPr>
            <w:r>
              <w:rPr>
                <w:rFonts w:hint="eastAsia" w:cs="Times New Roman"/>
                <w:color w:val="auto"/>
                <w:spacing w:val="-3"/>
                <w:sz w:val="24"/>
                <w:szCs w:val="24"/>
                <w:highlight w:val="none"/>
                <w:lang w:val="en-US" w:eastAsia="zh-CN"/>
              </w:rPr>
              <w:t>烘干废气采用TA004SNCR脱硝装置进行脱硝处理，脱硝还原剂为尿素，脱硝过程中有NH</w:t>
            </w:r>
            <w:r>
              <w:rPr>
                <w:rFonts w:hint="eastAsia" w:cs="Times New Roman"/>
                <w:color w:val="auto"/>
                <w:spacing w:val="-3"/>
                <w:sz w:val="24"/>
                <w:szCs w:val="24"/>
                <w:highlight w:val="none"/>
                <w:vertAlign w:val="subscript"/>
                <w:lang w:val="en-US" w:eastAsia="zh-CN"/>
              </w:rPr>
              <w:t>3</w:t>
            </w:r>
            <w:r>
              <w:rPr>
                <w:rFonts w:hint="eastAsia" w:cs="Times New Roman"/>
                <w:color w:val="auto"/>
                <w:spacing w:val="-3"/>
                <w:sz w:val="24"/>
                <w:szCs w:val="24"/>
                <w:highlight w:val="none"/>
                <w:lang w:val="en-US" w:eastAsia="zh-CN"/>
              </w:rPr>
              <w:t>逃逸。根据《淄川区重污染天气消除攻坚行动方案》要求，采用尿素作为还原剂脱硝的行业企业，氨逃逸浓度应控制在8mg/m</w:t>
            </w:r>
            <w:r>
              <w:rPr>
                <w:rFonts w:hint="eastAsia" w:cs="Times New Roman"/>
                <w:color w:val="auto"/>
                <w:spacing w:val="-3"/>
                <w:sz w:val="24"/>
                <w:szCs w:val="24"/>
                <w:highlight w:val="none"/>
                <w:vertAlign w:val="superscript"/>
                <w:lang w:val="en-US" w:eastAsia="zh-CN"/>
              </w:rPr>
              <w:t>3</w:t>
            </w:r>
            <w:r>
              <w:rPr>
                <w:rFonts w:hint="eastAsia" w:cs="Times New Roman"/>
                <w:color w:val="auto"/>
                <w:spacing w:val="-3"/>
                <w:sz w:val="24"/>
                <w:szCs w:val="24"/>
                <w:highlight w:val="none"/>
                <w:lang w:val="en-US" w:eastAsia="zh-CN"/>
              </w:rPr>
              <w:t>以下。设计风机风量为5000m</w:t>
            </w:r>
            <w:r>
              <w:rPr>
                <w:rFonts w:hint="eastAsia" w:cs="Times New Roman"/>
                <w:color w:val="auto"/>
                <w:spacing w:val="-3"/>
                <w:sz w:val="24"/>
                <w:szCs w:val="24"/>
                <w:highlight w:val="none"/>
                <w:vertAlign w:val="superscript"/>
                <w:lang w:val="en-US" w:eastAsia="zh-CN"/>
              </w:rPr>
              <w:t>3</w:t>
            </w:r>
            <w:r>
              <w:rPr>
                <w:rFonts w:hint="eastAsia" w:cs="Times New Roman"/>
                <w:color w:val="auto"/>
                <w:spacing w:val="-3"/>
                <w:sz w:val="24"/>
                <w:szCs w:val="24"/>
                <w:highlight w:val="none"/>
                <w:lang w:val="en-US" w:eastAsia="zh-CN"/>
              </w:rPr>
              <w:t>/h，年运行时间为2400h，则有组织氨排放量为0.096t/a。</w:t>
            </w:r>
          </w:p>
          <w:p w14:paraId="08CAC6CC">
            <w:pPr>
              <w:keepNext w:val="0"/>
              <w:keepLines w:val="0"/>
              <w:pageBreakBefore w:val="0"/>
              <w:widowControl w:val="0"/>
              <w:kinsoku/>
              <w:wordWrap/>
              <w:overflowPunct/>
              <w:topLinePunct w:val="0"/>
              <w:autoSpaceDE/>
              <w:autoSpaceDN/>
              <w:bidi w:val="0"/>
              <w:adjustRightInd/>
              <w:snapToGrid/>
              <w:spacing w:line="360" w:lineRule="auto"/>
              <w:ind w:left="0" w:right="0" w:firstLine="512" w:firstLineChars="200"/>
              <w:textAlignment w:val="auto"/>
              <w:rPr>
                <w:rFonts w:hint="default" w:ascii="Times New Roman" w:hAnsi="Times New Roman" w:eastAsia="宋体" w:cs="Times New Roman"/>
                <w:strike w:val="0"/>
                <w:dstrike w:val="0"/>
                <w:color w:val="auto"/>
                <w:sz w:val="24"/>
                <w:szCs w:val="24"/>
                <w:lang w:val="en-US" w:eastAsia="zh-CN"/>
              </w:rPr>
            </w:pPr>
            <w:r>
              <w:rPr>
                <w:rFonts w:hint="default" w:ascii="Times New Roman" w:hAnsi="Times New Roman" w:cs="Times New Roman"/>
                <w:strike w:val="0"/>
                <w:dstrike w:val="0"/>
                <w:color w:val="auto"/>
                <w:spacing w:val="8"/>
                <w:sz w:val="24"/>
                <w:szCs w:val="24"/>
                <w:lang w:eastAsia="zh-CN"/>
              </w:rPr>
              <w:t>（</w:t>
            </w:r>
            <w:r>
              <w:rPr>
                <w:rFonts w:hint="default" w:ascii="Times New Roman" w:hAnsi="Times New Roman" w:cs="Times New Roman"/>
                <w:strike w:val="0"/>
                <w:dstrike w:val="0"/>
                <w:color w:val="auto"/>
                <w:spacing w:val="8"/>
                <w:sz w:val="24"/>
                <w:szCs w:val="24"/>
                <w:lang w:val="en-US" w:eastAsia="zh-CN"/>
              </w:rPr>
              <w:t>3</w:t>
            </w:r>
            <w:r>
              <w:rPr>
                <w:rFonts w:hint="default" w:ascii="Times New Roman" w:hAnsi="Times New Roman" w:cs="Times New Roman"/>
                <w:strike w:val="0"/>
                <w:dstrike w:val="0"/>
                <w:color w:val="auto"/>
                <w:spacing w:val="8"/>
                <w:sz w:val="24"/>
                <w:szCs w:val="24"/>
                <w:lang w:eastAsia="zh-CN"/>
              </w:rPr>
              <w:t>）</w:t>
            </w:r>
            <w:r>
              <w:rPr>
                <w:rFonts w:hint="default" w:ascii="Times New Roman" w:hAnsi="Times New Roman" w:cs="Times New Roman"/>
                <w:strike w:val="0"/>
                <w:dstrike w:val="0"/>
                <w:color w:val="auto"/>
                <w:spacing w:val="8"/>
                <w:sz w:val="24"/>
                <w:szCs w:val="24"/>
                <w:lang w:val="en-US" w:eastAsia="zh-CN"/>
              </w:rPr>
              <w:t>混料、气流磨废气</w:t>
            </w:r>
          </w:p>
          <w:p w14:paraId="239836FF">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strike w:val="0"/>
                <w:dstrike w:val="0"/>
                <w:color w:val="auto"/>
                <w:sz w:val="24"/>
                <w:szCs w:val="24"/>
                <w:vertAlign w:val="baseline"/>
                <w:lang w:val="en-US" w:eastAsia="zh-CN"/>
              </w:rPr>
            </w:pPr>
            <w:r>
              <w:rPr>
                <w:rFonts w:hint="default" w:ascii="Times New Roman" w:hAnsi="Times New Roman" w:cs="Times New Roman"/>
                <w:strike w:val="0"/>
                <w:dstrike w:val="0"/>
                <w:color w:val="auto"/>
                <w:sz w:val="24"/>
                <w:szCs w:val="24"/>
                <w:highlight w:val="none"/>
                <w:lang w:val="en-US" w:eastAsia="zh-CN"/>
              </w:rPr>
              <w:t>混料工序颗粒物集气罩收集，气流磨工序颗粒物密闭收集，</w:t>
            </w:r>
            <w:r>
              <w:rPr>
                <w:rFonts w:hint="default" w:ascii="Times New Roman" w:hAnsi="Times New Roman" w:eastAsia="宋体" w:cs="Times New Roman"/>
                <w:strike w:val="0"/>
                <w:dstrike w:val="0"/>
                <w:color w:val="auto"/>
                <w:sz w:val="24"/>
                <w:szCs w:val="24"/>
                <w:highlight w:val="none"/>
                <w:lang w:val="en-US" w:eastAsia="zh-CN"/>
              </w:rPr>
              <w:t>进入</w:t>
            </w:r>
            <w:r>
              <w:rPr>
                <w:rFonts w:hint="default" w:ascii="Times New Roman" w:hAnsi="Times New Roman" w:cs="Times New Roman"/>
                <w:strike w:val="0"/>
                <w:dstrike w:val="0"/>
                <w:color w:val="auto"/>
                <w:sz w:val="24"/>
                <w:szCs w:val="24"/>
                <w:highlight w:val="none"/>
                <w:lang w:val="en-US" w:eastAsia="zh-CN"/>
              </w:rPr>
              <w:t>TA002袋式除尘器</w:t>
            </w:r>
            <w:r>
              <w:rPr>
                <w:rFonts w:hint="default" w:ascii="Times New Roman" w:hAnsi="Times New Roman" w:eastAsia="宋体" w:cs="Times New Roman"/>
                <w:strike w:val="0"/>
                <w:dstrike w:val="0"/>
                <w:color w:val="auto"/>
                <w:sz w:val="24"/>
                <w:szCs w:val="24"/>
                <w:highlight w:val="none"/>
                <w:lang w:val="en-US" w:eastAsia="zh-CN"/>
              </w:rPr>
              <w:t>处理，通过一根15米高排气筒（DA00</w:t>
            </w:r>
            <w:r>
              <w:rPr>
                <w:rFonts w:hint="default" w:ascii="Times New Roman" w:hAnsi="Times New Roman" w:cs="Times New Roman"/>
                <w:strike w:val="0"/>
                <w:dstrike w:val="0"/>
                <w:color w:val="auto"/>
                <w:sz w:val="24"/>
                <w:szCs w:val="24"/>
                <w:highlight w:val="none"/>
                <w:lang w:val="en-US" w:eastAsia="zh-CN"/>
              </w:rPr>
              <w:t>3</w:t>
            </w:r>
            <w:r>
              <w:rPr>
                <w:rFonts w:hint="default" w:ascii="Times New Roman" w:hAnsi="Times New Roman" w:eastAsia="宋体" w:cs="Times New Roman"/>
                <w:strike w:val="0"/>
                <w:dstrike w:val="0"/>
                <w:color w:val="auto"/>
                <w:sz w:val="24"/>
                <w:szCs w:val="24"/>
                <w:highlight w:val="none"/>
                <w:lang w:val="en-US" w:eastAsia="zh-CN"/>
              </w:rPr>
              <w:t>）排放</w:t>
            </w:r>
            <w:r>
              <w:rPr>
                <w:rFonts w:hint="default" w:ascii="Times New Roman" w:hAnsi="Times New Roman" w:cs="Times New Roman"/>
                <w:strike w:val="0"/>
                <w:dstrike w:val="0"/>
                <w:color w:val="auto"/>
                <w:spacing w:val="9"/>
                <w:sz w:val="24"/>
                <w:szCs w:val="24"/>
                <w:lang w:val="en-US" w:eastAsia="zh-CN"/>
              </w:rPr>
              <w:t>。</w:t>
            </w:r>
            <w:r>
              <w:rPr>
                <w:rFonts w:hint="default" w:ascii="Times New Roman" w:hAnsi="Times New Roman" w:eastAsia="宋体" w:cs="Times New Roman"/>
                <w:strike w:val="0"/>
                <w:dstrike w:val="0"/>
                <w:color w:val="auto"/>
                <w:sz w:val="24"/>
                <w:szCs w:val="24"/>
                <w:lang w:val="en-US" w:eastAsia="zh-CN"/>
              </w:rPr>
              <w:t>参照</w:t>
            </w:r>
            <w:r>
              <w:rPr>
                <w:rFonts w:hint="default" w:ascii="Times New Roman" w:hAnsi="Times New Roman" w:eastAsia="宋体" w:cs="Times New Roman"/>
                <w:strike w:val="0"/>
                <w:dstrike w:val="0"/>
                <w:color w:val="auto"/>
                <w:sz w:val="24"/>
                <w:szCs w:val="24"/>
              </w:rPr>
              <w:t>《</w:t>
            </w:r>
            <w:r>
              <w:rPr>
                <w:rFonts w:hint="default" w:ascii="Times New Roman" w:hAnsi="Times New Roman" w:eastAsia="宋体" w:cs="Times New Roman"/>
                <w:strike w:val="0"/>
                <w:dstrike w:val="0"/>
                <w:color w:val="auto"/>
                <w:sz w:val="24"/>
                <w:szCs w:val="24"/>
                <w:lang w:val="en-US" w:eastAsia="zh-CN"/>
              </w:rPr>
              <w:t>排放源统计调查产排污核算方法和系数手册》（2021年6月9日）</w:t>
            </w:r>
            <w:r>
              <w:rPr>
                <w:rFonts w:hint="default" w:ascii="Times New Roman" w:hAnsi="Times New Roman" w:eastAsia="宋体" w:cs="Times New Roman"/>
                <w:strike w:val="0"/>
                <w:dstrike w:val="0"/>
                <w:color w:val="auto"/>
                <w:sz w:val="24"/>
                <w:szCs w:val="24"/>
              </w:rPr>
              <w:t>“2641涂料制造行业系数手册”</w:t>
            </w:r>
            <w:r>
              <w:rPr>
                <w:rFonts w:hint="eastAsia" w:cs="Times New Roman"/>
                <w:strike w:val="0"/>
                <w:dstrike w:val="0"/>
                <w:color w:val="auto"/>
                <w:sz w:val="24"/>
                <w:szCs w:val="24"/>
                <w:lang w:eastAsia="zh-CN"/>
              </w:rPr>
              <w:t>，</w:t>
            </w:r>
            <w:r>
              <w:rPr>
                <w:rFonts w:hint="default" w:ascii="Times New Roman" w:hAnsi="Times New Roman" w:eastAsia="宋体" w:cs="Times New Roman"/>
                <w:strike w:val="0"/>
                <w:dstrike w:val="0"/>
                <w:color w:val="auto"/>
                <w:sz w:val="24"/>
                <w:szCs w:val="24"/>
              </w:rPr>
              <w:t>辅助材料生产工艺中颗粒物产生系数为0.836kg/t产品</w:t>
            </w:r>
            <w:r>
              <w:rPr>
                <w:rFonts w:hint="default" w:ascii="Times New Roman" w:hAnsi="Times New Roman" w:eastAsia="宋体" w:cs="Times New Roman"/>
                <w:strike w:val="0"/>
                <w:dstrike w:val="0"/>
                <w:color w:val="auto"/>
                <w:sz w:val="24"/>
                <w:szCs w:val="24"/>
                <w:lang w:eastAsia="zh-CN"/>
              </w:rPr>
              <w:t>，</w:t>
            </w:r>
            <w:r>
              <w:rPr>
                <w:rFonts w:hint="default" w:ascii="Times New Roman" w:hAnsi="Times New Roman" w:eastAsia="宋体" w:cs="Times New Roman"/>
                <w:strike w:val="0"/>
                <w:dstrike w:val="0"/>
                <w:color w:val="auto"/>
                <w:sz w:val="24"/>
                <w:szCs w:val="24"/>
                <w:lang w:val="en-US" w:eastAsia="zh-CN"/>
              </w:rPr>
              <w:t>本技改项目铝铁红年产量为420t/a</w:t>
            </w:r>
            <w:r>
              <w:rPr>
                <w:rFonts w:hint="default" w:ascii="Times New Roman" w:hAnsi="Times New Roman" w:eastAsia="宋体" w:cs="Times New Roman"/>
                <w:strike w:val="0"/>
                <w:dstrike w:val="0"/>
                <w:color w:val="auto"/>
                <w:sz w:val="24"/>
                <w:szCs w:val="24"/>
              </w:rPr>
              <w:t>，</w:t>
            </w:r>
            <w:r>
              <w:rPr>
                <w:rFonts w:hint="default" w:ascii="Times New Roman" w:hAnsi="Times New Roman" w:eastAsia="宋体" w:cs="Times New Roman"/>
                <w:strike w:val="0"/>
                <w:dstrike w:val="0"/>
                <w:color w:val="auto"/>
                <w:sz w:val="24"/>
                <w:szCs w:val="24"/>
                <w:lang w:val="en-US" w:eastAsia="zh-CN"/>
              </w:rPr>
              <w:t>则</w:t>
            </w:r>
            <w:r>
              <w:rPr>
                <w:rFonts w:hint="default" w:ascii="Times New Roman" w:hAnsi="Times New Roman" w:cs="Times New Roman"/>
                <w:strike w:val="0"/>
                <w:dstrike w:val="0"/>
                <w:color w:val="auto"/>
                <w:sz w:val="24"/>
                <w:szCs w:val="24"/>
                <w:lang w:val="en-US" w:eastAsia="zh-CN"/>
              </w:rPr>
              <w:t>混料工序</w:t>
            </w:r>
            <w:r>
              <w:rPr>
                <w:rFonts w:hint="default" w:ascii="Times New Roman" w:hAnsi="Times New Roman" w:eastAsia="宋体" w:cs="Times New Roman"/>
                <w:strike w:val="0"/>
                <w:dstrike w:val="0"/>
                <w:color w:val="auto"/>
                <w:sz w:val="24"/>
                <w:szCs w:val="24"/>
                <w:lang w:val="en-US" w:eastAsia="zh-CN"/>
              </w:rPr>
              <w:t>颗粒物产生量为0.351t/a</w:t>
            </w:r>
            <w:r>
              <w:rPr>
                <w:rFonts w:hint="default" w:ascii="Times New Roman" w:hAnsi="Times New Roman" w:cs="Times New Roman"/>
                <w:strike w:val="0"/>
                <w:dstrike w:val="0"/>
                <w:color w:val="auto"/>
                <w:sz w:val="24"/>
                <w:szCs w:val="24"/>
                <w:lang w:val="en-US" w:eastAsia="zh-CN"/>
              </w:rPr>
              <w:t>，气流磨工序</w:t>
            </w:r>
            <w:r>
              <w:rPr>
                <w:rFonts w:hint="default" w:ascii="Times New Roman" w:hAnsi="Times New Roman" w:eastAsia="宋体" w:cs="Times New Roman"/>
                <w:strike w:val="0"/>
                <w:dstrike w:val="0"/>
                <w:color w:val="auto"/>
                <w:sz w:val="24"/>
                <w:szCs w:val="24"/>
                <w:lang w:val="en-US" w:eastAsia="zh-CN"/>
              </w:rPr>
              <w:t>颗粒物产生量为0.351t/a。集气罩收集效率为90%，布袋除尘器处理效率为95%，风机风量为3000m</w:t>
            </w:r>
            <w:r>
              <w:rPr>
                <w:rFonts w:hint="default" w:ascii="Times New Roman" w:hAnsi="Times New Roman" w:eastAsia="宋体" w:cs="Times New Roman"/>
                <w:strike w:val="0"/>
                <w:dstrike w:val="0"/>
                <w:color w:val="auto"/>
                <w:sz w:val="24"/>
                <w:szCs w:val="24"/>
                <w:vertAlign w:val="superscript"/>
                <w:lang w:val="en-US" w:eastAsia="zh-CN"/>
              </w:rPr>
              <w:t>3</w:t>
            </w:r>
            <w:r>
              <w:rPr>
                <w:rFonts w:hint="default" w:ascii="Times New Roman" w:hAnsi="Times New Roman" w:eastAsia="宋体" w:cs="Times New Roman"/>
                <w:strike w:val="0"/>
                <w:dstrike w:val="0"/>
                <w:color w:val="auto"/>
                <w:sz w:val="24"/>
                <w:szCs w:val="24"/>
                <w:lang w:val="en-US" w:eastAsia="zh-CN"/>
              </w:rPr>
              <w:t>/h，则有组织颗粒物排放量为0.0</w:t>
            </w:r>
            <w:r>
              <w:rPr>
                <w:rFonts w:hint="default" w:ascii="Times New Roman" w:hAnsi="Times New Roman" w:cs="Times New Roman"/>
                <w:strike w:val="0"/>
                <w:dstrike w:val="0"/>
                <w:color w:val="auto"/>
                <w:sz w:val="24"/>
                <w:szCs w:val="24"/>
                <w:lang w:val="en-US" w:eastAsia="zh-CN"/>
              </w:rPr>
              <w:t>33</w:t>
            </w:r>
            <w:r>
              <w:rPr>
                <w:rFonts w:hint="default" w:ascii="Times New Roman" w:hAnsi="Times New Roman" w:eastAsia="宋体" w:cs="Times New Roman"/>
                <w:strike w:val="0"/>
                <w:dstrike w:val="0"/>
                <w:color w:val="auto"/>
                <w:sz w:val="24"/>
                <w:szCs w:val="24"/>
                <w:lang w:val="en-US" w:eastAsia="zh-CN"/>
              </w:rPr>
              <w:t>t/a，混料、气流磨工序年生产时间为2400h，则有组织颗粒物排放速率为0.0</w:t>
            </w:r>
            <w:r>
              <w:rPr>
                <w:rFonts w:hint="default" w:ascii="Times New Roman" w:hAnsi="Times New Roman" w:cs="Times New Roman"/>
                <w:strike w:val="0"/>
                <w:dstrike w:val="0"/>
                <w:color w:val="auto"/>
                <w:sz w:val="24"/>
                <w:szCs w:val="24"/>
                <w:lang w:val="en-US" w:eastAsia="zh-CN"/>
              </w:rPr>
              <w:t>14</w:t>
            </w:r>
            <w:r>
              <w:rPr>
                <w:rFonts w:hint="default" w:ascii="Times New Roman" w:hAnsi="Times New Roman" w:eastAsia="宋体" w:cs="Times New Roman"/>
                <w:strike w:val="0"/>
                <w:dstrike w:val="0"/>
                <w:color w:val="auto"/>
                <w:sz w:val="24"/>
                <w:szCs w:val="24"/>
                <w:lang w:val="en-US" w:eastAsia="zh-CN"/>
              </w:rPr>
              <w:t>kg/h，排放浓度为</w:t>
            </w:r>
            <w:r>
              <w:rPr>
                <w:rFonts w:hint="default" w:ascii="Times New Roman" w:hAnsi="Times New Roman" w:cs="Times New Roman"/>
                <w:strike w:val="0"/>
                <w:dstrike w:val="0"/>
                <w:color w:val="auto"/>
                <w:sz w:val="24"/>
                <w:szCs w:val="24"/>
                <w:lang w:val="en-US" w:eastAsia="zh-CN"/>
              </w:rPr>
              <w:t>4.632</w:t>
            </w:r>
            <w:r>
              <w:rPr>
                <w:rFonts w:hint="default" w:ascii="Times New Roman" w:hAnsi="Times New Roman" w:eastAsia="宋体" w:cs="Times New Roman"/>
                <w:strike w:val="0"/>
                <w:dstrike w:val="0"/>
                <w:color w:val="auto"/>
                <w:sz w:val="24"/>
                <w:szCs w:val="24"/>
                <w:lang w:val="en-US" w:eastAsia="zh-CN"/>
              </w:rPr>
              <w:t>m</w:t>
            </w:r>
            <w:r>
              <w:rPr>
                <w:rFonts w:hint="default" w:ascii="Times New Roman" w:hAnsi="Times New Roman" w:cs="Times New Roman"/>
                <w:strike w:val="0"/>
                <w:dstrike w:val="0"/>
                <w:color w:val="auto"/>
                <w:sz w:val="24"/>
                <w:szCs w:val="24"/>
                <w:lang w:val="en-US" w:eastAsia="zh-CN"/>
              </w:rPr>
              <w:t>g</w:t>
            </w:r>
            <w:r>
              <w:rPr>
                <w:rFonts w:hint="default" w:ascii="Times New Roman" w:hAnsi="Times New Roman" w:eastAsia="宋体" w:cs="Times New Roman"/>
                <w:strike w:val="0"/>
                <w:dstrike w:val="0"/>
                <w:color w:val="auto"/>
                <w:sz w:val="24"/>
                <w:szCs w:val="24"/>
                <w:lang w:val="en-US" w:eastAsia="zh-CN"/>
              </w:rPr>
              <w:t>/m</w:t>
            </w:r>
            <w:r>
              <w:rPr>
                <w:rFonts w:hint="default" w:ascii="Times New Roman" w:hAnsi="Times New Roman" w:eastAsia="宋体" w:cs="Times New Roman"/>
                <w:strike w:val="0"/>
                <w:dstrike w:val="0"/>
                <w:color w:val="auto"/>
                <w:sz w:val="24"/>
                <w:szCs w:val="24"/>
                <w:vertAlign w:val="superscript"/>
                <w:lang w:val="en-US" w:eastAsia="zh-CN"/>
              </w:rPr>
              <w:t>3</w:t>
            </w:r>
            <w:r>
              <w:rPr>
                <w:rFonts w:hint="default" w:ascii="Times New Roman" w:hAnsi="Times New Roman" w:cs="Times New Roman"/>
                <w:strike w:val="0"/>
                <w:dstrike w:val="0"/>
                <w:color w:val="auto"/>
                <w:sz w:val="24"/>
                <w:szCs w:val="24"/>
                <w:vertAlign w:val="baseline"/>
                <w:lang w:val="en-US" w:eastAsia="zh-CN"/>
              </w:rPr>
              <w:t>。无组织颗粒物排放量为0.035t/a。</w:t>
            </w:r>
          </w:p>
          <w:p w14:paraId="35B3EB9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textAlignment w:val="auto"/>
              <w:rPr>
                <w:rFonts w:hint="default" w:ascii="Times New Roman" w:hAnsi="Times New Roman" w:cs="Times New Roman"/>
                <w:strike w:val="0"/>
                <w:color w:val="auto"/>
                <w:spacing w:val="9"/>
                <w:sz w:val="24"/>
                <w:szCs w:val="24"/>
                <w:lang w:val="en-US" w:eastAsia="zh-CN"/>
              </w:rPr>
            </w:pPr>
            <w:r>
              <w:rPr>
                <w:rFonts w:hint="default" w:ascii="Times New Roman" w:hAnsi="Times New Roman" w:cs="Times New Roman"/>
                <w:strike w:val="0"/>
                <w:color w:val="auto"/>
                <w:spacing w:val="9"/>
                <w:sz w:val="24"/>
                <w:szCs w:val="24"/>
                <w:lang w:val="en-US" w:eastAsia="zh-CN"/>
              </w:rPr>
              <w:t>B.陶瓷喷墨墨水</w:t>
            </w:r>
          </w:p>
          <w:p w14:paraId="3EA29D2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textAlignment w:val="auto"/>
              <w:rPr>
                <w:rFonts w:hint="default" w:ascii="Times New Roman" w:hAnsi="Times New Roman" w:cs="Times New Roman"/>
                <w:strike w:val="0"/>
                <w:dstrike w:val="0"/>
                <w:color w:val="auto"/>
                <w:spacing w:val="9"/>
                <w:sz w:val="24"/>
                <w:szCs w:val="24"/>
                <w:lang w:val="en-US" w:eastAsia="zh-CN"/>
              </w:rPr>
            </w:pPr>
            <w:r>
              <w:rPr>
                <w:rFonts w:hint="default" w:ascii="Times New Roman" w:hAnsi="Times New Roman" w:cs="Times New Roman"/>
                <w:strike w:val="0"/>
                <w:dstrike w:val="0"/>
                <w:color w:val="auto"/>
                <w:spacing w:val="9"/>
                <w:sz w:val="24"/>
                <w:szCs w:val="24"/>
                <w:lang w:val="en-US" w:eastAsia="zh-CN"/>
              </w:rPr>
              <w:t>（1）配料、搅拌废气</w:t>
            </w:r>
          </w:p>
          <w:p w14:paraId="0AB03EA6">
            <w:pPr>
              <w:keepNext w:val="0"/>
              <w:keepLines w:val="0"/>
              <w:pageBreakBefore w:val="0"/>
              <w:widowControl w:val="0"/>
              <w:kinsoku/>
              <w:wordWrap/>
              <w:overflowPunct/>
              <w:topLinePunct w:val="0"/>
              <w:autoSpaceDE/>
              <w:autoSpaceDN/>
              <w:bidi w:val="0"/>
              <w:adjustRightInd/>
              <w:snapToGrid/>
              <w:spacing w:line="360" w:lineRule="auto"/>
              <w:ind w:left="0" w:right="0" w:firstLine="516" w:firstLineChars="200"/>
              <w:textAlignment w:val="auto"/>
              <w:rPr>
                <w:rFonts w:hint="default" w:ascii="Times New Roman" w:hAnsi="Times New Roman" w:eastAsia="宋体" w:cs="Times New Roman"/>
                <w:strike w:val="0"/>
                <w:dstrike w:val="0"/>
                <w:color w:val="auto"/>
                <w:sz w:val="24"/>
                <w:szCs w:val="24"/>
                <w:highlight w:val="none"/>
                <w:vertAlign w:val="baseline"/>
                <w:lang w:val="en-US" w:eastAsia="zh-CN"/>
              </w:rPr>
            </w:pPr>
            <w:r>
              <w:rPr>
                <w:rFonts w:hint="default" w:ascii="Times New Roman" w:hAnsi="Times New Roman" w:cs="Times New Roman"/>
                <w:strike w:val="0"/>
                <w:dstrike w:val="0"/>
                <w:color w:val="auto"/>
                <w:spacing w:val="9"/>
                <w:sz w:val="24"/>
                <w:szCs w:val="24"/>
                <w:highlight w:val="none"/>
                <w:lang w:val="en-US" w:eastAsia="zh-CN"/>
              </w:rPr>
              <w:t>①配料、搅拌工序产生的颗粒物通过集气罩收集，经TA003处理后，通过15m排气筒DA004有组织排放。</w:t>
            </w:r>
            <w:r>
              <w:rPr>
                <w:rFonts w:hint="default" w:ascii="Times New Roman" w:hAnsi="Times New Roman" w:eastAsia="宋体" w:cs="Times New Roman"/>
                <w:strike w:val="0"/>
                <w:dstrike w:val="0"/>
                <w:color w:val="auto"/>
                <w:sz w:val="24"/>
                <w:szCs w:val="24"/>
                <w:highlight w:val="none"/>
                <w:lang w:val="en-US" w:eastAsia="zh-CN"/>
              </w:rPr>
              <w:t>参照</w:t>
            </w:r>
            <w:r>
              <w:rPr>
                <w:rFonts w:hint="default" w:ascii="Times New Roman" w:hAnsi="Times New Roman" w:eastAsia="宋体" w:cs="Times New Roman"/>
                <w:strike w:val="0"/>
                <w:dstrike w:val="0"/>
                <w:color w:val="auto"/>
                <w:sz w:val="24"/>
                <w:szCs w:val="24"/>
                <w:highlight w:val="none"/>
              </w:rPr>
              <w:t>《</w:t>
            </w:r>
            <w:r>
              <w:rPr>
                <w:rFonts w:hint="default" w:ascii="Times New Roman" w:hAnsi="Times New Roman" w:eastAsia="宋体" w:cs="Times New Roman"/>
                <w:strike w:val="0"/>
                <w:dstrike w:val="0"/>
                <w:color w:val="auto"/>
                <w:sz w:val="24"/>
                <w:szCs w:val="24"/>
                <w:highlight w:val="none"/>
                <w:lang w:val="en-US" w:eastAsia="zh-CN"/>
              </w:rPr>
              <w:t>排放源统计调查产排污核算方法和系数手册》（2021年6月9日）</w:t>
            </w:r>
            <w:r>
              <w:rPr>
                <w:rFonts w:hint="default" w:ascii="Times New Roman" w:hAnsi="Times New Roman" w:eastAsia="宋体" w:cs="Times New Roman"/>
                <w:strike w:val="0"/>
                <w:dstrike w:val="0"/>
                <w:color w:val="auto"/>
                <w:sz w:val="24"/>
                <w:szCs w:val="24"/>
                <w:highlight w:val="none"/>
              </w:rPr>
              <w:t>“2641涂料制造行业系数手册”,辅助材料生产工艺中颗粒物产生系数为0.836</w:t>
            </w:r>
            <w:r>
              <w:rPr>
                <w:rFonts w:hint="default" w:ascii="Times New Roman" w:hAnsi="Times New Roman" w:cs="Times New Roman"/>
                <w:strike w:val="0"/>
                <w:dstrike w:val="0"/>
                <w:color w:val="auto"/>
                <w:sz w:val="24"/>
                <w:szCs w:val="24"/>
                <w:highlight w:val="none"/>
                <w:lang w:val="en-US" w:eastAsia="zh-CN"/>
              </w:rPr>
              <w:t>千克</w:t>
            </w:r>
            <w:r>
              <w:rPr>
                <w:rFonts w:hint="default" w:ascii="Times New Roman" w:hAnsi="Times New Roman" w:eastAsia="宋体" w:cs="Times New Roman"/>
                <w:strike w:val="0"/>
                <w:dstrike w:val="0"/>
                <w:color w:val="auto"/>
                <w:sz w:val="24"/>
                <w:szCs w:val="24"/>
                <w:highlight w:val="none"/>
              </w:rPr>
              <w:t>/</w:t>
            </w:r>
            <w:r>
              <w:rPr>
                <w:rFonts w:hint="default" w:ascii="Times New Roman" w:hAnsi="Times New Roman" w:cs="Times New Roman"/>
                <w:strike w:val="0"/>
                <w:dstrike w:val="0"/>
                <w:color w:val="auto"/>
                <w:sz w:val="24"/>
                <w:szCs w:val="24"/>
                <w:highlight w:val="none"/>
                <w:lang w:val="en-US" w:eastAsia="zh-CN"/>
              </w:rPr>
              <w:t>吨-</w:t>
            </w:r>
            <w:r>
              <w:rPr>
                <w:rFonts w:hint="default" w:ascii="Times New Roman" w:hAnsi="Times New Roman" w:eastAsia="宋体" w:cs="Times New Roman"/>
                <w:strike w:val="0"/>
                <w:dstrike w:val="0"/>
                <w:color w:val="auto"/>
                <w:sz w:val="24"/>
                <w:szCs w:val="24"/>
                <w:highlight w:val="none"/>
              </w:rPr>
              <w:t>产品</w:t>
            </w:r>
            <w:r>
              <w:rPr>
                <w:rFonts w:hint="default" w:ascii="Times New Roman" w:hAnsi="Times New Roman" w:eastAsia="宋体" w:cs="Times New Roman"/>
                <w:strike w:val="0"/>
                <w:dstrike w:val="0"/>
                <w:color w:val="auto"/>
                <w:sz w:val="24"/>
                <w:szCs w:val="24"/>
                <w:highlight w:val="none"/>
                <w:lang w:eastAsia="zh-CN"/>
              </w:rPr>
              <w:t>，</w:t>
            </w:r>
            <w:r>
              <w:rPr>
                <w:rFonts w:hint="default" w:ascii="Times New Roman" w:hAnsi="Times New Roman" w:eastAsia="宋体" w:cs="Times New Roman"/>
                <w:strike w:val="0"/>
                <w:dstrike w:val="0"/>
                <w:color w:val="auto"/>
                <w:sz w:val="24"/>
                <w:szCs w:val="24"/>
                <w:highlight w:val="none"/>
                <w:lang w:val="en-US" w:eastAsia="zh-CN"/>
              </w:rPr>
              <w:t>本技改项目</w:t>
            </w:r>
            <w:r>
              <w:rPr>
                <w:rFonts w:hint="default" w:ascii="Times New Roman" w:hAnsi="Times New Roman" w:cs="Times New Roman"/>
                <w:strike w:val="0"/>
                <w:dstrike w:val="0"/>
                <w:color w:val="auto"/>
                <w:sz w:val="24"/>
                <w:szCs w:val="24"/>
                <w:highlight w:val="none"/>
                <w:lang w:val="en-US" w:eastAsia="zh-CN"/>
              </w:rPr>
              <w:t>陶瓷墨水</w:t>
            </w:r>
            <w:r>
              <w:rPr>
                <w:rFonts w:hint="default" w:ascii="Times New Roman" w:hAnsi="Times New Roman" w:eastAsia="宋体" w:cs="Times New Roman"/>
                <w:strike w:val="0"/>
                <w:dstrike w:val="0"/>
                <w:color w:val="auto"/>
                <w:sz w:val="24"/>
                <w:szCs w:val="24"/>
                <w:highlight w:val="none"/>
                <w:lang w:val="en-US" w:eastAsia="zh-CN"/>
              </w:rPr>
              <w:t>年产量为</w:t>
            </w:r>
            <w:r>
              <w:rPr>
                <w:rFonts w:hint="default" w:ascii="Times New Roman" w:hAnsi="Times New Roman" w:cs="Times New Roman"/>
                <w:strike w:val="0"/>
                <w:dstrike w:val="0"/>
                <w:color w:val="auto"/>
                <w:sz w:val="24"/>
                <w:szCs w:val="24"/>
                <w:highlight w:val="none"/>
                <w:lang w:val="en-US" w:eastAsia="zh-CN"/>
              </w:rPr>
              <w:t>200</w:t>
            </w:r>
            <w:r>
              <w:rPr>
                <w:rFonts w:hint="default" w:ascii="Times New Roman" w:hAnsi="Times New Roman" w:eastAsia="宋体" w:cs="Times New Roman"/>
                <w:strike w:val="0"/>
                <w:dstrike w:val="0"/>
                <w:color w:val="auto"/>
                <w:sz w:val="24"/>
                <w:szCs w:val="24"/>
                <w:highlight w:val="none"/>
                <w:lang w:val="en-US" w:eastAsia="zh-CN"/>
              </w:rPr>
              <w:t>t/a，其中粉料用量为120t/a</w:t>
            </w:r>
            <w:r>
              <w:rPr>
                <w:rFonts w:hint="default" w:ascii="Times New Roman" w:hAnsi="Times New Roman" w:eastAsia="宋体" w:cs="Times New Roman"/>
                <w:strike w:val="0"/>
                <w:dstrike w:val="0"/>
                <w:color w:val="auto"/>
                <w:sz w:val="24"/>
                <w:szCs w:val="24"/>
                <w:highlight w:val="none"/>
              </w:rPr>
              <w:t>，</w:t>
            </w:r>
            <w:r>
              <w:rPr>
                <w:rFonts w:hint="default" w:ascii="Times New Roman" w:hAnsi="Times New Roman" w:eastAsia="宋体" w:cs="Times New Roman"/>
                <w:strike w:val="0"/>
                <w:dstrike w:val="0"/>
                <w:color w:val="auto"/>
                <w:sz w:val="24"/>
                <w:szCs w:val="24"/>
                <w:highlight w:val="none"/>
                <w:lang w:val="en-US" w:eastAsia="zh-CN"/>
              </w:rPr>
              <w:t>则颗粒物产生量为0.</w:t>
            </w:r>
            <w:r>
              <w:rPr>
                <w:rFonts w:hint="default" w:ascii="Times New Roman" w:hAnsi="Times New Roman" w:cs="Times New Roman"/>
                <w:strike w:val="0"/>
                <w:dstrike w:val="0"/>
                <w:color w:val="auto"/>
                <w:sz w:val="24"/>
                <w:szCs w:val="24"/>
                <w:highlight w:val="none"/>
                <w:lang w:val="en-US" w:eastAsia="zh-CN"/>
              </w:rPr>
              <w:t>1</w:t>
            </w:r>
            <w:r>
              <w:rPr>
                <w:rFonts w:hint="default" w:ascii="Times New Roman" w:hAnsi="Times New Roman" w:eastAsia="宋体" w:cs="Times New Roman"/>
                <w:strike w:val="0"/>
                <w:dstrike w:val="0"/>
                <w:color w:val="auto"/>
                <w:sz w:val="24"/>
                <w:szCs w:val="24"/>
                <w:highlight w:val="none"/>
                <w:lang w:val="en-US" w:eastAsia="zh-CN"/>
              </w:rPr>
              <w:t>t/a。集气罩收集效率为90%，布袋除尘器处理效率为95%，风机风量为3000m</w:t>
            </w:r>
            <w:r>
              <w:rPr>
                <w:rFonts w:hint="default" w:ascii="Times New Roman" w:hAnsi="Times New Roman" w:eastAsia="宋体" w:cs="Times New Roman"/>
                <w:strike w:val="0"/>
                <w:dstrike w:val="0"/>
                <w:color w:val="auto"/>
                <w:sz w:val="24"/>
                <w:szCs w:val="24"/>
                <w:highlight w:val="none"/>
                <w:vertAlign w:val="superscript"/>
                <w:lang w:val="en-US" w:eastAsia="zh-CN"/>
              </w:rPr>
              <w:t>3</w:t>
            </w:r>
            <w:r>
              <w:rPr>
                <w:rFonts w:hint="default" w:ascii="Times New Roman" w:hAnsi="Times New Roman" w:eastAsia="宋体" w:cs="Times New Roman"/>
                <w:strike w:val="0"/>
                <w:dstrike w:val="0"/>
                <w:color w:val="auto"/>
                <w:sz w:val="24"/>
                <w:szCs w:val="24"/>
                <w:highlight w:val="none"/>
                <w:lang w:val="en-US" w:eastAsia="zh-CN"/>
              </w:rPr>
              <w:t>/h，则有组织颗粒物排放量为0.005t/a，配料、搅拌工序年生产时间为2400h，则有组织颗粒物排放速率为0.002kg/h，排放浓度为0.627m</w:t>
            </w:r>
            <w:r>
              <w:rPr>
                <w:rFonts w:hint="default" w:ascii="Times New Roman" w:hAnsi="Times New Roman" w:cs="Times New Roman"/>
                <w:strike w:val="0"/>
                <w:dstrike w:val="0"/>
                <w:color w:val="auto"/>
                <w:sz w:val="24"/>
                <w:szCs w:val="24"/>
                <w:highlight w:val="none"/>
                <w:lang w:val="en-US" w:eastAsia="zh-CN"/>
              </w:rPr>
              <w:t>g</w:t>
            </w:r>
            <w:r>
              <w:rPr>
                <w:rFonts w:hint="default" w:ascii="Times New Roman" w:hAnsi="Times New Roman" w:eastAsia="宋体" w:cs="Times New Roman"/>
                <w:strike w:val="0"/>
                <w:dstrike w:val="0"/>
                <w:color w:val="auto"/>
                <w:sz w:val="24"/>
                <w:szCs w:val="24"/>
                <w:highlight w:val="none"/>
                <w:lang w:val="en-US" w:eastAsia="zh-CN"/>
              </w:rPr>
              <w:t>/m</w:t>
            </w:r>
            <w:r>
              <w:rPr>
                <w:rFonts w:hint="default" w:ascii="Times New Roman" w:hAnsi="Times New Roman" w:eastAsia="宋体" w:cs="Times New Roman"/>
                <w:strike w:val="0"/>
                <w:dstrike w:val="0"/>
                <w:color w:val="auto"/>
                <w:sz w:val="24"/>
                <w:szCs w:val="24"/>
                <w:highlight w:val="none"/>
                <w:vertAlign w:val="superscript"/>
                <w:lang w:val="en-US" w:eastAsia="zh-CN"/>
              </w:rPr>
              <w:t>3</w:t>
            </w:r>
            <w:r>
              <w:rPr>
                <w:rFonts w:hint="default" w:ascii="Times New Roman" w:hAnsi="Times New Roman" w:cs="Times New Roman"/>
                <w:strike w:val="0"/>
                <w:dstrike w:val="0"/>
                <w:color w:val="auto"/>
                <w:sz w:val="24"/>
                <w:szCs w:val="24"/>
                <w:highlight w:val="none"/>
                <w:vertAlign w:val="baseline"/>
                <w:lang w:val="en-US" w:eastAsia="zh-CN"/>
              </w:rPr>
              <w:t>。无组织颗粒物排放量为0.01t/a。</w:t>
            </w:r>
          </w:p>
          <w:p w14:paraId="2F1CFF31">
            <w:pPr>
              <w:keepNext w:val="0"/>
              <w:keepLines w:val="0"/>
              <w:pageBreakBefore w:val="0"/>
              <w:widowControl w:val="0"/>
              <w:kinsoku/>
              <w:wordWrap/>
              <w:overflowPunct/>
              <w:topLinePunct w:val="0"/>
              <w:autoSpaceDE/>
              <w:autoSpaceDN/>
              <w:bidi w:val="0"/>
              <w:adjustRightInd/>
              <w:snapToGrid/>
              <w:spacing w:line="360" w:lineRule="auto"/>
              <w:ind w:left="0" w:right="0" w:firstLine="516" w:firstLineChars="200"/>
              <w:textAlignment w:val="auto"/>
              <w:rPr>
                <w:rFonts w:hint="default" w:ascii="Times New Roman" w:hAnsi="Times New Roman" w:cs="Times New Roman"/>
                <w:strike w:val="0"/>
                <w:dstrike w:val="0"/>
                <w:color w:val="auto"/>
                <w:sz w:val="24"/>
                <w:szCs w:val="24"/>
                <w:highlight w:val="none"/>
                <w:vertAlign w:val="baseline"/>
                <w:lang w:val="en-US" w:eastAsia="zh-CN"/>
              </w:rPr>
            </w:pPr>
            <w:r>
              <w:rPr>
                <w:rFonts w:hint="default" w:ascii="Times New Roman" w:hAnsi="Times New Roman" w:cs="Times New Roman"/>
                <w:strike w:val="0"/>
                <w:dstrike w:val="0"/>
                <w:color w:val="auto"/>
                <w:spacing w:val="9"/>
                <w:sz w:val="24"/>
                <w:szCs w:val="24"/>
                <w:highlight w:val="none"/>
                <w:lang w:val="en-US" w:eastAsia="zh-CN"/>
              </w:rPr>
              <w:t>②蒸发工序产生的VOCs通过集气罩收集，经</w:t>
            </w:r>
            <w:r>
              <w:rPr>
                <w:rFonts w:hint="eastAsia" w:cs="Times New Roman"/>
                <w:strike w:val="0"/>
                <w:dstrike w:val="0"/>
                <w:color w:val="auto"/>
                <w:spacing w:val="9"/>
                <w:sz w:val="24"/>
                <w:szCs w:val="24"/>
                <w:highlight w:val="none"/>
                <w:lang w:val="en-US" w:eastAsia="zh-CN"/>
              </w:rPr>
              <w:t>TA005</w:t>
            </w:r>
            <w:r>
              <w:rPr>
                <w:rFonts w:hint="default" w:ascii="Times New Roman" w:hAnsi="Times New Roman" w:cs="Times New Roman"/>
                <w:strike w:val="0"/>
                <w:dstrike w:val="0"/>
                <w:color w:val="auto"/>
                <w:spacing w:val="9"/>
                <w:sz w:val="24"/>
                <w:szCs w:val="24"/>
                <w:highlight w:val="none"/>
                <w:lang w:val="en-US" w:eastAsia="zh-CN"/>
              </w:rPr>
              <w:t>除雾器+二级活性炭附处理后，通过15m排气筒DA005有组织排放。</w:t>
            </w:r>
            <w:r>
              <w:rPr>
                <w:rFonts w:hint="default" w:ascii="Times New Roman" w:hAnsi="Times New Roman" w:eastAsia="宋体" w:cs="Times New Roman"/>
                <w:strike w:val="0"/>
                <w:dstrike w:val="0"/>
                <w:color w:val="auto"/>
                <w:sz w:val="24"/>
                <w:szCs w:val="24"/>
                <w:highlight w:val="none"/>
                <w:lang w:val="en-US" w:eastAsia="zh-CN"/>
              </w:rPr>
              <w:t>参照</w:t>
            </w:r>
            <w:r>
              <w:rPr>
                <w:rFonts w:hint="default" w:ascii="Times New Roman" w:hAnsi="Times New Roman" w:eastAsia="宋体" w:cs="Times New Roman"/>
                <w:strike w:val="0"/>
                <w:dstrike w:val="0"/>
                <w:color w:val="auto"/>
                <w:sz w:val="24"/>
                <w:szCs w:val="24"/>
                <w:highlight w:val="none"/>
              </w:rPr>
              <w:t>《</w:t>
            </w:r>
            <w:r>
              <w:rPr>
                <w:rFonts w:hint="default" w:ascii="Times New Roman" w:hAnsi="Times New Roman" w:eastAsia="宋体" w:cs="Times New Roman"/>
                <w:strike w:val="0"/>
                <w:dstrike w:val="0"/>
                <w:color w:val="auto"/>
                <w:sz w:val="24"/>
                <w:szCs w:val="24"/>
                <w:highlight w:val="none"/>
                <w:lang w:val="en-US" w:eastAsia="zh-CN"/>
              </w:rPr>
              <w:t>排放源统计调查产排污核算方法和系数手册》（2021年6月9日）</w:t>
            </w:r>
            <w:r>
              <w:rPr>
                <w:rFonts w:hint="default" w:ascii="Times New Roman" w:hAnsi="Times New Roman" w:eastAsia="宋体" w:cs="Times New Roman"/>
                <w:strike w:val="0"/>
                <w:dstrike w:val="0"/>
                <w:color w:val="auto"/>
                <w:sz w:val="24"/>
                <w:szCs w:val="24"/>
                <w:highlight w:val="none"/>
              </w:rPr>
              <w:t>“2641涂料制造行业系数手册”,</w:t>
            </w:r>
            <w:r>
              <w:rPr>
                <w:rFonts w:hint="default" w:ascii="Times New Roman" w:hAnsi="Times New Roman" w:cs="Times New Roman"/>
                <w:strike w:val="0"/>
                <w:dstrike w:val="0"/>
                <w:color w:val="auto"/>
                <w:sz w:val="24"/>
                <w:szCs w:val="24"/>
                <w:highlight w:val="none"/>
                <w:lang w:val="en-US" w:eastAsia="zh-CN"/>
              </w:rPr>
              <w:t>水性涂料用树脂</w:t>
            </w:r>
            <w:r>
              <w:rPr>
                <w:rFonts w:hint="default" w:ascii="Times New Roman" w:hAnsi="Times New Roman" w:eastAsia="宋体" w:cs="Times New Roman"/>
                <w:strike w:val="0"/>
                <w:dstrike w:val="0"/>
                <w:color w:val="auto"/>
                <w:sz w:val="24"/>
                <w:szCs w:val="24"/>
                <w:highlight w:val="none"/>
              </w:rPr>
              <w:t>生产工艺中</w:t>
            </w:r>
            <w:r>
              <w:rPr>
                <w:rFonts w:hint="default" w:ascii="Times New Roman" w:hAnsi="Times New Roman" w:cs="Times New Roman"/>
                <w:strike w:val="0"/>
                <w:dstrike w:val="0"/>
                <w:color w:val="auto"/>
                <w:sz w:val="24"/>
                <w:szCs w:val="24"/>
                <w:highlight w:val="none"/>
                <w:lang w:val="en-US" w:eastAsia="zh-CN"/>
              </w:rPr>
              <w:t>VOCs</w:t>
            </w:r>
            <w:r>
              <w:rPr>
                <w:rFonts w:hint="default" w:ascii="Times New Roman" w:hAnsi="Times New Roman" w:eastAsia="宋体" w:cs="Times New Roman"/>
                <w:strike w:val="0"/>
                <w:dstrike w:val="0"/>
                <w:color w:val="auto"/>
                <w:sz w:val="24"/>
                <w:szCs w:val="24"/>
                <w:highlight w:val="none"/>
              </w:rPr>
              <w:t>产生系数为0.</w:t>
            </w:r>
            <w:r>
              <w:rPr>
                <w:rFonts w:hint="default" w:ascii="Times New Roman" w:hAnsi="Times New Roman" w:cs="Times New Roman"/>
                <w:strike w:val="0"/>
                <w:dstrike w:val="0"/>
                <w:color w:val="auto"/>
                <w:sz w:val="24"/>
                <w:szCs w:val="24"/>
                <w:highlight w:val="none"/>
                <w:lang w:val="en-US" w:eastAsia="zh-CN"/>
              </w:rPr>
              <w:t>70千克</w:t>
            </w:r>
            <w:r>
              <w:rPr>
                <w:rFonts w:hint="default" w:ascii="Times New Roman" w:hAnsi="Times New Roman" w:eastAsia="宋体" w:cs="Times New Roman"/>
                <w:strike w:val="0"/>
                <w:dstrike w:val="0"/>
                <w:color w:val="auto"/>
                <w:sz w:val="24"/>
                <w:szCs w:val="24"/>
                <w:highlight w:val="none"/>
              </w:rPr>
              <w:t>/</w:t>
            </w:r>
            <w:r>
              <w:rPr>
                <w:rFonts w:hint="default" w:ascii="Times New Roman" w:hAnsi="Times New Roman" w:cs="Times New Roman"/>
                <w:strike w:val="0"/>
                <w:dstrike w:val="0"/>
                <w:color w:val="auto"/>
                <w:sz w:val="24"/>
                <w:szCs w:val="24"/>
                <w:highlight w:val="none"/>
                <w:lang w:val="en-US" w:eastAsia="zh-CN"/>
              </w:rPr>
              <w:t>吨-</w:t>
            </w:r>
            <w:r>
              <w:rPr>
                <w:rFonts w:hint="default" w:ascii="Times New Roman" w:hAnsi="Times New Roman" w:eastAsia="宋体" w:cs="Times New Roman"/>
                <w:strike w:val="0"/>
                <w:dstrike w:val="0"/>
                <w:color w:val="auto"/>
                <w:sz w:val="24"/>
                <w:szCs w:val="24"/>
                <w:highlight w:val="none"/>
              </w:rPr>
              <w:t>产品</w:t>
            </w:r>
            <w:r>
              <w:rPr>
                <w:rFonts w:hint="default" w:ascii="Times New Roman" w:hAnsi="Times New Roman" w:eastAsia="宋体" w:cs="Times New Roman"/>
                <w:strike w:val="0"/>
                <w:dstrike w:val="0"/>
                <w:color w:val="auto"/>
                <w:sz w:val="24"/>
                <w:szCs w:val="24"/>
                <w:highlight w:val="none"/>
                <w:lang w:eastAsia="zh-CN"/>
              </w:rPr>
              <w:t>，</w:t>
            </w:r>
            <w:r>
              <w:rPr>
                <w:rFonts w:hint="default" w:ascii="Times New Roman" w:hAnsi="Times New Roman" w:eastAsia="宋体" w:cs="Times New Roman"/>
                <w:strike w:val="0"/>
                <w:dstrike w:val="0"/>
                <w:color w:val="auto"/>
                <w:sz w:val="24"/>
                <w:szCs w:val="24"/>
                <w:highlight w:val="none"/>
                <w:lang w:val="en-US" w:eastAsia="zh-CN"/>
              </w:rPr>
              <w:t>本技改项目</w:t>
            </w:r>
            <w:r>
              <w:rPr>
                <w:rFonts w:hint="default" w:ascii="Times New Roman" w:hAnsi="Times New Roman" w:cs="Times New Roman"/>
                <w:strike w:val="0"/>
                <w:dstrike w:val="0"/>
                <w:color w:val="auto"/>
                <w:sz w:val="24"/>
                <w:szCs w:val="24"/>
                <w:highlight w:val="none"/>
                <w:lang w:val="en-US" w:eastAsia="zh-CN"/>
              </w:rPr>
              <w:t>陶瓷墨水</w:t>
            </w:r>
            <w:r>
              <w:rPr>
                <w:rFonts w:hint="default" w:ascii="Times New Roman" w:hAnsi="Times New Roman" w:eastAsia="宋体" w:cs="Times New Roman"/>
                <w:strike w:val="0"/>
                <w:dstrike w:val="0"/>
                <w:color w:val="auto"/>
                <w:sz w:val="24"/>
                <w:szCs w:val="24"/>
                <w:highlight w:val="none"/>
                <w:lang w:val="en-US" w:eastAsia="zh-CN"/>
              </w:rPr>
              <w:t>年产量为</w:t>
            </w:r>
            <w:r>
              <w:rPr>
                <w:rFonts w:hint="default" w:ascii="Times New Roman" w:hAnsi="Times New Roman" w:cs="Times New Roman"/>
                <w:strike w:val="0"/>
                <w:dstrike w:val="0"/>
                <w:color w:val="auto"/>
                <w:sz w:val="24"/>
                <w:szCs w:val="24"/>
                <w:highlight w:val="none"/>
                <w:lang w:val="en-US" w:eastAsia="zh-CN"/>
              </w:rPr>
              <w:t>200</w:t>
            </w:r>
            <w:r>
              <w:rPr>
                <w:rFonts w:hint="default" w:ascii="Times New Roman" w:hAnsi="Times New Roman" w:eastAsia="宋体" w:cs="Times New Roman"/>
                <w:strike w:val="0"/>
                <w:dstrike w:val="0"/>
                <w:color w:val="auto"/>
                <w:sz w:val="24"/>
                <w:szCs w:val="24"/>
                <w:highlight w:val="none"/>
                <w:lang w:val="en-US" w:eastAsia="zh-CN"/>
              </w:rPr>
              <w:t>t/a</w:t>
            </w:r>
            <w:r>
              <w:rPr>
                <w:rFonts w:hint="default" w:ascii="Times New Roman" w:hAnsi="Times New Roman" w:eastAsia="宋体" w:cs="Times New Roman"/>
                <w:strike w:val="0"/>
                <w:dstrike w:val="0"/>
                <w:color w:val="auto"/>
                <w:sz w:val="24"/>
                <w:szCs w:val="24"/>
                <w:highlight w:val="none"/>
              </w:rPr>
              <w:t>，</w:t>
            </w:r>
            <w:r>
              <w:rPr>
                <w:rFonts w:hint="default" w:ascii="Times New Roman" w:hAnsi="Times New Roman" w:eastAsia="宋体" w:cs="Times New Roman"/>
                <w:strike w:val="0"/>
                <w:dstrike w:val="0"/>
                <w:color w:val="auto"/>
                <w:sz w:val="24"/>
                <w:szCs w:val="24"/>
                <w:highlight w:val="none"/>
                <w:lang w:val="en-US" w:eastAsia="zh-CN"/>
              </w:rPr>
              <w:t>则</w:t>
            </w:r>
            <w:r>
              <w:rPr>
                <w:rFonts w:hint="default" w:ascii="Times New Roman" w:hAnsi="Times New Roman" w:cs="Times New Roman"/>
                <w:strike w:val="0"/>
                <w:dstrike w:val="0"/>
                <w:color w:val="auto"/>
                <w:sz w:val="24"/>
                <w:szCs w:val="24"/>
                <w:highlight w:val="none"/>
                <w:lang w:val="en-US" w:eastAsia="zh-CN"/>
              </w:rPr>
              <w:t>VOCs</w:t>
            </w:r>
            <w:r>
              <w:rPr>
                <w:rFonts w:hint="default" w:ascii="Times New Roman" w:hAnsi="Times New Roman" w:eastAsia="宋体" w:cs="Times New Roman"/>
                <w:strike w:val="0"/>
                <w:dstrike w:val="0"/>
                <w:color w:val="auto"/>
                <w:sz w:val="24"/>
                <w:szCs w:val="24"/>
                <w:highlight w:val="none"/>
                <w:lang w:val="en-US" w:eastAsia="zh-CN"/>
              </w:rPr>
              <w:t>产生量为0.</w:t>
            </w:r>
            <w:r>
              <w:rPr>
                <w:rFonts w:hint="default" w:ascii="Times New Roman" w:hAnsi="Times New Roman" w:cs="Times New Roman"/>
                <w:strike w:val="0"/>
                <w:dstrike w:val="0"/>
                <w:color w:val="auto"/>
                <w:sz w:val="24"/>
                <w:szCs w:val="24"/>
                <w:highlight w:val="none"/>
                <w:lang w:val="en-US" w:eastAsia="zh-CN"/>
              </w:rPr>
              <w:t>14</w:t>
            </w:r>
            <w:r>
              <w:rPr>
                <w:rFonts w:hint="default" w:ascii="Times New Roman" w:hAnsi="Times New Roman" w:eastAsia="宋体" w:cs="Times New Roman"/>
                <w:strike w:val="0"/>
                <w:dstrike w:val="0"/>
                <w:color w:val="auto"/>
                <w:sz w:val="24"/>
                <w:szCs w:val="24"/>
                <w:highlight w:val="none"/>
                <w:lang w:val="en-US" w:eastAsia="zh-CN"/>
              </w:rPr>
              <w:t>t/a。集气罩收集效率为90%，</w:t>
            </w:r>
            <w:r>
              <w:rPr>
                <w:rFonts w:hint="default" w:ascii="Times New Roman" w:hAnsi="Times New Roman" w:cs="Times New Roman"/>
                <w:strike w:val="0"/>
                <w:dstrike w:val="0"/>
                <w:color w:val="auto"/>
                <w:sz w:val="24"/>
                <w:szCs w:val="24"/>
                <w:highlight w:val="none"/>
                <w:lang w:val="en-US" w:eastAsia="zh-CN"/>
              </w:rPr>
              <w:t>二级活性炭吸附处理效率为90%，</w:t>
            </w:r>
            <w:r>
              <w:rPr>
                <w:rFonts w:hint="default" w:ascii="Times New Roman" w:hAnsi="Times New Roman" w:eastAsia="宋体" w:cs="Times New Roman"/>
                <w:strike w:val="0"/>
                <w:dstrike w:val="0"/>
                <w:color w:val="auto"/>
                <w:sz w:val="24"/>
                <w:szCs w:val="24"/>
                <w:highlight w:val="none"/>
                <w:lang w:val="en-US" w:eastAsia="zh-CN"/>
              </w:rPr>
              <w:t>风机风量为3000m</w:t>
            </w:r>
            <w:r>
              <w:rPr>
                <w:rFonts w:hint="default" w:ascii="Times New Roman" w:hAnsi="Times New Roman" w:eastAsia="宋体" w:cs="Times New Roman"/>
                <w:strike w:val="0"/>
                <w:dstrike w:val="0"/>
                <w:color w:val="auto"/>
                <w:sz w:val="24"/>
                <w:szCs w:val="24"/>
                <w:highlight w:val="none"/>
                <w:vertAlign w:val="superscript"/>
                <w:lang w:val="en-US" w:eastAsia="zh-CN"/>
              </w:rPr>
              <w:t>3</w:t>
            </w:r>
            <w:r>
              <w:rPr>
                <w:rFonts w:hint="default" w:ascii="Times New Roman" w:hAnsi="Times New Roman" w:eastAsia="宋体" w:cs="Times New Roman"/>
                <w:strike w:val="0"/>
                <w:dstrike w:val="0"/>
                <w:color w:val="auto"/>
                <w:sz w:val="24"/>
                <w:szCs w:val="24"/>
                <w:highlight w:val="none"/>
                <w:lang w:val="en-US" w:eastAsia="zh-CN"/>
              </w:rPr>
              <w:t>/h，则有组织</w:t>
            </w:r>
            <w:r>
              <w:rPr>
                <w:rFonts w:hint="default" w:ascii="Times New Roman" w:hAnsi="Times New Roman" w:cs="Times New Roman"/>
                <w:strike w:val="0"/>
                <w:dstrike w:val="0"/>
                <w:color w:val="auto"/>
                <w:sz w:val="24"/>
                <w:szCs w:val="24"/>
                <w:highlight w:val="none"/>
                <w:lang w:val="en-US" w:eastAsia="zh-CN"/>
              </w:rPr>
              <w:t>VOCs排放量为0.013t/a</w:t>
            </w:r>
            <w:r>
              <w:rPr>
                <w:rFonts w:hint="eastAsia" w:cs="Times New Roman"/>
                <w:strike w:val="0"/>
                <w:dstrike w:val="0"/>
                <w:color w:val="auto"/>
                <w:sz w:val="24"/>
                <w:szCs w:val="24"/>
                <w:highlight w:val="none"/>
                <w:lang w:val="en-US" w:eastAsia="zh-CN"/>
              </w:rPr>
              <w:t>，</w:t>
            </w:r>
            <w:r>
              <w:rPr>
                <w:rFonts w:hint="default" w:ascii="Times New Roman" w:hAnsi="Times New Roman" w:cs="Times New Roman"/>
                <w:strike w:val="0"/>
                <w:dstrike w:val="0"/>
                <w:color w:val="auto"/>
                <w:sz w:val="24"/>
                <w:szCs w:val="24"/>
                <w:highlight w:val="none"/>
                <w:lang w:val="en-US" w:eastAsia="zh-CN"/>
              </w:rPr>
              <w:t>蒸发</w:t>
            </w:r>
            <w:r>
              <w:rPr>
                <w:rFonts w:hint="default" w:ascii="Times New Roman" w:hAnsi="Times New Roman" w:eastAsia="宋体" w:cs="Times New Roman"/>
                <w:strike w:val="0"/>
                <w:dstrike w:val="0"/>
                <w:color w:val="auto"/>
                <w:sz w:val="24"/>
                <w:szCs w:val="24"/>
                <w:highlight w:val="none"/>
                <w:lang w:val="en-US" w:eastAsia="zh-CN"/>
              </w:rPr>
              <w:t>工序年生产时间为2400h，则有组织有组织</w:t>
            </w:r>
            <w:r>
              <w:rPr>
                <w:rFonts w:hint="default" w:ascii="Times New Roman" w:hAnsi="Times New Roman" w:cs="Times New Roman"/>
                <w:strike w:val="0"/>
                <w:dstrike w:val="0"/>
                <w:color w:val="auto"/>
                <w:sz w:val="24"/>
                <w:szCs w:val="24"/>
                <w:highlight w:val="none"/>
                <w:lang w:val="en-US" w:eastAsia="zh-CN"/>
              </w:rPr>
              <w:t>VOCs</w:t>
            </w:r>
            <w:r>
              <w:rPr>
                <w:rFonts w:hint="default" w:ascii="Times New Roman" w:hAnsi="Times New Roman" w:eastAsia="宋体" w:cs="Times New Roman"/>
                <w:strike w:val="0"/>
                <w:dstrike w:val="0"/>
                <w:color w:val="auto"/>
                <w:sz w:val="24"/>
                <w:szCs w:val="24"/>
                <w:highlight w:val="none"/>
                <w:lang w:val="en-US" w:eastAsia="zh-CN"/>
              </w:rPr>
              <w:t>排放速率为</w:t>
            </w:r>
            <w:r>
              <w:rPr>
                <w:rFonts w:hint="default" w:ascii="Times New Roman" w:hAnsi="Times New Roman" w:cs="Times New Roman"/>
                <w:strike w:val="0"/>
                <w:dstrike w:val="0"/>
                <w:color w:val="auto"/>
                <w:sz w:val="24"/>
                <w:szCs w:val="24"/>
                <w:highlight w:val="none"/>
                <w:lang w:val="en-US" w:eastAsia="zh-CN"/>
              </w:rPr>
              <w:t>0.005</w:t>
            </w:r>
            <w:r>
              <w:rPr>
                <w:rFonts w:hint="default" w:ascii="Times New Roman" w:hAnsi="Times New Roman" w:eastAsia="宋体" w:cs="Times New Roman"/>
                <w:strike w:val="0"/>
                <w:dstrike w:val="0"/>
                <w:color w:val="auto"/>
                <w:sz w:val="24"/>
                <w:szCs w:val="24"/>
                <w:highlight w:val="none"/>
                <w:lang w:val="en-US" w:eastAsia="zh-CN"/>
              </w:rPr>
              <w:t>kg/h，排放浓度为</w:t>
            </w:r>
            <w:r>
              <w:rPr>
                <w:rFonts w:hint="default" w:ascii="Times New Roman" w:hAnsi="Times New Roman" w:cs="Times New Roman"/>
                <w:strike w:val="0"/>
                <w:dstrike w:val="0"/>
                <w:color w:val="auto"/>
                <w:sz w:val="24"/>
                <w:szCs w:val="24"/>
                <w:highlight w:val="none"/>
                <w:lang w:val="en-US" w:eastAsia="zh-CN"/>
              </w:rPr>
              <w:t>1.75</w:t>
            </w:r>
            <w:r>
              <w:rPr>
                <w:rFonts w:hint="default" w:ascii="Times New Roman" w:hAnsi="Times New Roman" w:eastAsia="宋体" w:cs="Times New Roman"/>
                <w:strike w:val="0"/>
                <w:dstrike w:val="0"/>
                <w:color w:val="auto"/>
                <w:sz w:val="24"/>
                <w:szCs w:val="24"/>
                <w:highlight w:val="none"/>
                <w:lang w:val="en-US" w:eastAsia="zh-CN"/>
              </w:rPr>
              <w:t>m</w:t>
            </w:r>
            <w:r>
              <w:rPr>
                <w:rFonts w:hint="default" w:ascii="Times New Roman" w:hAnsi="Times New Roman" w:cs="Times New Roman"/>
                <w:strike w:val="0"/>
                <w:dstrike w:val="0"/>
                <w:color w:val="auto"/>
                <w:sz w:val="24"/>
                <w:szCs w:val="24"/>
                <w:highlight w:val="none"/>
                <w:lang w:val="en-US" w:eastAsia="zh-CN"/>
              </w:rPr>
              <w:t>g</w:t>
            </w:r>
            <w:r>
              <w:rPr>
                <w:rFonts w:hint="default" w:ascii="Times New Roman" w:hAnsi="Times New Roman" w:eastAsia="宋体" w:cs="Times New Roman"/>
                <w:strike w:val="0"/>
                <w:dstrike w:val="0"/>
                <w:color w:val="auto"/>
                <w:sz w:val="24"/>
                <w:szCs w:val="24"/>
                <w:highlight w:val="none"/>
                <w:lang w:val="en-US" w:eastAsia="zh-CN"/>
              </w:rPr>
              <w:t>/m</w:t>
            </w:r>
            <w:r>
              <w:rPr>
                <w:rFonts w:hint="default" w:ascii="Times New Roman" w:hAnsi="Times New Roman" w:eastAsia="宋体" w:cs="Times New Roman"/>
                <w:strike w:val="0"/>
                <w:dstrike w:val="0"/>
                <w:color w:val="auto"/>
                <w:sz w:val="24"/>
                <w:szCs w:val="24"/>
                <w:highlight w:val="none"/>
                <w:vertAlign w:val="superscript"/>
                <w:lang w:val="en-US" w:eastAsia="zh-CN"/>
              </w:rPr>
              <w:t>3</w:t>
            </w:r>
            <w:r>
              <w:rPr>
                <w:rFonts w:hint="default" w:ascii="Times New Roman" w:hAnsi="Times New Roman" w:cs="Times New Roman"/>
                <w:strike w:val="0"/>
                <w:dstrike w:val="0"/>
                <w:color w:val="auto"/>
                <w:sz w:val="24"/>
                <w:szCs w:val="24"/>
                <w:highlight w:val="none"/>
                <w:vertAlign w:val="baseline"/>
                <w:lang w:val="en-US" w:eastAsia="zh-CN"/>
              </w:rPr>
              <w:t>。无组织VOCs排放量为0.014t/a。</w:t>
            </w:r>
          </w:p>
          <w:p w14:paraId="34E1ADB9">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trike w:val="0"/>
                <w:color w:val="auto"/>
                <w:sz w:val="24"/>
                <w:szCs w:val="24"/>
                <w:highlight w:val="none"/>
                <w:lang w:val="en-US" w:eastAsia="zh-CN"/>
              </w:rPr>
              <w:t>挥发性有机物为沸点在50℃~250℃的化合物</w:t>
            </w:r>
            <w:r>
              <w:rPr>
                <w:rFonts w:hint="default" w:ascii="Times New Roman" w:hAnsi="Times New Roman" w:eastAsia="宋体" w:cs="Times New Roman"/>
                <w:color w:val="auto"/>
                <w:sz w:val="24"/>
                <w:szCs w:val="24"/>
                <w:highlight w:val="none"/>
                <w:lang w:val="en-US" w:eastAsia="zh-CN"/>
              </w:rPr>
              <w:t>，室温饱和蒸气压超过133.32Pa，在常温下以蒸汽形式存在于空气中的一类有机物。本项目陶瓷喷墨墨水采用三甘油酯、椰油酸酯、丙二醇辛酯、棕榈油酸酯、分散剂均为低挥发性有机物，常温下搅拌，几乎不挥发，可忽略不计。</w:t>
            </w:r>
          </w:p>
          <w:p w14:paraId="388D36C8">
            <w:pPr>
              <w:snapToGrid w:val="0"/>
              <w:spacing w:line="360" w:lineRule="exact"/>
              <w:ind w:firstLine="480" w:firstLineChars="200"/>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lang w:val="en-US" w:eastAsia="zh-CN"/>
              </w:rPr>
              <w:t>4</w:t>
            </w:r>
            <w:r>
              <w:rPr>
                <w:rFonts w:hint="default" w:ascii="Times New Roman" w:hAnsi="Times New Roman" w:eastAsia="黑体" w:cs="Times New Roman"/>
                <w:color w:val="auto"/>
                <w:sz w:val="24"/>
                <w:szCs w:val="24"/>
                <w:highlight w:val="none"/>
              </w:rPr>
              <w:t>、监测要求</w:t>
            </w:r>
          </w:p>
          <w:p w14:paraId="52090C5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szCs w:val="24"/>
                <w:highlight w:val="none"/>
              </w:rPr>
              <w:t>参照《排污单位自行监测技术指南总则》（HJ819-2017）</w:t>
            </w:r>
            <w:r>
              <w:rPr>
                <w:rFonts w:hint="default" w:ascii="Times New Roman" w:hAnsi="Times New Roman" w:cs="Times New Roman"/>
                <w:bCs/>
                <w:color w:val="auto"/>
                <w:sz w:val="24"/>
                <w:szCs w:val="24"/>
                <w:highlight w:val="none"/>
                <w:lang w:eastAsia="zh-CN"/>
              </w:rPr>
              <w:t>及《排污许可证申请与核发技术规范</w:t>
            </w:r>
            <w:r>
              <w:rPr>
                <w:rFonts w:hint="default" w:ascii="Times New Roman" w:hAnsi="Times New Roman" w:cs="Times New Roman"/>
                <w:bCs/>
                <w:color w:val="auto"/>
                <w:sz w:val="24"/>
                <w:szCs w:val="24"/>
                <w:highlight w:val="none"/>
                <w:lang w:val="en-US" w:eastAsia="zh-CN"/>
              </w:rPr>
              <w:t>工业炉窑</w:t>
            </w:r>
            <w:r>
              <w:rPr>
                <w:rFonts w:hint="default" w:ascii="Times New Roman" w:hAnsi="Times New Roman" w:cs="Times New Roman"/>
                <w:bCs/>
                <w:color w:val="auto"/>
                <w:sz w:val="24"/>
                <w:szCs w:val="24"/>
                <w:highlight w:val="none"/>
                <w:lang w:eastAsia="zh-CN"/>
              </w:rPr>
              <w:t>》(HJ112</w:t>
            </w:r>
            <w:r>
              <w:rPr>
                <w:rFonts w:hint="default" w:ascii="Times New Roman" w:hAnsi="Times New Roman" w:cs="Times New Roman"/>
                <w:bCs/>
                <w:color w:val="auto"/>
                <w:sz w:val="24"/>
                <w:szCs w:val="24"/>
                <w:highlight w:val="none"/>
                <w:lang w:val="en-US" w:eastAsia="zh-CN"/>
              </w:rPr>
              <w:t>1</w:t>
            </w:r>
            <w:r>
              <w:rPr>
                <w:rFonts w:hint="default" w:ascii="Times New Roman" w:hAnsi="Times New Roman" w:cs="Times New Roman"/>
                <w:bCs/>
                <w:color w:val="auto"/>
                <w:sz w:val="24"/>
                <w:szCs w:val="24"/>
                <w:highlight w:val="none"/>
                <w:lang w:eastAsia="zh-CN"/>
              </w:rPr>
              <w:t>—2020)、《排污单位自行监测技术指南火力发电及锅炉》（HJ 820-2017）</w:t>
            </w:r>
            <w:r>
              <w:rPr>
                <w:rFonts w:hint="eastAsia" w:cs="Times New Roman"/>
                <w:bCs/>
                <w:color w:val="auto"/>
                <w:sz w:val="24"/>
                <w:szCs w:val="24"/>
                <w:highlight w:val="none"/>
                <w:lang w:eastAsia="zh-CN"/>
              </w:rPr>
              <w:t>、</w:t>
            </w:r>
            <w:r>
              <w:rPr>
                <w:rFonts w:hint="default" w:ascii="Times New Roman" w:hAnsi="Times New Roman" w:cs="Times New Roman"/>
                <w:bCs/>
                <w:color w:val="auto"/>
                <w:sz w:val="24"/>
                <w:szCs w:val="24"/>
                <w:highlight w:val="none"/>
                <w:lang w:eastAsia="zh-CN"/>
              </w:rPr>
              <w:t>《排污许可证申请与核发技术规范涂料、油墨、颜料及类似产品制造业》（</w:t>
            </w:r>
            <w:r>
              <w:rPr>
                <w:rFonts w:hint="default" w:ascii="Times New Roman" w:hAnsi="Times New Roman" w:cs="Times New Roman"/>
                <w:bCs/>
                <w:color w:val="auto"/>
                <w:sz w:val="24"/>
                <w:szCs w:val="24"/>
                <w:highlight w:val="none"/>
                <w:lang w:val="en-US" w:eastAsia="zh-CN"/>
              </w:rPr>
              <w:t>HJ1116-2020</w:t>
            </w:r>
            <w:r>
              <w:rPr>
                <w:rFonts w:hint="default" w:ascii="Times New Roman" w:hAnsi="Times New Roman" w:cs="Times New Roman"/>
                <w:bCs/>
                <w:color w:val="auto"/>
                <w:sz w:val="24"/>
                <w:szCs w:val="24"/>
                <w:highlight w:val="none"/>
                <w:lang w:eastAsia="zh-CN"/>
              </w:rPr>
              <w:t>）</w:t>
            </w:r>
            <w:r>
              <w:rPr>
                <w:rFonts w:hint="eastAsia" w:cs="Times New Roman"/>
                <w:bCs/>
                <w:color w:val="auto"/>
                <w:sz w:val="24"/>
                <w:szCs w:val="24"/>
                <w:highlight w:val="none"/>
                <w:lang w:eastAsia="zh-CN"/>
              </w:rPr>
              <w:t>、《排污单位自行监测技术指南 涂料油墨制造》（HJ1087-2020）</w:t>
            </w:r>
            <w:r>
              <w:rPr>
                <w:rFonts w:hint="default" w:ascii="Times New Roman" w:hAnsi="Times New Roman" w:cs="Times New Roman"/>
                <w:bCs/>
                <w:color w:val="auto"/>
                <w:sz w:val="24"/>
                <w:szCs w:val="24"/>
                <w:highlight w:val="none"/>
              </w:rPr>
              <w:t>要求及本项目实际情况中，制定监测计划。</w:t>
            </w:r>
          </w:p>
          <w:p w14:paraId="3BB01F9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表4-3  拟建项目废气监测信息表</w:t>
            </w:r>
          </w:p>
          <w:tbl>
            <w:tblPr>
              <w:tblStyle w:val="24"/>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6"/>
              <w:gridCol w:w="1983"/>
              <w:gridCol w:w="3548"/>
              <w:gridCol w:w="1438"/>
            </w:tblGrid>
            <w:tr w14:paraId="6287A5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4" w:type="pct"/>
                  <w:tcBorders>
                    <w:tl2br w:val="nil"/>
                    <w:tr2bl w:val="nil"/>
                  </w:tcBorders>
                  <w:noWrap w:val="0"/>
                  <w:vAlign w:val="center"/>
                </w:tcPr>
                <w:p w14:paraId="6B9B25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监测点位</w:t>
                  </w:r>
                </w:p>
              </w:tc>
              <w:tc>
                <w:tcPr>
                  <w:tcW w:w="1247" w:type="pct"/>
                  <w:tcBorders>
                    <w:tl2br w:val="nil"/>
                    <w:tr2bl w:val="nil"/>
                  </w:tcBorders>
                  <w:noWrap w:val="0"/>
                  <w:vAlign w:val="center"/>
                </w:tcPr>
                <w:p w14:paraId="6AB122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排放口类型</w:t>
                  </w:r>
                </w:p>
              </w:tc>
              <w:tc>
                <w:tcPr>
                  <w:tcW w:w="2232" w:type="pct"/>
                  <w:tcBorders>
                    <w:tl2br w:val="nil"/>
                    <w:tr2bl w:val="nil"/>
                  </w:tcBorders>
                  <w:noWrap w:val="0"/>
                  <w:vAlign w:val="center"/>
                </w:tcPr>
                <w:p w14:paraId="249BB9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监测因子</w:t>
                  </w:r>
                </w:p>
              </w:tc>
              <w:tc>
                <w:tcPr>
                  <w:tcW w:w="904" w:type="pct"/>
                  <w:tcBorders>
                    <w:tl2br w:val="nil"/>
                    <w:tr2bl w:val="nil"/>
                  </w:tcBorders>
                  <w:noWrap w:val="0"/>
                  <w:vAlign w:val="center"/>
                </w:tcPr>
                <w:p w14:paraId="59E173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监测频次</w:t>
                  </w:r>
                </w:p>
              </w:tc>
            </w:tr>
            <w:tr w14:paraId="0D3120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4" w:type="pct"/>
                  <w:tcBorders>
                    <w:tl2br w:val="nil"/>
                    <w:tr2bl w:val="nil"/>
                  </w:tcBorders>
                  <w:noWrap w:val="0"/>
                  <w:vAlign w:val="center"/>
                </w:tcPr>
                <w:p w14:paraId="65725D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w:t>
                  </w:r>
                </w:p>
              </w:tc>
              <w:tc>
                <w:tcPr>
                  <w:tcW w:w="1247" w:type="pct"/>
                  <w:tcBorders>
                    <w:tl2br w:val="nil"/>
                    <w:tr2bl w:val="nil"/>
                  </w:tcBorders>
                  <w:noWrap w:val="0"/>
                  <w:vAlign w:val="center"/>
                </w:tcPr>
                <w:p w14:paraId="409AB0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一般排放口</w:t>
                  </w:r>
                </w:p>
              </w:tc>
              <w:tc>
                <w:tcPr>
                  <w:tcW w:w="2232" w:type="pct"/>
                  <w:tcBorders>
                    <w:tl2br w:val="nil"/>
                    <w:tr2bl w:val="nil"/>
                  </w:tcBorders>
                  <w:noWrap w:val="0"/>
                  <w:vAlign w:val="center"/>
                </w:tcPr>
                <w:p w14:paraId="03D0485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904" w:type="pct"/>
                  <w:tcBorders>
                    <w:tl2br w:val="nil"/>
                    <w:tr2bl w:val="nil"/>
                  </w:tcBorders>
                  <w:noWrap w:val="0"/>
                  <w:vAlign w:val="center"/>
                </w:tcPr>
                <w:p w14:paraId="4E161DF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季度</w:t>
                  </w:r>
                </w:p>
              </w:tc>
            </w:tr>
            <w:tr w14:paraId="172A3F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614" w:type="pct"/>
                  <w:vMerge w:val="restart"/>
                  <w:tcBorders>
                    <w:tl2br w:val="nil"/>
                    <w:tr2bl w:val="nil"/>
                  </w:tcBorders>
                  <w:noWrap w:val="0"/>
                  <w:vAlign w:val="center"/>
                </w:tcPr>
                <w:p w14:paraId="3B75D0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DA002</w:t>
                  </w:r>
                </w:p>
              </w:tc>
              <w:tc>
                <w:tcPr>
                  <w:tcW w:w="1247" w:type="pct"/>
                  <w:vMerge w:val="restart"/>
                  <w:tcBorders>
                    <w:tl2br w:val="nil"/>
                    <w:tr2bl w:val="nil"/>
                  </w:tcBorders>
                  <w:noWrap w:val="0"/>
                  <w:vAlign w:val="center"/>
                </w:tcPr>
                <w:p w14:paraId="2D6075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一般排放口</w:t>
                  </w:r>
                </w:p>
              </w:tc>
              <w:tc>
                <w:tcPr>
                  <w:tcW w:w="2232" w:type="pct"/>
                  <w:tcBorders>
                    <w:bottom w:val="single" w:color="000000" w:sz="4" w:space="0"/>
                    <w:tl2br w:val="nil"/>
                    <w:tr2bl w:val="nil"/>
                  </w:tcBorders>
                  <w:noWrap w:val="0"/>
                  <w:vAlign w:val="center"/>
                </w:tcPr>
                <w:p w14:paraId="2C3522D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颗粒物、二氧化硫、氮氧化物、烟气黑度</w:t>
                  </w:r>
                </w:p>
              </w:tc>
              <w:tc>
                <w:tcPr>
                  <w:tcW w:w="904" w:type="pct"/>
                  <w:tcBorders>
                    <w:bottom w:val="single" w:color="000000" w:sz="4" w:space="0"/>
                    <w:tl2br w:val="nil"/>
                    <w:tr2bl w:val="nil"/>
                  </w:tcBorders>
                  <w:noWrap w:val="0"/>
                  <w:vAlign w:val="center"/>
                </w:tcPr>
                <w:p w14:paraId="7D62DC8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半年</w:t>
                  </w:r>
                </w:p>
              </w:tc>
            </w:tr>
            <w:tr w14:paraId="00D37E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614" w:type="pct"/>
                  <w:vMerge w:val="continue"/>
                  <w:tcBorders>
                    <w:tl2br w:val="nil"/>
                    <w:tr2bl w:val="nil"/>
                  </w:tcBorders>
                  <w:noWrap w:val="0"/>
                  <w:vAlign w:val="center"/>
                </w:tcPr>
                <w:p w14:paraId="30CCC0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1247" w:type="pct"/>
                  <w:vMerge w:val="continue"/>
                  <w:tcBorders>
                    <w:tl2br w:val="nil"/>
                    <w:tr2bl w:val="nil"/>
                  </w:tcBorders>
                  <w:noWrap w:val="0"/>
                  <w:vAlign w:val="center"/>
                </w:tcPr>
                <w:p w14:paraId="0456CE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2232" w:type="pct"/>
                  <w:tcBorders>
                    <w:top w:val="single" w:color="000000" w:sz="4" w:space="0"/>
                    <w:tl2br w:val="nil"/>
                    <w:tr2bl w:val="nil"/>
                  </w:tcBorders>
                  <w:noWrap w:val="0"/>
                  <w:vAlign w:val="center"/>
                </w:tcPr>
                <w:p w14:paraId="179E5E2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氨①</w:t>
                  </w:r>
                </w:p>
              </w:tc>
              <w:tc>
                <w:tcPr>
                  <w:tcW w:w="904" w:type="pct"/>
                  <w:tcBorders>
                    <w:top w:val="single" w:color="000000" w:sz="4" w:space="0"/>
                    <w:tl2br w:val="nil"/>
                    <w:tr2bl w:val="nil"/>
                  </w:tcBorders>
                  <w:noWrap w:val="0"/>
                  <w:vAlign w:val="center"/>
                </w:tcPr>
                <w:p w14:paraId="4B00BBC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季度</w:t>
                  </w:r>
                </w:p>
              </w:tc>
            </w:tr>
            <w:tr w14:paraId="3AF508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4" w:type="pct"/>
                  <w:tcBorders>
                    <w:tl2br w:val="nil"/>
                    <w:tr2bl w:val="nil"/>
                  </w:tcBorders>
                  <w:noWrap w:val="0"/>
                  <w:vAlign w:val="center"/>
                </w:tcPr>
                <w:p w14:paraId="08C743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DA00</w:t>
                  </w:r>
                  <w:r>
                    <w:rPr>
                      <w:rFonts w:hint="default" w:ascii="Times New Roman" w:hAnsi="Times New Roman" w:cs="Times New Roman"/>
                      <w:color w:val="auto"/>
                      <w:sz w:val="21"/>
                      <w:szCs w:val="21"/>
                      <w:highlight w:val="none"/>
                      <w:lang w:val="en-US" w:eastAsia="zh-CN"/>
                    </w:rPr>
                    <w:t>3</w:t>
                  </w:r>
                </w:p>
              </w:tc>
              <w:tc>
                <w:tcPr>
                  <w:tcW w:w="1247" w:type="pct"/>
                  <w:tcBorders>
                    <w:tl2br w:val="nil"/>
                    <w:tr2bl w:val="nil"/>
                  </w:tcBorders>
                  <w:noWrap w:val="0"/>
                  <w:vAlign w:val="center"/>
                </w:tcPr>
                <w:p w14:paraId="3B2791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2232" w:type="pct"/>
                  <w:tcBorders>
                    <w:tl2br w:val="nil"/>
                    <w:tr2bl w:val="nil"/>
                  </w:tcBorders>
                  <w:noWrap w:val="0"/>
                  <w:vAlign w:val="center"/>
                </w:tcPr>
                <w:p w14:paraId="6ECAD0C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904" w:type="pct"/>
                  <w:tcBorders>
                    <w:tl2br w:val="nil"/>
                    <w:tr2bl w:val="nil"/>
                  </w:tcBorders>
                  <w:noWrap w:val="0"/>
                  <w:vAlign w:val="center"/>
                </w:tcPr>
                <w:p w14:paraId="43152D9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季度</w:t>
                  </w:r>
                </w:p>
              </w:tc>
            </w:tr>
            <w:tr w14:paraId="4DB11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4" w:type="pct"/>
                  <w:tcBorders>
                    <w:tl2br w:val="nil"/>
                    <w:tr2bl w:val="nil"/>
                  </w:tcBorders>
                  <w:noWrap w:val="0"/>
                  <w:vAlign w:val="center"/>
                </w:tcPr>
                <w:p w14:paraId="3FD370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DA004</w:t>
                  </w:r>
                </w:p>
              </w:tc>
              <w:tc>
                <w:tcPr>
                  <w:tcW w:w="1247" w:type="pct"/>
                  <w:tcBorders>
                    <w:tl2br w:val="nil"/>
                    <w:tr2bl w:val="nil"/>
                  </w:tcBorders>
                  <w:noWrap w:val="0"/>
                  <w:vAlign w:val="center"/>
                </w:tcPr>
                <w:p w14:paraId="5C1B21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一般排放口</w:t>
                  </w:r>
                </w:p>
              </w:tc>
              <w:tc>
                <w:tcPr>
                  <w:tcW w:w="2232" w:type="pct"/>
                  <w:tcBorders>
                    <w:tl2br w:val="nil"/>
                    <w:tr2bl w:val="nil"/>
                  </w:tcBorders>
                  <w:noWrap w:val="0"/>
                  <w:vAlign w:val="center"/>
                </w:tcPr>
                <w:p w14:paraId="1B60BF2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904" w:type="pct"/>
                  <w:tcBorders>
                    <w:tl2br w:val="nil"/>
                    <w:tr2bl w:val="nil"/>
                  </w:tcBorders>
                  <w:noWrap w:val="0"/>
                  <w:vAlign w:val="center"/>
                </w:tcPr>
                <w:p w14:paraId="7911213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季度</w:t>
                  </w:r>
                </w:p>
              </w:tc>
            </w:tr>
            <w:tr w14:paraId="143A7B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4" w:type="pct"/>
                  <w:tcBorders>
                    <w:tl2br w:val="nil"/>
                    <w:tr2bl w:val="nil"/>
                  </w:tcBorders>
                  <w:noWrap w:val="0"/>
                  <w:vAlign w:val="center"/>
                </w:tcPr>
                <w:p w14:paraId="731B86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DA005</w:t>
                  </w:r>
                </w:p>
              </w:tc>
              <w:tc>
                <w:tcPr>
                  <w:tcW w:w="1247" w:type="pct"/>
                  <w:tcBorders>
                    <w:tl2br w:val="nil"/>
                    <w:tr2bl w:val="nil"/>
                  </w:tcBorders>
                  <w:noWrap w:val="0"/>
                  <w:vAlign w:val="center"/>
                </w:tcPr>
                <w:p w14:paraId="111501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一般排放口</w:t>
                  </w:r>
                </w:p>
              </w:tc>
              <w:tc>
                <w:tcPr>
                  <w:tcW w:w="2232" w:type="pct"/>
                  <w:tcBorders>
                    <w:tl2br w:val="nil"/>
                    <w:tr2bl w:val="nil"/>
                  </w:tcBorders>
                  <w:noWrap w:val="0"/>
                  <w:vAlign w:val="center"/>
                </w:tcPr>
                <w:p w14:paraId="401C628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VOCs</w:t>
                  </w:r>
                </w:p>
              </w:tc>
              <w:tc>
                <w:tcPr>
                  <w:tcW w:w="904" w:type="pct"/>
                  <w:tcBorders>
                    <w:tl2br w:val="nil"/>
                    <w:tr2bl w:val="nil"/>
                  </w:tcBorders>
                  <w:noWrap w:val="0"/>
                  <w:vAlign w:val="center"/>
                </w:tcPr>
                <w:p w14:paraId="319AC89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月</w:t>
                  </w:r>
                </w:p>
              </w:tc>
            </w:tr>
            <w:tr w14:paraId="3846E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2" w:type="pct"/>
                  <w:gridSpan w:val="2"/>
                  <w:vMerge w:val="restart"/>
                  <w:tcBorders>
                    <w:tl2br w:val="nil"/>
                    <w:tr2bl w:val="nil"/>
                  </w:tcBorders>
                  <w:noWrap w:val="0"/>
                  <w:vAlign w:val="center"/>
                </w:tcPr>
                <w:p w14:paraId="7FE5BC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w:t>
                  </w:r>
                </w:p>
              </w:tc>
              <w:tc>
                <w:tcPr>
                  <w:tcW w:w="2232" w:type="pct"/>
                  <w:tcBorders>
                    <w:tl2br w:val="nil"/>
                    <w:tr2bl w:val="nil"/>
                  </w:tcBorders>
                  <w:noWrap w:val="0"/>
                  <w:vAlign w:val="center"/>
                </w:tcPr>
                <w:p w14:paraId="2A00437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r>
                    <w:rPr>
                      <w:rFonts w:hint="default" w:ascii="Times New Roman" w:hAnsi="Times New Roman" w:cs="Times New Roman"/>
                      <w:color w:val="auto"/>
                      <w:sz w:val="21"/>
                      <w:szCs w:val="21"/>
                      <w:highlight w:val="none"/>
                      <w:lang w:val="en-US" w:eastAsia="zh-CN"/>
                    </w:rPr>
                    <w:t>、VOCs</w:t>
                  </w:r>
                </w:p>
              </w:tc>
              <w:tc>
                <w:tcPr>
                  <w:tcW w:w="904" w:type="pct"/>
                  <w:tcBorders>
                    <w:tl2br w:val="nil"/>
                    <w:tr2bl w:val="nil"/>
                  </w:tcBorders>
                  <w:noWrap w:val="0"/>
                  <w:vAlign w:val="center"/>
                </w:tcPr>
                <w:p w14:paraId="593E403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半年</w:t>
                  </w:r>
                </w:p>
              </w:tc>
            </w:tr>
            <w:tr w14:paraId="48A5E1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2" w:type="pct"/>
                  <w:gridSpan w:val="2"/>
                  <w:vMerge w:val="continue"/>
                  <w:tcBorders>
                    <w:tl2br w:val="nil"/>
                    <w:tr2bl w:val="nil"/>
                  </w:tcBorders>
                  <w:noWrap w:val="0"/>
                  <w:vAlign w:val="center"/>
                </w:tcPr>
                <w:p w14:paraId="5C9B76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p>
              </w:tc>
              <w:tc>
                <w:tcPr>
                  <w:tcW w:w="2232" w:type="pct"/>
                  <w:tcBorders>
                    <w:tl2br w:val="nil"/>
                    <w:tr2bl w:val="nil"/>
                  </w:tcBorders>
                  <w:noWrap w:val="0"/>
                  <w:vAlign w:val="center"/>
                </w:tcPr>
                <w:p w14:paraId="2B23A9C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904" w:type="pct"/>
                  <w:tcBorders>
                    <w:tl2br w:val="nil"/>
                    <w:tr2bl w:val="nil"/>
                  </w:tcBorders>
                  <w:noWrap w:val="0"/>
                  <w:vAlign w:val="center"/>
                </w:tcPr>
                <w:p w14:paraId="511A1C3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季度</w:t>
                  </w:r>
                </w:p>
              </w:tc>
            </w:tr>
            <w:tr w14:paraId="78EB2E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l2br w:val="nil"/>
                    <w:tr2bl w:val="nil"/>
                  </w:tcBorders>
                  <w:noWrap w:val="0"/>
                  <w:vAlign w:val="center"/>
                </w:tcPr>
                <w:p w14:paraId="238026E3">
                  <w:pPr>
                    <w:keepNext w:val="0"/>
                    <w:keepLines w:val="0"/>
                    <w:pageBreakBefore w:val="0"/>
                    <w:widowControl w:val="0"/>
                    <w:kinsoku/>
                    <w:wordWrap/>
                    <w:overflowPunct/>
                    <w:topLinePunct w:val="0"/>
                    <w:autoSpaceDE/>
                    <w:autoSpaceDN/>
                    <w:bidi w:val="0"/>
                    <w:spacing w:line="240" w:lineRule="auto"/>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注①：使用液氨等含氨物质作为还原剂，去除延期中氮氧化物的，可以选测。</w:t>
                  </w:r>
                </w:p>
              </w:tc>
            </w:tr>
          </w:tbl>
          <w:p w14:paraId="190F750A">
            <w:pPr>
              <w:snapToGrid w:val="0"/>
              <w:spacing w:line="360" w:lineRule="auto"/>
              <w:ind w:firstLine="480" w:firstLineChars="200"/>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5、非正常工况</w:t>
            </w:r>
          </w:p>
          <w:p w14:paraId="7AF91A55">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非正常工况指生产设施非正常工况或污染防治（控制）设施非正常状况，其中生产设施非正常工况指开停炉（机）、设备检修、工艺设备运转异常等工况，污染防治（控制）设施非正常状况指达不到应有治理效率或同步运转率等情况。</w:t>
            </w:r>
          </w:p>
          <w:p w14:paraId="4157658A">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设施出现故障时，会使污染物处理效率下降或者根本得不到处理而排入环境中。本项目主要为废气治理措施出现故障而不能满足设计要求的情况，主要考虑尾气吸收系统发生故障导致尾气不经处理直接排入外环境的情况。以最不利情况下废气处理系统净化效率为零考虑，</w:t>
            </w:r>
            <w:r>
              <w:rPr>
                <w:rFonts w:hint="default" w:ascii="Times New Roman" w:hAnsi="Times New Roman" w:eastAsia="宋体" w:cs="Times New Roman"/>
                <w:color w:val="auto"/>
                <w:sz w:val="24"/>
                <w:szCs w:val="24"/>
                <w:highlight w:val="none"/>
              </w:rPr>
              <w:t>源强最大的时段废气排放1h对周围环境的影响</w:t>
            </w:r>
            <w:r>
              <w:rPr>
                <w:rFonts w:hint="default" w:ascii="Times New Roman" w:hAnsi="Times New Roman" w:cs="Times New Roman"/>
                <w:color w:val="auto"/>
                <w:sz w:val="24"/>
                <w:szCs w:val="24"/>
                <w:highlight w:val="none"/>
              </w:rPr>
              <w:t>。</w:t>
            </w:r>
          </w:p>
          <w:p w14:paraId="5F93D54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表4-4  非正常工况废气排放情况一览表</w:t>
            </w:r>
          </w:p>
          <w:tbl>
            <w:tblPr>
              <w:tblStyle w:val="24"/>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41"/>
              <w:gridCol w:w="847"/>
              <w:gridCol w:w="847"/>
              <w:gridCol w:w="1131"/>
              <w:gridCol w:w="1106"/>
              <w:gridCol w:w="541"/>
              <w:gridCol w:w="823"/>
              <w:gridCol w:w="929"/>
              <w:gridCol w:w="978"/>
            </w:tblGrid>
            <w:tr w14:paraId="438132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6" w:type="pct"/>
                  <w:vMerge w:val="restart"/>
                  <w:tcBorders>
                    <w:tl2br w:val="nil"/>
                    <w:tr2bl w:val="nil"/>
                  </w:tcBorders>
                  <w:noWrap w:val="0"/>
                  <w:vAlign w:val="center"/>
                </w:tcPr>
                <w:p w14:paraId="7A7AAF96">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排气筒</w:t>
                  </w:r>
                </w:p>
              </w:tc>
              <w:tc>
                <w:tcPr>
                  <w:tcW w:w="533" w:type="pct"/>
                  <w:vMerge w:val="restart"/>
                  <w:tcBorders>
                    <w:tl2br w:val="nil"/>
                    <w:tr2bl w:val="nil"/>
                  </w:tcBorders>
                  <w:noWrap w:val="0"/>
                  <w:vAlign w:val="center"/>
                </w:tcPr>
                <w:p w14:paraId="03C82943">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1941" w:type="pct"/>
                  <w:gridSpan w:val="3"/>
                  <w:tcBorders>
                    <w:tl2br w:val="nil"/>
                    <w:tr2bl w:val="nil"/>
                  </w:tcBorders>
                  <w:noWrap w:val="0"/>
                  <w:vAlign w:val="center"/>
                </w:tcPr>
                <w:p w14:paraId="1919EA3D">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故障条件下排放参数</w:t>
                  </w:r>
                </w:p>
              </w:tc>
              <w:tc>
                <w:tcPr>
                  <w:tcW w:w="340" w:type="pct"/>
                  <w:vMerge w:val="restart"/>
                  <w:tcBorders>
                    <w:tl2br w:val="nil"/>
                    <w:tr2bl w:val="nil"/>
                  </w:tcBorders>
                  <w:noWrap w:val="0"/>
                  <w:vAlign w:val="center"/>
                </w:tcPr>
                <w:p w14:paraId="0AA5C660">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年发生频次</w:t>
                  </w:r>
                </w:p>
              </w:tc>
              <w:tc>
                <w:tcPr>
                  <w:tcW w:w="518" w:type="pct"/>
                  <w:vMerge w:val="restart"/>
                  <w:tcBorders>
                    <w:tl2br w:val="nil"/>
                    <w:tr2bl w:val="nil"/>
                  </w:tcBorders>
                  <w:noWrap w:val="0"/>
                  <w:vAlign w:val="center"/>
                </w:tcPr>
                <w:p w14:paraId="7B72D1DC">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单次持续时间h</w:t>
                  </w:r>
                </w:p>
              </w:tc>
              <w:tc>
                <w:tcPr>
                  <w:tcW w:w="584" w:type="pct"/>
                  <w:vMerge w:val="restart"/>
                  <w:tcBorders>
                    <w:tl2br w:val="nil"/>
                    <w:tr2bl w:val="nil"/>
                  </w:tcBorders>
                  <w:noWrap w:val="0"/>
                  <w:vAlign w:val="center"/>
                </w:tcPr>
                <w:p w14:paraId="79D72B6E">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污染物排放量</w:t>
                  </w:r>
                </w:p>
                <w:p w14:paraId="7B4C2E06">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kg/次</w:t>
                  </w:r>
                </w:p>
              </w:tc>
              <w:tc>
                <w:tcPr>
                  <w:tcW w:w="615" w:type="pct"/>
                  <w:tcBorders>
                    <w:tl2br w:val="nil"/>
                    <w:tr2bl w:val="nil"/>
                  </w:tcBorders>
                  <w:noWrap w:val="0"/>
                  <w:vAlign w:val="center"/>
                </w:tcPr>
                <w:p w14:paraId="10A59E88">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执行标准</w:t>
                  </w:r>
                </w:p>
              </w:tc>
            </w:tr>
            <w:tr w14:paraId="381910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466" w:type="pct"/>
                  <w:vMerge w:val="continue"/>
                  <w:tcBorders>
                    <w:tl2br w:val="nil"/>
                    <w:tr2bl w:val="nil"/>
                  </w:tcBorders>
                  <w:noWrap w:val="0"/>
                  <w:vAlign w:val="center"/>
                </w:tcPr>
                <w:p w14:paraId="4247D73A">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p>
              </w:tc>
              <w:tc>
                <w:tcPr>
                  <w:tcW w:w="533" w:type="pct"/>
                  <w:vMerge w:val="continue"/>
                  <w:tcBorders>
                    <w:tl2br w:val="nil"/>
                    <w:tr2bl w:val="nil"/>
                  </w:tcBorders>
                  <w:noWrap w:val="0"/>
                  <w:vAlign w:val="center"/>
                </w:tcPr>
                <w:p w14:paraId="2538EF63">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p>
              </w:tc>
              <w:tc>
                <w:tcPr>
                  <w:tcW w:w="533" w:type="pct"/>
                  <w:tcBorders>
                    <w:tl2br w:val="nil"/>
                    <w:tr2bl w:val="nil"/>
                  </w:tcBorders>
                  <w:noWrap w:val="0"/>
                  <w:vAlign w:val="center"/>
                </w:tcPr>
                <w:p w14:paraId="1E7F2708">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速率kg/h</w:t>
                  </w:r>
                </w:p>
              </w:tc>
              <w:tc>
                <w:tcPr>
                  <w:tcW w:w="712" w:type="pct"/>
                  <w:tcBorders>
                    <w:tl2br w:val="nil"/>
                    <w:tr2bl w:val="nil"/>
                  </w:tcBorders>
                  <w:noWrap w:val="0"/>
                  <w:vAlign w:val="center"/>
                </w:tcPr>
                <w:p w14:paraId="73C79EC1">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w:t>
                  </w:r>
                </w:p>
              </w:tc>
              <w:tc>
                <w:tcPr>
                  <w:tcW w:w="696" w:type="pct"/>
                  <w:tcBorders>
                    <w:tl2br w:val="nil"/>
                    <w:tr2bl w:val="nil"/>
                  </w:tcBorders>
                  <w:noWrap w:val="0"/>
                  <w:vAlign w:val="center"/>
                </w:tcPr>
                <w:p w14:paraId="240BE8E0">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浓度mg/m</w:t>
                  </w:r>
                  <w:r>
                    <w:rPr>
                      <w:rFonts w:hint="default" w:ascii="Times New Roman" w:hAnsi="Times New Roman" w:cs="Times New Roman"/>
                      <w:color w:val="auto"/>
                      <w:sz w:val="21"/>
                      <w:szCs w:val="21"/>
                      <w:highlight w:val="none"/>
                      <w:vertAlign w:val="superscript"/>
                    </w:rPr>
                    <w:t>3</w:t>
                  </w:r>
                </w:p>
              </w:tc>
              <w:tc>
                <w:tcPr>
                  <w:tcW w:w="340" w:type="pct"/>
                  <w:vMerge w:val="continue"/>
                  <w:tcBorders>
                    <w:tl2br w:val="nil"/>
                    <w:tr2bl w:val="nil"/>
                  </w:tcBorders>
                  <w:noWrap w:val="0"/>
                  <w:vAlign w:val="center"/>
                </w:tcPr>
                <w:p w14:paraId="1C5CDB0F">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p>
              </w:tc>
              <w:tc>
                <w:tcPr>
                  <w:tcW w:w="518" w:type="pct"/>
                  <w:vMerge w:val="continue"/>
                  <w:tcBorders>
                    <w:tl2br w:val="nil"/>
                    <w:tr2bl w:val="nil"/>
                  </w:tcBorders>
                  <w:noWrap w:val="0"/>
                  <w:vAlign w:val="center"/>
                </w:tcPr>
                <w:p w14:paraId="17350152">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p>
              </w:tc>
              <w:tc>
                <w:tcPr>
                  <w:tcW w:w="584" w:type="pct"/>
                  <w:vMerge w:val="continue"/>
                  <w:tcBorders>
                    <w:tl2br w:val="nil"/>
                    <w:tr2bl w:val="nil"/>
                  </w:tcBorders>
                  <w:noWrap w:val="0"/>
                  <w:vAlign w:val="center"/>
                </w:tcPr>
                <w:p w14:paraId="483155FB">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p>
              </w:tc>
              <w:tc>
                <w:tcPr>
                  <w:tcW w:w="615" w:type="pct"/>
                  <w:tcBorders>
                    <w:tl2br w:val="nil"/>
                    <w:tr2bl w:val="nil"/>
                  </w:tcBorders>
                  <w:noWrap w:val="0"/>
                  <w:vAlign w:val="center"/>
                </w:tcPr>
                <w:p w14:paraId="32BBD42A">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浓度mg/m</w:t>
                  </w:r>
                  <w:r>
                    <w:rPr>
                      <w:rFonts w:hint="default" w:ascii="Times New Roman" w:hAnsi="Times New Roman" w:cs="Times New Roman"/>
                      <w:color w:val="auto"/>
                      <w:sz w:val="21"/>
                      <w:szCs w:val="21"/>
                      <w:highlight w:val="none"/>
                      <w:vertAlign w:val="superscript"/>
                    </w:rPr>
                    <w:t>3</w:t>
                  </w:r>
                </w:p>
              </w:tc>
            </w:tr>
            <w:tr w14:paraId="350F4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40" w:type="dxa"/>
                  <w:tcBorders>
                    <w:tl2br w:val="nil"/>
                    <w:tr2bl w:val="nil"/>
                  </w:tcBorders>
                  <w:noWrap w:val="0"/>
                  <w:vAlign w:val="center"/>
                </w:tcPr>
                <w:p w14:paraId="1D119E5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i w:val="0"/>
                      <w:iCs w:val="0"/>
                      <w:color w:val="auto"/>
                      <w:kern w:val="0"/>
                      <w:sz w:val="21"/>
                      <w:szCs w:val="21"/>
                      <w:u w:val="none"/>
                      <w:lang w:val="en-US" w:eastAsia="zh-CN" w:bidi="ar"/>
                    </w:rPr>
                    <w:t>DA001</w:t>
                  </w:r>
                </w:p>
              </w:tc>
              <w:tc>
                <w:tcPr>
                  <w:tcW w:w="846" w:type="dxa"/>
                  <w:tcBorders>
                    <w:tl2br w:val="nil"/>
                    <w:tr2bl w:val="nil"/>
                  </w:tcBorders>
                  <w:noWrap w:val="0"/>
                  <w:vAlign w:val="center"/>
                </w:tcPr>
                <w:p w14:paraId="4DB2ED4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846" w:type="dxa"/>
                  <w:tcBorders>
                    <w:tl2br w:val="nil"/>
                    <w:tr2bl w:val="nil"/>
                  </w:tcBorders>
                  <w:noWrap w:val="0"/>
                  <w:vAlign w:val="center"/>
                </w:tcPr>
                <w:p w14:paraId="12A874F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yellow"/>
                      <w:lang w:val="en-US" w:eastAsia="zh-CN"/>
                    </w:rPr>
                  </w:pPr>
                  <w:r>
                    <w:rPr>
                      <w:rFonts w:hint="eastAsia" w:cs="Times New Roman"/>
                      <w:i w:val="0"/>
                      <w:iCs w:val="0"/>
                      <w:color w:val="auto"/>
                      <w:kern w:val="0"/>
                      <w:sz w:val="21"/>
                      <w:szCs w:val="21"/>
                      <w:u w:val="none"/>
                      <w:lang w:val="en-US" w:eastAsia="zh-CN" w:bidi="ar"/>
                    </w:rPr>
                    <w:t>0.733</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130" w:type="dxa"/>
                  <w:tcBorders>
                    <w:tl2br w:val="nil"/>
                    <w:tr2bl w:val="nil"/>
                  </w:tcBorders>
                  <w:noWrap w:val="0"/>
                  <w:vAlign w:val="center"/>
                </w:tcPr>
                <w:p w14:paraId="293F2270">
                  <w:pPr>
                    <w:keepNext w:val="0"/>
                    <w:keepLines w:val="0"/>
                    <w:widowControl/>
                    <w:suppressLineNumbers w:val="0"/>
                    <w:jc w:val="center"/>
                    <w:textAlignment w:val="center"/>
                    <w:rPr>
                      <w:rFonts w:hint="default" w:ascii="Times New Roman" w:hAnsi="Times New Roman" w:cs="Times New Roman"/>
                      <w:color w:val="auto"/>
                      <w:sz w:val="21"/>
                      <w:szCs w:val="21"/>
                      <w:highlight w:val="yellow"/>
                      <w:lang w:val="en-US"/>
                    </w:rPr>
                  </w:pPr>
                  <w:r>
                    <w:rPr>
                      <w:rFonts w:hint="default" w:ascii="Times New Roman" w:hAnsi="Times New Roman" w:eastAsia="宋体" w:cs="Times New Roman"/>
                      <w:i w:val="0"/>
                      <w:iCs w:val="0"/>
                      <w:color w:val="auto"/>
                      <w:kern w:val="0"/>
                      <w:sz w:val="21"/>
                      <w:szCs w:val="21"/>
                      <w:u w:val="none"/>
                      <w:lang w:val="en-US" w:eastAsia="zh-CN" w:bidi="ar"/>
                    </w:rPr>
                    <w:t xml:space="preserve">15000 </w:t>
                  </w:r>
                </w:p>
              </w:tc>
              <w:tc>
                <w:tcPr>
                  <w:tcW w:w="1105" w:type="dxa"/>
                  <w:tcBorders>
                    <w:tl2br w:val="nil"/>
                    <w:tr2bl w:val="nil"/>
                  </w:tcBorders>
                  <w:noWrap w:val="0"/>
                  <w:vAlign w:val="center"/>
                </w:tcPr>
                <w:p w14:paraId="5D07D84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u w:val="none"/>
                      <w:lang w:val="en-US" w:eastAsia="zh-CN" w:bidi="ar"/>
                    </w:rPr>
                    <w:t>48.889</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340" w:type="pct"/>
                  <w:tcBorders>
                    <w:tl2br w:val="nil"/>
                    <w:tr2bl w:val="nil"/>
                  </w:tcBorders>
                  <w:noWrap w:val="0"/>
                  <w:vAlign w:val="center"/>
                </w:tcPr>
                <w:p w14:paraId="69783CE4">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518" w:type="pct"/>
                  <w:tcBorders>
                    <w:tl2br w:val="nil"/>
                    <w:tr2bl w:val="nil"/>
                  </w:tcBorders>
                  <w:noWrap w:val="0"/>
                  <w:vAlign w:val="center"/>
                </w:tcPr>
                <w:p w14:paraId="1C7201DC">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928" w:type="dxa"/>
                  <w:tcBorders>
                    <w:tl2br w:val="nil"/>
                    <w:tr2bl w:val="nil"/>
                  </w:tcBorders>
                  <w:noWrap w:val="0"/>
                  <w:vAlign w:val="center"/>
                </w:tcPr>
                <w:p w14:paraId="313FC30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eastAsia" w:cs="Times New Roman"/>
                      <w:i w:val="0"/>
                      <w:iCs w:val="0"/>
                      <w:color w:val="auto"/>
                      <w:kern w:val="0"/>
                      <w:sz w:val="21"/>
                      <w:szCs w:val="21"/>
                      <w:u w:val="none"/>
                      <w:lang w:val="en-US" w:eastAsia="zh-CN" w:bidi="ar"/>
                    </w:rPr>
                    <w:t>0.733</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615" w:type="pct"/>
                  <w:tcBorders>
                    <w:tl2br w:val="nil"/>
                    <w:tr2bl w:val="nil"/>
                  </w:tcBorders>
                  <w:noWrap w:val="0"/>
                  <w:vAlign w:val="center"/>
                </w:tcPr>
                <w:p w14:paraId="71CDAD5E">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r>
            <w:tr w14:paraId="69545A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40" w:type="dxa"/>
                  <w:tcBorders>
                    <w:tl2br w:val="nil"/>
                    <w:tr2bl w:val="nil"/>
                  </w:tcBorders>
                  <w:noWrap w:val="0"/>
                  <w:vAlign w:val="center"/>
                </w:tcPr>
                <w:p w14:paraId="11D678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DA002</w:t>
                  </w:r>
                </w:p>
              </w:tc>
              <w:tc>
                <w:tcPr>
                  <w:tcW w:w="846" w:type="dxa"/>
                  <w:tcBorders>
                    <w:tl2br w:val="nil"/>
                    <w:tr2bl w:val="nil"/>
                  </w:tcBorders>
                  <w:noWrap w:val="0"/>
                  <w:vAlign w:val="center"/>
                </w:tcPr>
                <w:p w14:paraId="2764C35E">
                  <w:pPr>
                    <w:keepNext w:val="0"/>
                    <w:keepLines w:val="0"/>
                    <w:widowControl/>
                    <w:suppressLineNumbers w:val="0"/>
                    <w:jc w:val="center"/>
                    <w:textAlignment w:val="center"/>
                    <w:rPr>
                      <w:rFonts w:hint="eastAsia"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氮氧</w:t>
                  </w:r>
                </w:p>
                <w:p w14:paraId="2D0805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化物</w:t>
                  </w:r>
                </w:p>
              </w:tc>
              <w:tc>
                <w:tcPr>
                  <w:tcW w:w="846" w:type="dxa"/>
                  <w:tcBorders>
                    <w:tl2br w:val="nil"/>
                    <w:tr2bl w:val="nil"/>
                  </w:tcBorders>
                  <w:noWrap w:val="0"/>
                  <w:vAlign w:val="center"/>
                </w:tcPr>
                <w:p w14:paraId="47ED1AA4">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0.071</w:t>
                  </w:r>
                </w:p>
              </w:tc>
              <w:tc>
                <w:tcPr>
                  <w:tcW w:w="1130" w:type="dxa"/>
                  <w:tcBorders>
                    <w:tl2br w:val="nil"/>
                    <w:tr2bl w:val="nil"/>
                  </w:tcBorders>
                  <w:noWrap w:val="0"/>
                  <w:vAlign w:val="center"/>
                </w:tcPr>
                <w:p w14:paraId="00D3CA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5000</w:t>
                  </w:r>
                </w:p>
              </w:tc>
              <w:tc>
                <w:tcPr>
                  <w:tcW w:w="1105" w:type="dxa"/>
                  <w:tcBorders>
                    <w:tl2br w:val="nil"/>
                    <w:tr2bl w:val="nil"/>
                  </w:tcBorders>
                  <w:noWrap w:val="0"/>
                  <w:vAlign w:val="center"/>
                </w:tcPr>
                <w:p w14:paraId="29F39CBA">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14.112</w:t>
                  </w:r>
                </w:p>
              </w:tc>
              <w:tc>
                <w:tcPr>
                  <w:tcW w:w="340" w:type="pct"/>
                  <w:tcBorders>
                    <w:tl2br w:val="nil"/>
                    <w:tr2bl w:val="nil"/>
                  </w:tcBorders>
                  <w:noWrap w:val="0"/>
                  <w:vAlign w:val="center"/>
                </w:tcPr>
                <w:p w14:paraId="2131F004">
                  <w:pPr>
                    <w:keepNext w:val="0"/>
                    <w:keepLines w:val="0"/>
                    <w:pageBreakBefore w:val="0"/>
                    <w:widowControl w:val="0"/>
                    <w:kinsoku/>
                    <w:wordWrap/>
                    <w:overflowPunct/>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518" w:type="pct"/>
                  <w:tcBorders>
                    <w:tl2br w:val="nil"/>
                    <w:tr2bl w:val="nil"/>
                  </w:tcBorders>
                  <w:noWrap w:val="0"/>
                  <w:vAlign w:val="center"/>
                </w:tcPr>
                <w:p w14:paraId="672ECD56">
                  <w:pPr>
                    <w:keepNext w:val="0"/>
                    <w:keepLines w:val="0"/>
                    <w:pageBreakBefore w:val="0"/>
                    <w:widowControl w:val="0"/>
                    <w:kinsoku/>
                    <w:wordWrap/>
                    <w:overflowPunct/>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928" w:type="dxa"/>
                  <w:tcBorders>
                    <w:tl2br w:val="nil"/>
                    <w:tr2bl w:val="nil"/>
                  </w:tcBorders>
                  <w:noWrap w:val="0"/>
                  <w:vAlign w:val="center"/>
                </w:tcPr>
                <w:p w14:paraId="79DF9C0E">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0.071</w:t>
                  </w:r>
                </w:p>
              </w:tc>
              <w:tc>
                <w:tcPr>
                  <w:tcW w:w="615" w:type="pct"/>
                  <w:tcBorders>
                    <w:tl2br w:val="nil"/>
                    <w:tr2bl w:val="nil"/>
                  </w:tcBorders>
                  <w:noWrap w:val="0"/>
                  <w:vAlign w:val="center"/>
                </w:tcPr>
                <w:p w14:paraId="6E7CA658">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r>
            <w:tr w14:paraId="5627F5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40" w:type="dxa"/>
                  <w:tcBorders>
                    <w:tl2br w:val="nil"/>
                    <w:tr2bl w:val="nil"/>
                  </w:tcBorders>
                  <w:noWrap w:val="0"/>
                  <w:vAlign w:val="center"/>
                </w:tcPr>
                <w:p w14:paraId="405098A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DA003</w:t>
                  </w:r>
                </w:p>
              </w:tc>
              <w:tc>
                <w:tcPr>
                  <w:tcW w:w="846" w:type="dxa"/>
                  <w:tcBorders>
                    <w:tl2br w:val="nil"/>
                    <w:tr2bl w:val="nil"/>
                  </w:tcBorders>
                  <w:noWrap w:val="0"/>
                  <w:vAlign w:val="center"/>
                </w:tcPr>
                <w:p w14:paraId="0CB8C64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846" w:type="dxa"/>
                  <w:tcBorders>
                    <w:tl2br w:val="nil"/>
                    <w:tr2bl w:val="nil"/>
                  </w:tcBorders>
                  <w:noWrap w:val="0"/>
                  <w:vAlign w:val="center"/>
                </w:tcPr>
                <w:p w14:paraId="41A3A8E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0.278 </w:t>
                  </w:r>
                </w:p>
              </w:tc>
              <w:tc>
                <w:tcPr>
                  <w:tcW w:w="1130" w:type="dxa"/>
                  <w:tcBorders>
                    <w:tl2br w:val="nil"/>
                    <w:tr2bl w:val="nil"/>
                  </w:tcBorders>
                  <w:noWrap w:val="0"/>
                  <w:vAlign w:val="center"/>
                </w:tcPr>
                <w:p w14:paraId="3E3E936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3000 </w:t>
                  </w:r>
                </w:p>
              </w:tc>
              <w:tc>
                <w:tcPr>
                  <w:tcW w:w="1105" w:type="dxa"/>
                  <w:tcBorders>
                    <w:tl2br w:val="nil"/>
                    <w:tr2bl w:val="nil"/>
                  </w:tcBorders>
                  <w:noWrap w:val="0"/>
                  <w:vAlign w:val="center"/>
                </w:tcPr>
                <w:p w14:paraId="168E228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92.640 </w:t>
                  </w:r>
                </w:p>
              </w:tc>
              <w:tc>
                <w:tcPr>
                  <w:tcW w:w="340" w:type="pct"/>
                  <w:tcBorders>
                    <w:tl2br w:val="nil"/>
                    <w:tr2bl w:val="nil"/>
                  </w:tcBorders>
                  <w:noWrap w:val="0"/>
                  <w:vAlign w:val="center"/>
                </w:tcPr>
                <w:p w14:paraId="6DBE4D15">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w:t>
                  </w:r>
                </w:p>
              </w:tc>
              <w:tc>
                <w:tcPr>
                  <w:tcW w:w="518" w:type="pct"/>
                  <w:tcBorders>
                    <w:tl2br w:val="nil"/>
                    <w:tr2bl w:val="nil"/>
                  </w:tcBorders>
                  <w:noWrap w:val="0"/>
                  <w:vAlign w:val="center"/>
                </w:tcPr>
                <w:p w14:paraId="4259F0C4">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w:t>
                  </w:r>
                </w:p>
              </w:tc>
              <w:tc>
                <w:tcPr>
                  <w:tcW w:w="928" w:type="dxa"/>
                  <w:tcBorders>
                    <w:tl2br w:val="nil"/>
                    <w:tr2bl w:val="nil"/>
                  </w:tcBorders>
                  <w:noWrap w:val="0"/>
                  <w:vAlign w:val="center"/>
                </w:tcPr>
                <w:p w14:paraId="3A6C4AA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0.278 </w:t>
                  </w:r>
                </w:p>
              </w:tc>
              <w:tc>
                <w:tcPr>
                  <w:tcW w:w="615" w:type="pct"/>
                  <w:tcBorders>
                    <w:tl2br w:val="nil"/>
                    <w:tr2bl w:val="nil"/>
                  </w:tcBorders>
                  <w:noWrap w:val="0"/>
                  <w:vAlign w:val="center"/>
                </w:tcPr>
                <w:p w14:paraId="0F15645E">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r>
            <w:tr w14:paraId="1C601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40" w:type="dxa"/>
                  <w:tcBorders>
                    <w:tl2br w:val="nil"/>
                    <w:tr2bl w:val="nil"/>
                  </w:tcBorders>
                  <w:noWrap w:val="0"/>
                  <w:vAlign w:val="center"/>
                </w:tcPr>
                <w:p w14:paraId="5A36FD5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DA004</w:t>
                  </w:r>
                </w:p>
              </w:tc>
              <w:tc>
                <w:tcPr>
                  <w:tcW w:w="846" w:type="dxa"/>
                  <w:tcBorders>
                    <w:tl2br w:val="nil"/>
                    <w:tr2bl w:val="nil"/>
                  </w:tcBorders>
                  <w:noWrap w:val="0"/>
                  <w:vAlign w:val="center"/>
                </w:tcPr>
                <w:p w14:paraId="6B2CBDB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颗粒物</w:t>
                  </w:r>
                </w:p>
              </w:tc>
              <w:tc>
                <w:tcPr>
                  <w:tcW w:w="846" w:type="dxa"/>
                  <w:tcBorders>
                    <w:tl2br w:val="nil"/>
                    <w:tr2bl w:val="nil"/>
                  </w:tcBorders>
                  <w:noWrap w:val="0"/>
                  <w:vAlign w:val="center"/>
                </w:tcPr>
                <w:p w14:paraId="78EDC1F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0.038 </w:t>
                  </w:r>
                </w:p>
              </w:tc>
              <w:tc>
                <w:tcPr>
                  <w:tcW w:w="1130" w:type="dxa"/>
                  <w:tcBorders>
                    <w:tl2br w:val="nil"/>
                    <w:tr2bl w:val="nil"/>
                  </w:tcBorders>
                  <w:noWrap w:val="0"/>
                  <w:vAlign w:val="center"/>
                </w:tcPr>
                <w:p w14:paraId="581444B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3000 </w:t>
                  </w:r>
                </w:p>
              </w:tc>
              <w:tc>
                <w:tcPr>
                  <w:tcW w:w="1105" w:type="dxa"/>
                  <w:tcBorders>
                    <w:tl2br w:val="nil"/>
                    <w:tr2bl w:val="nil"/>
                  </w:tcBorders>
                  <w:noWrap w:val="0"/>
                  <w:vAlign w:val="center"/>
                </w:tcPr>
                <w:p w14:paraId="6F04AD0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12.540 </w:t>
                  </w:r>
                </w:p>
              </w:tc>
              <w:tc>
                <w:tcPr>
                  <w:tcW w:w="340" w:type="pct"/>
                  <w:tcBorders>
                    <w:tl2br w:val="nil"/>
                    <w:tr2bl w:val="nil"/>
                  </w:tcBorders>
                  <w:noWrap w:val="0"/>
                  <w:vAlign w:val="center"/>
                </w:tcPr>
                <w:p w14:paraId="21F22AF1">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w:t>
                  </w:r>
                </w:p>
              </w:tc>
              <w:tc>
                <w:tcPr>
                  <w:tcW w:w="518" w:type="pct"/>
                  <w:tcBorders>
                    <w:tl2br w:val="nil"/>
                    <w:tr2bl w:val="nil"/>
                  </w:tcBorders>
                  <w:noWrap w:val="0"/>
                  <w:vAlign w:val="center"/>
                </w:tcPr>
                <w:p w14:paraId="257B3E69">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w:t>
                  </w:r>
                </w:p>
              </w:tc>
              <w:tc>
                <w:tcPr>
                  <w:tcW w:w="928" w:type="dxa"/>
                  <w:tcBorders>
                    <w:tl2br w:val="nil"/>
                    <w:tr2bl w:val="nil"/>
                  </w:tcBorders>
                  <w:noWrap w:val="0"/>
                  <w:vAlign w:val="center"/>
                </w:tcPr>
                <w:p w14:paraId="3821CFF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0.038 </w:t>
                  </w:r>
                </w:p>
              </w:tc>
              <w:tc>
                <w:tcPr>
                  <w:tcW w:w="615" w:type="pct"/>
                  <w:tcBorders>
                    <w:tl2br w:val="nil"/>
                    <w:tr2bl w:val="nil"/>
                  </w:tcBorders>
                  <w:noWrap w:val="0"/>
                  <w:vAlign w:val="center"/>
                </w:tcPr>
                <w:p w14:paraId="387B0BDE">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r>
            <w:tr w14:paraId="097A7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740" w:type="dxa"/>
                  <w:tcBorders>
                    <w:tl2br w:val="nil"/>
                    <w:tr2bl w:val="nil"/>
                  </w:tcBorders>
                  <w:noWrap w:val="0"/>
                  <w:vAlign w:val="center"/>
                </w:tcPr>
                <w:p w14:paraId="5489AE55">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DA005</w:t>
                  </w:r>
                </w:p>
              </w:tc>
              <w:tc>
                <w:tcPr>
                  <w:tcW w:w="846" w:type="dxa"/>
                  <w:tcBorders>
                    <w:tl2br w:val="nil"/>
                    <w:tr2bl w:val="nil"/>
                  </w:tcBorders>
                  <w:noWrap w:val="0"/>
                  <w:vAlign w:val="center"/>
                </w:tcPr>
                <w:p w14:paraId="5369A9C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VOCs</w:t>
                  </w:r>
                </w:p>
              </w:tc>
              <w:tc>
                <w:tcPr>
                  <w:tcW w:w="846" w:type="dxa"/>
                  <w:tcBorders>
                    <w:tl2br w:val="nil"/>
                    <w:tr2bl w:val="nil"/>
                  </w:tcBorders>
                  <w:noWrap w:val="0"/>
                  <w:vAlign w:val="center"/>
                </w:tcPr>
                <w:p w14:paraId="3A0D960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0.053 </w:t>
                  </w:r>
                </w:p>
              </w:tc>
              <w:tc>
                <w:tcPr>
                  <w:tcW w:w="1130" w:type="dxa"/>
                  <w:tcBorders>
                    <w:tl2br w:val="nil"/>
                    <w:tr2bl w:val="nil"/>
                  </w:tcBorders>
                  <w:noWrap w:val="0"/>
                  <w:vAlign w:val="center"/>
                </w:tcPr>
                <w:p w14:paraId="6575EA7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3000 </w:t>
                  </w:r>
                </w:p>
              </w:tc>
              <w:tc>
                <w:tcPr>
                  <w:tcW w:w="1105" w:type="dxa"/>
                  <w:tcBorders>
                    <w:tl2br w:val="nil"/>
                    <w:tr2bl w:val="nil"/>
                  </w:tcBorders>
                  <w:noWrap w:val="0"/>
                  <w:vAlign w:val="center"/>
                </w:tcPr>
                <w:p w14:paraId="5264664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17.500 </w:t>
                  </w:r>
                </w:p>
              </w:tc>
              <w:tc>
                <w:tcPr>
                  <w:tcW w:w="540" w:type="dxa"/>
                  <w:tcBorders>
                    <w:tl2br w:val="nil"/>
                    <w:tr2bl w:val="nil"/>
                  </w:tcBorders>
                  <w:noWrap w:val="0"/>
                  <w:vAlign w:val="center"/>
                </w:tcPr>
                <w:p w14:paraId="4050EFA5">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822" w:type="dxa"/>
                  <w:tcBorders>
                    <w:tl2br w:val="nil"/>
                    <w:tr2bl w:val="nil"/>
                  </w:tcBorders>
                  <w:noWrap w:val="0"/>
                  <w:vAlign w:val="center"/>
                </w:tcPr>
                <w:p w14:paraId="2880BE07">
                  <w:pPr>
                    <w:keepNext w:val="0"/>
                    <w:keepLines w:val="0"/>
                    <w:pageBreakBefore w:val="0"/>
                    <w:widowControl w:val="0"/>
                    <w:kinsoku/>
                    <w:wordWrap/>
                    <w:overflowPunct/>
                    <w:autoSpaceDE/>
                    <w:autoSpaceDN/>
                    <w:bidi w:val="0"/>
                    <w:adjustRightInd/>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928" w:type="dxa"/>
                  <w:tcBorders>
                    <w:tl2br w:val="nil"/>
                    <w:tr2bl w:val="nil"/>
                  </w:tcBorders>
                  <w:noWrap w:val="0"/>
                  <w:vAlign w:val="center"/>
                </w:tcPr>
                <w:p w14:paraId="672422B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0.053 </w:t>
                  </w:r>
                </w:p>
              </w:tc>
              <w:tc>
                <w:tcPr>
                  <w:tcW w:w="615" w:type="pct"/>
                  <w:tcBorders>
                    <w:tl2br w:val="nil"/>
                    <w:tr2bl w:val="nil"/>
                  </w:tcBorders>
                  <w:noWrap w:val="0"/>
                  <w:vAlign w:val="center"/>
                </w:tcPr>
                <w:p w14:paraId="43701085">
                  <w:pPr>
                    <w:keepNext w:val="0"/>
                    <w:keepLines w:val="0"/>
                    <w:pageBreakBefore w:val="0"/>
                    <w:widowControl w:val="0"/>
                    <w:kinsoku/>
                    <w:wordWrap/>
                    <w:overflowPunct/>
                    <w:autoSpaceDE/>
                    <w:autoSpaceDN/>
                    <w:bidi w:val="0"/>
                    <w:adjustRightIn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w:t>
                  </w:r>
                </w:p>
              </w:tc>
            </w:tr>
          </w:tbl>
          <w:p w14:paraId="1466D5DF">
            <w:pPr>
              <w:snapToGrid w:val="0"/>
              <w:spacing w:line="360" w:lineRule="auto"/>
              <w:ind w:firstLine="48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根据计算结果可知，非正常工况下</w:t>
            </w:r>
            <w:r>
              <w:rPr>
                <w:rFonts w:hint="default" w:ascii="Times New Roman" w:hAnsi="Times New Roman" w:cs="Times New Roman"/>
                <w:color w:val="auto"/>
                <w:sz w:val="24"/>
                <w:szCs w:val="24"/>
                <w:highlight w:val="none"/>
                <w:lang w:val="en-US" w:eastAsia="zh-CN"/>
              </w:rPr>
              <w:t>排气筒DA001、DA003、DA004颗粒物均</w:t>
            </w:r>
            <w:r>
              <w:rPr>
                <w:rFonts w:hint="default" w:ascii="Times New Roman" w:hAnsi="Times New Roman" w:cs="Times New Roman"/>
                <w:color w:val="auto"/>
                <w:sz w:val="24"/>
                <w:szCs w:val="24"/>
                <w:highlight w:val="none"/>
              </w:rPr>
              <w:t>出现超标现象，</w:t>
            </w:r>
            <w:r>
              <w:rPr>
                <w:rFonts w:hint="default" w:ascii="Times New Roman" w:hAnsi="Times New Roman" w:cs="Times New Roman"/>
                <w:color w:val="auto"/>
                <w:sz w:val="24"/>
                <w:szCs w:val="24"/>
                <w:highlight w:val="none"/>
                <w:lang w:val="en-US" w:eastAsia="zh-CN"/>
              </w:rPr>
              <w:t>不能</w:t>
            </w:r>
            <w:r>
              <w:rPr>
                <w:rFonts w:hint="default" w:ascii="Times New Roman" w:hAnsi="Times New Roman" w:cs="Times New Roman"/>
                <w:color w:val="auto"/>
                <w:sz w:val="24"/>
                <w:szCs w:val="24"/>
                <w:highlight w:val="none"/>
                <w:lang w:eastAsia="zh-CN"/>
              </w:rPr>
              <w:t>够</w:t>
            </w:r>
            <w:r>
              <w:rPr>
                <w:rFonts w:hint="default" w:ascii="Times New Roman" w:hAnsi="Times New Roman" w:cs="Times New Roman"/>
                <w:color w:val="auto"/>
                <w:sz w:val="24"/>
                <w:szCs w:val="24"/>
                <w:highlight w:val="none"/>
              </w:rPr>
              <w:t>满足《区域性大气污染物综合排放标准》(DB37/2376-2019)表1中重点控制区颗粒物排放浓度限值标准（</w:t>
            </w:r>
            <w:r>
              <w:rPr>
                <w:rFonts w:hint="default" w:ascii="Times New Roman" w:hAnsi="Times New Roman" w:cs="Times New Roman"/>
                <w:color w:val="auto"/>
                <w:sz w:val="24"/>
                <w:szCs w:val="24"/>
                <w:highlight w:val="none"/>
                <w:lang w:val="en-US" w:eastAsia="zh-CN"/>
              </w:rPr>
              <w:t>颗粒物</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企业日常应及时检修设备、按操作规程严格操作，并定期巡视、检修，确保废气治理设施正常运行，避免非正常工况出现。另外，企业应建立废气非正常排放应急预案，一旦废气治理措施出现故障，应立即启动反应机制，避免出现超标排放的情况。</w:t>
            </w:r>
          </w:p>
          <w:p w14:paraId="7A5D35A6">
            <w:pPr>
              <w:snapToGrid w:val="0"/>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6</w:t>
            </w:r>
            <w:r>
              <w:rPr>
                <w:rFonts w:hint="default" w:ascii="Times New Roman" w:hAnsi="Times New Roman" w:eastAsia="黑体" w:cs="Times New Roman"/>
                <w:color w:val="auto"/>
                <w:sz w:val="24"/>
                <w:szCs w:val="24"/>
                <w:highlight w:val="none"/>
              </w:rPr>
              <w:t>、废气治理措施可行性分析</w:t>
            </w:r>
          </w:p>
          <w:p w14:paraId="7C4CAD86">
            <w:pPr>
              <w:snapToGrid w:val="0"/>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根据</w:t>
            </w:r>
            <w:r>
              <w:rPr>
                <w:rFonts w:hint="default" w:ascii="Times New Roman" w:hAnsi="Times New Roman" w:cs="Times New Roman"/>
                <w:color w:val="auto"/>
                <w:sz w:val="24"/>
                <w:szCs w:val="24"/>
                <w:lang w:eastAsia="zh-CN"/>
              </w:rPr>
              <w:t>《排污许可证申请与核发技术规范</w:t>
            </w:r>
            <w:r>
              <w:rPr>
                <w:rFonts w:hint="eastAsia" w:cs="Times New Roman"/>
                <w:color w:val="auto"/>
                <w:sz w:val="24"/>
                <w:szCs w:val="24"/>
                <w:lang w:val="en-US" w:eastAsia="zh-CN"/>
              </w:rPr>
              <w:t xml:space="preserve"> </w:t>
            </w:r>
            <w:r>
              <w:rPr>
                <w:rFonts w:hint="default" w:ascii="Times New Roman" w:hAnsi="Times New Roman" w:cs="Times New Roman"/>
                <w:color w:val="auto"/>
                <w:sz w:val="24"/>
                <w:szCs w:val="24"/>
                <w:lang w:eastAsia="zh-CN"/>
              </w:rPr>
              <w:t>工业炉窑》(HJ1121—2020)</w:t>
            </w:r>
            <w:r>
              <w:rPr>
                <w:rFonts w:hint="default" w:ascii="Times New Roman" w:hAnsi="Times New Roman" w:cs="Times New Roman"/>
                <w:color w:val="auto"/>
                <w:sz w:val="24"/>
                <w:szCs w:val="24"/>
                <w:lang w:val="en-US" w:eastAsia="zh-CN"/>
              </w:rPr>
              <w:t>及</w:t>
            </w:r>
            <w:r>
              <w:rPr>
                <w:rFonts w:hint="default" w:ascii="Times New Roman" w:hAnsi="Times New Roman" w:cs="Times New Roman"/>
                <w:bCs/>
                <w:color w:val="auto"/>
                <w:sz w:val="24"/>
                <w:szCs w:val="24"/>
                <w:highlight w:val="none"/>
                <w:lang w:eastAsia="zh-CN"/>
              </w:rPr>
              <w:t>《排污许可证申请与核发技术规范</w:t>
            </w:r>
            <w:r>
              <w:rPr>
                <w:rFonts w:hint="eastAsia" w:cs="Times New Roman"/>
                <w:bCs/>
                <w:color w:val="auto"/>
                <w:sz w:val="24"/>
                <w:szCs w:val="24"/>
                <w:highlight w:val="none"/>
                <w:lang w:val="en-US" w:eastAsia="zh-CN"/>
              </w:rPr>
              <w:t xml:space="preserve"> </w:t>
            </w:r>
            <w:r>
              <w:rPr>
                <w:rFonts w:hint="default" w:ascii="Times New Roman" w:hAnsi="Times New Roman" w:cs="Times New Roman"/>
                <w:bCs/>
                <w:color w:val="auto"/>
                <w:sz w:val="24"/>
                <w:szCs w:val="24"/>
                <w:highlight w:val="none"/>
                <w:lang w:eastAsia="zh-CN"/>
              </w:rPr>
              <w:t>涂料、油墨、颜料及类似产品制造业》（</w:t>
            </w:r>
            <w:r>
              <w:rPr>
                <w:rFonts w:hint="default" w:ascii="Times New Roman" w:hAnsi="Times New Roman" w:cs="Times New Roman"/>
                <w:bCs/>
                <w:color w:val="auto"/>
                <w:sz w:val="24"/>
                <w:szCs w:val="24"/>
                <w:highlight w:val="none"/>
                <w:lang w:val="en-US" w:eastAsia="zh-CN"/>
              </w:rPr>
              <w:t>HJ1116-2020</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拟建项目废气处理措施袋式除尘器、</w:t>
            </w:r>
            <w:r>
              <w:rPr>
                <w:rFonts w:hint="eastAsia" w:cs="Times New Roman"/>
                <w:color w:val="auto"/>
                <w:sz w:val="24"/>
                <w:szCs w:val="24"/>
                <w:lang w:val="en-US" w:eastAsia="zh-CN"/>
              </w:rPr>
              <w:t>SNCR脱硝装置</w:t>
            </w:r>
            <w:r>
              <w:rPr>
                <w:rFonts w:hint="default" w:ascii="Times New Roman" w:hAnsi="Times New Roman" w:cs="Times New Roman"/>
                <w:color w:val="auto"/>
                <w:sz w:val="24"/>
                <w:szCs w:val="24"/>
                <w:lang w:val="en-US" w:eastAsia="zh-CN"/>
              </w:rPr>
              <w:t>、二级活性炭吸附均为可行性技术。</w:t>
            </w:r>
          </w:p>
          <w:p w14:paraId="29C8C541">
            <w:pPr>
              <w:spacing w:line="360" w:lineRule="auto"/>
              <w:ind w:firstLine="480" w:firstLineChars="200"/>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lang w:val="en-US" w:eastAsia="zh-CN"/>
              </w:rPr>
              <w:t>7</w:t>
            </w:r>
            <w:r>
              <w:rPr>
                <w:rFonts w:hint="default" w:ascii="Times New Roman" w:hAnsi="Times New Roman" w:eastAsia="黑体" w:cs="Times New Roman"/>
                <w:color w:val="auto"/>
                <w:sz w:val="24"/>
                <w:szCs w:val="24"/>
              </w:rPr>
              <w:t>、</w:t>
            </w:r>
            <w:r>
              <w:rPr>
                <w:rFonts w:hint="default" w:ascii="Times New Roman" w:hAnsi="Times New Roman" w:eastAsia="黑体" w:cs="Times New Roman"/>
                <w:color w:val="auto"/>
                <w:sz w:val="24"/>
                <w:szCs w:val="24"/>
                <w:lang w:eastAsia="zh-CN"/>
              </w:rPr>
              <w:t>废气达标及环境</w:t>
            </w:r>
            <w:r>
              <w:rPr>
                <w:rFonts w:hint="default" w:ascii="Times New Roman" w:hAnsi="Times New Roman" w:eastAsia="黑体" w:cs="Times New Roman"/>
                <w:color w:val="auto"/>
                <w:sz w:val="24"/>
                <w:szCs w:val="24"/>
              </w:rPr>
              <w:t>影响分析</w:t>
            </w:r>
          </w:p>
          <w:p w14:paraId="1AD367B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1）废气达标分析</w:t>
            </w:r>
          </w:p>
          <w:p w14:paraId="05C6C9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pacing w:val="11"/>
                <w:sz w:val="24"/>
                <w:szCs w:val="24"/>
                <w:highlight w:val="none"/>
                <w:lang w:val="en-US" w:eastAsia="zh-CN"/>
              </w:rPr>
            </w:pPr>
            <w:r>
              <w:rPr>
                <w:rFonts w:hint="default" w:ascii="Times New Roman" w:hAnsi="Times New Roman" w:cs="Times New Roman"/>
                <w:color w:val="auto"/>
                <w:sz w:val="24"/>
                <w:szCs w:val="24"/>
                <w:lang w:val="en-US" w:eastAsia="zh-CN"/>
              </w:rPr>
              <w:t>有组织废气中颗粒物、二氧化硫、氮氧化物满足</w:t>
            </w:r>
            <w:r>
              <w:rPr>
                <w:rFonts w:hint="default" w:ascii="Times New Roman" w:hAnsi="Times New Roman" w:eastAsia="宋体" w:cs="Times New Roman"/>
                <w:color w:val="auto"/>
                <w:sz w:val="24"/>
                <w:szCs w:val="24"/>
                <w:highlight w:val="none"/>
              </w:rPr>
              <w:t>《区域性大气污染物综合排放标准》(DB37/2376-2019)表1中重点控制区颗粒物排放浓度限值标准</w:t>
            </w:r>
            <w:r>
              <w:rPr>
                <w:rFonts w:hint="default" w:ascii="Times New Roman" w:hAnsi="Times New Roman" w:cs="Times New Roman"/>
                <w:color w:val="auto"/>
                <w:sz w:val="24"/>
                <w:szCs w:val="24"/>
                <w:lang w:val="en-US" w:eastAsia="zh-CN"/>
              </w:rPr>
              <w:t>要求（10mg/m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、50mg/m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、100mg/m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），烟气黑度满足</w:t>
            </w:r>
            <w:r>
              <w:rPr>
                <w:rFonts w:hint="default" w:ascii="Times New Roman" w:hAnsi="Times New Roman" w:eastAsia="宋体" w:cs="Times New Roman"/>
                <w:color w:val="auto"/>
                <w:spacing w:val="-4"/>
                <w:sz w:val="24"/>
                <w:szCs w:val="24"/>
                <w:highlight w:val="none"/>
              </w:rPr>
              <w:t>《工业炉窑大气污染物排放标准》</w:t>
            </w:r>
            <w:r>
              <w:rPr>
                <w:rFonts w:hint="default" w:ascii="Times New Roman" w:hAnsi="Times New Roman" w:eastAsia="宋体" w:cs="Times New Roman"/>
                <w:color w:val="auto"/>
                <w:spacing w:val="12"/>
                <w:sz w:val="24"/>
                <w:szCs w:val="24"/>
                <w:highlight w:val="none"/>
              </w:rPr>
              <w:t>(</w:t>
            </w:r>
            <w:r>
              <w:rPr>
                <w:rFonts w:hint="default" w:ascii="Times New Roman" w:hAnsi="Times New Roman" w:eastAsia="宋体" w:cs="Times New Roman"/>
                <w:color w:val="auto"/>
                <w:sz w:val="24"/>
                <w:szCs w:val="24"/>
                <w:highlight w:val="none"/>
              </w:rPr>
              <w:t>DB</w:t>
            </w:r>
            <w:r>
              <w:rPr>
                <w:rFonts w:hint="default" w:ascii="Times New Roman" w:hAnsi="Times New Roman" w:eastAsia="宋体" w:cs="Times New Roman"/>
                <w:color w:val="auto"/>
                <w:spacing w:val="11"/>
                <w:sz w:val="24"/>
                <w:szCs w:val="24"/>
                <w:highlight w:val="none"/>
              </w:rPr>
              <w:t>37/2375-2019)标准要求</w:t>
            </w:r>
            <w:r>
              <w:rPr>
                <w:rFonts w:hint="default" w:ascii="Times New Roman" w:hAnsi="Times New Roman" w:eastAsia="宋体" w:cs="Times New Roman"/>
                <w:color w:val="auto"/>
                <w:spacing w:val="11"/>
                <w:sz w:val="24"/>
                <w:szCs w:val="24"/>
                <w:highlight w:val="none"/>
                <w:lang w:eastAsia="zh-CN"/>
              </w:rPr>
              <w:t>（</w:t>
            </w:r>
            <w:r>
              <w:rPr>
                <w:rFonts w:hint="default" w:ascii="Times New Roman" w:hAnsi="Times New Roman" w:eastAsia="宋体" w:cs="Times New Roman"/>
                <w:color w:val="auto"/>
                <w:spacing w:val="11"/>
                <w:sz w:val="24"/>
                <w:szCs w:val="24"/>
                <w:highlight w:val="none"/>
                <w:lang w:val="en-US" w:eastAsia="zh-CN"/>
              </w:rPr>
              <w:t>1级</w:t>
            </w:r>
            <w:r>
              <w:rPr>
                <w:rFonts w:hint="default" w:ascii="Times New Roman" w:hAnsi="Times New Roman" w:eastAsia="宋体" w:cs="Times New Roman"/>
                <w:color w:val="auto"/>
                <w:spacing w:val="11"/>
                <w:sz w:val="24"/>
                <w:szCs w:val="24"/>
                <w:highlight w:val="none"/>
                <w:lang w:eastAsia="zh-CN"/>
              </w:rPr>
              <w:t>）</w:t>
            </w:r>
            <w:r>
              <w:rPr>
                <w:rFonts w:hint="eastAsia" w:cs="Times New Roman"/>
                <w:color w:val="auto"/>
                <w:spacing w:val="11"/>
                <w:sz w:val="24"/>
                <w:szCs w:val="24"/>
                <w:highlight w:val="none"/>
                <w:lang w:eastAsia="zh-CN"/>
              </w:rPr>
              <w:t>，</w:t>
            </w:r>
            <w:r>
              <w:rPr>
                <w:rFonts w:hint="eastAsia" w:cs="Times New Roman"/>
                <w:color w:val="auto"/>
                <w:sz w:val="24"/>
                <w:szCs w:val="24"/>
                <w:highlight w:val="none"/>
                <w:lang w:val="en-US" w:eastAsia="zh-CN"/>
              </w:rPr>
              <w:t>氨逃逸浓度满足《淄川区重污染天气消除攻坚行动方案》要求（8mg/m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pacing w:val="11"/>
                <w:sz w:val="24"/>
                <w:szCs w:val="24"/>
                <w:highlight w:val="none"/>
                <w:lang w:eastAsia="zh-CN"/>
              </w:rPr>
              <w:t>；</w:t>
            </w:r>
            <w:r>
              <w:rPr>
                <w:rFonts w:hint="default" w:ascii="Times New Roman" w:hAnsi="Times New Roman" w:cs="Times New Roman"/>
                <w:color w:val="auto"/>
                <w:spacing w:val="11"/>
                <w:sz w:val="24"/>
                <w:szCs w:val="24"/>
                <w:highlight w:val="none"/>
                <w:lang w:val="en-US" w:eastAsia="zh-CN"/>
              </w:rPr>
              <w:t>有组织废气中VOCs满足</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挥发性有机物排放标准 第6部分：有机化工行业</w:t>
            </w:r>
            <w:r>
              <w:rPr>
                <w:rFonts w:hint="default" w:ascii="Times New Roman" w:hAnsi="Times New Roman" w:eastAsia="宋体" w:cs="Times New Roman"/>
                <w:color w:val="auto"/>
                <w:sz w:val="24"/>
                <w:szCs w:val="24"/>
                <w:highlight w:val="none"/>
              </w:rPr>
              <w:t>》(DB37/2</w:t>
            </w:r>
            <w:r>
              <w:rPr>
                <w:rFonts w:hint="default" w:ascii="Times New Roman" w:hAnsi="Times New Roman" w:cs="Times New Roman"/>
                <w:color w:val="auto"/>
                <w:sz w:val="24"/>
                <w:szCs w:val="24"/>
                <w:highlight w:val="none"/>
                <w:lang w:val="en-US" w:eastAsia="zh-CN"/>
              </w:rPr>
              <w:t>801.6</w:t>
            </w:r>
            <w:r>
              <w:rPr>
                <w:rFonts w:hint="default" w:ascii="Times New Roman" w:hAnsi="Times New Roman" w:eastAsia="宋体" w:cs="Times New Roman"/>
                <w:color w:val="auto"/>
                <w:sz w:val="24"/>
                <w:szCs w:val="24"/>
                <w:highlight w:val="none"/>
              </w:rPr>
              <w:t>-201</w:t>
            </w:r>
            <w:r>
              <w:rPr>
                <w:rFonts w:hint="default" w:ascii="Times New Roman" w:hAnsi="Times New Roman"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)表1</w:t>
            </w:r>
            <w:r>
              <w:rPr>
                <w:rFonts w:hint="default" w:ascii="Times New Roman" w:hAnsi="Times New Roman" w:cs="Times New Roman"/>
                <w:color w:val="auto"/>
                <w:sz w:val="24"/>
                <w:szCs w:val="24"/>
                <w:highlight w:val="none"/>
                <w:lang w:val="en-US" w:eastAsia="zh-CN"/>
              </w:rPr>
              <w:t>有机化工企业或生产设施VOCsⅡ时段排放限值</w:t>
            </w:r>
            <w:r>
              <w:rPr>
                <w:rFonts w:hint="default" w:ascii="Times New Roman" w:hAnsi="Times New Roman" w:cs="Times New Roman"/>
                <w:color w:val="auto"/>
                <w:sz w:val="24"/>
                <w:szCs w:val="24"/>
                <w:lang w:val="en-US" w:eastAsia="zh-CN"/>
              </w:rPr>
              <w:t>要求（50mg/m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、3.0kg/h）。</w:t>
            </w:r>
          </w:p>
          <w:p w14:paraId="32C6CE3B">
            <w:pPr>
              <w:keepNext w:val="0"/>
              <w:keepLines w:val="0"/>
              <w:pageBreakBefore w:val="0"/>
              <w:widowControl w:val="0"/>
              <w:kinsoku/>
              <w:wordWrap/>
              <w:overflowPunct/>
              <w:topLinePunct w:val="0"/>
              <w:autoSpaceDE/>
              <w:autoSpaceDN/>
              <w:bidi w:val="0"/>
              <w:adjustRightInd w:val="0"/>
              <w:snapToGrid w:val="0"/>
              <w:spacing w:line="360" w:lineRule="auto"/>
              <w:ind w:firstLine="524"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pacing w:val="11"/>
                <w:sz w:val="24"/>
                <w:szCs w:val="24"/>
                <w:highlight w:val="none"/>
                <w:lang w:val="en-US" w:eastAsia="zh-CN"/>
              </w:rPr>
              <w:t>无组织废气中颗粒物满足</w:t>
            </w:r>
            <w:r>
              <w:rPr>
                <w:rFonts w:hint="default" w:ascii="Times New Roman" w:hAnsi="Times New Roman" w:eastAsia="宋体" w:cs="Times New Roman"/>
                <w:color w:val="auto"/>
                <w:sz w:val="24"/>
                <w:szCs w:val="24"/>
                <w:highlight w:val="none"/>
                <w:lang w:val="en-US" w:eastAsia="zh-CN"/>
              </w:rPr>
              <w:t>《大气污染物综合排放标准》(GB16297-1996)表2中颗粒物无组织监控点浓度限值（</w:t>
            </w:r>
            <w:r>
              <w:rPr>
                <w:rFonts w:hint="default" w:ascii="Times New Roman" w:hAnsi="Times New Roman" w:cs="Times New Roman"/>
                <w:color w:val="auto"/>
                <w:sz w:val="24"/>
                <w:szCs w:val="24"/>
                <w:lang w:val="en-US" w:eastAsia="zh-CN"/>
              </w:rPr>
              <w:t>1.0mg/m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氨满足《恶臭污染物排放标准》（GB14554-93）表1恶臭污染物厂界标准值（1.5mg/m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w:t>
            </w:r>
            <w:r>
              <w:rPr>
                <w:rFonts w:hint="default" w:ascii="Times New Roman" w:hAnsi="Times New Roman" w:cs="Times New Roman"/>
                <w:color w:val="auto"/>
                <w:spacing w:val="11"/>
                <w:sz w:val="24"/>
                <w:szCs w:val="24"/>
                <w:highlight w:val="none"/>
                <w:lang w:val="en-US" w:eastAsia="zh-CN"/>
              </w:rPr>
              <w:t>VOCs</w:t>
            </w:r>
            <w:r>
              <w:rPr>
                <w:rFonts w:hint="default" w:ascii="Times New Roman" w:hAnsi="Times New Roman" w:eastAsia="宋体" w:cs="Times New Roman"/>
                <w:color w:val="auto"/>
                <w:spacing w:val="11"/>
                <w:sz w:val="24"/>
                <w:szCs w:val="24"/>
                <w:highlight w:val="none"/>
                <w:lang w:val="en-US" w:eastAsia="zh-CN"/>
              </w:rPr>
              <w:t>满足</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挥发性有机物排放标准 第6部分：有机化工行业</w:t>
            </w:r>
            <w:r>
              <w:rPr>
                <w:rFonts w:hint="default" w:ascii="Times New Roman" w:hAnsi="Times New Roman" w:eastAsia="宋体" w:cs="Times New Roman"/>
                <w:color w:val="auto"/>
                <w:sz w:val="24"/>
                <w:szCs w:val="24"/>
                <w:highlight w:val="none"/>
              </w:rPr>
              <w:t>》(DB37/2</w:t>
            </w:r>
            <w:r>
              <w:rPr>
                <w:rFonts w:hint="default" w:ascii="Times New Roman" w:hAnsi="Times New Roman" w:cs="Times New Roman"/>
                <w:color w:val="auto"/>
                <w:sz w:val="24"/>
                <w:szCs w:val="24"/>
                <w:highlight w:val="none"/>
                <w:lang w:val="en-US" w:eastAsia="zh-CN"/>
              </w:rPr>
              <w:t>801.6</w:t>
            </w:r>
            <w:r>
              <w:rPr>
                <w:rFonts w:hint="default" w:ascii="Times New Roman" w:hAnsi="Times New Roman" w:eastAsia="宋体" w:cs="Times New Roman"/>
                <w:color w:val="auto"/>
                <w:sz w:val="24"/>
                <w:szCs w:val="24"/>
                <w:highlight w:val="none"/>
              </w:rPr>
              <w:t>-201</w:t>
            </w:r>
            <w:r>
              <w:rPr>
                <w:rFonts w:hint="default" w:ascii="Times New Roman" w:hAnsi="Times New Roman"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)表</w:t>
            </w:r>
            <w:r>
              <w:rPr>
                <w:rFonts w:hint="default"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中</w:t>
            </w:r>
            <w:r>
              <w:rPr>
                <w:rFonts w:hint="default" w:ascii="Times New Roman" w:hAnsi="Times New Roman" w:cs="Times New Roman"/>
                <w:color w:val="auto"/>
                <w:sz w:val="24"/>
                <w:szCs w:val="24"/>
                <w:highlight w:val="none"/>
                <w:lang w:val="en-US" w:eastAsia="zh-CN"/>
              </w:rPr>
              <w:t>VOCs</w:t>
            </w:r>
            <w:r>
              <w:rPr>
                <w:rFonts w:hint="default" w:ascii="Times New Roman" w:hAnsi="Times New Roman" w:eastAsia="宋体" w:cs="Times New Roman"/>
                <w:color w:val="auto"/>
                <w:sz w:val="24"/>
                <w:szCs w:val="24"/>
                <w:highlight w:val="none"/>
                <w:lang w:val="en-US" w:eastAsia="zh-CN"/>
              </w:rPr>
              <w:t>无组织监控点浓度限值（</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lang w:val="en-US" w:eastAsia="zh-CN"/>
              </w:rPr>
              <w:t>.0mg/m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p>
          <w:p w14:paraId="5F376F7A">
            <w:pPr>
              <w:snapToGrid w:val="0"/>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2）环境影响分析</w:t>
            </w:r>
          </w:p>
          <w:p w14:paraId="4B877CDD">
            <w:pPr>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项目所在区域为不达标区，根据</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山东省深入打好蓝天保卫战行动计划</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2021-2025年</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及地市相关要求，采取</w:t>
            </w:r>
            <w:r>
              <w:rPr>
                <w:rFonts w:hint="default" w:ascii="Times New Roman" w:hAnsi="Times New Roman" w:cs="Times New Roman"/>
                <w:color w:val="auto"/>
                <w:sz w:val="24"/>
                <w:szCs w:val="24"/>
                <w:lang w:val="en-US" w:eastAsia="zh-CN"/>
              </w:rPr>
              <w:t>淘汰低效落后产能、压减煤炭消费量、优化货物运输方式、实施VOCs全过程污染防治、强化工业源NOx深度治理、推动移动源污染管控、严格扬尘污染管控、加强大气监管</w:t>
            </w:r>
            <w:r>
              <w:rPr>
                <w:rFonts w:hint="default" w:ascii="Times New Roman" w:hAnsi="Times New Roman" w:cs="Times New Roman"/>
                <w:color w:val="auto"/>
                <w:sz w:val="24"/>
                <w:szCs w:val="24"/>
              </w:rPr>
              <w:t>等措施后，可使区域大气环境得到进一步改善。</w:t>
            </w:r>
          </w:p>
          <w:p w14:paraId="475C8CDC">
            <w:pPr>
              <w:spacing w:line="360" w:lineRule="auto"/>
              <w:ind w:firstLine="480" w:firstLineChars="200"/>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cs="Times New Roman"/>
                <w:color w:val="auto"/>
                <w:sz w:val="24"/>
                <w:szCs w:val="24"/>
              </w:rPr>
              <w:t>项目所在区域内无自然保护区、保护文物及风景名胜区等特殊环境敏感目标，最近的敏感目标</w:t>
            </w:r>
            <w:r>
              <w:rPr>
                <w:rFonts w:hint="default" w:ascii="Times New Roman" w:hAnsi="Times New Roman" w:cs="Times New Roman"/>
                <w:color w:val="auto"/>
                <w:sz w:val="24"/>
                <w:szCs w:val="24"/>
                <w:lang w:val="en-US" w:eastAsia="zh-CN"/>
              </w:rPr>
              <w:t>为</w:t>
            </w:r>
            <w:r>
              <w:rPr>
                <w:rFonts w:hint="default" w:ascii="Times New Roman" w:hAnsi="Times New Roman" w:cs="Times New Roman"/>
                <w:color w:val="auto"/>
                <w:sz w:val="24"/>
                <w:szCs w:val="24"/>
                <w:lang w:eastAsia="zh-CN"/>
              </w:rPr>
              <w:t>厂界东南侧375m的石门村</w:t>
            </w:r>
            <w:r>
              <w:rPr>
                <w:rFonts w:hint="default" w:ascii="Times New Roman" w:hAnsi="Times New Roman" w:cs="Times New Roman"/>
                <w:color w:val="auto"/>
                <w:sz w:val="24"/>
                <w:szCs w:val="24"/>
              </w:rPr>
              <w:t>，距离较远；项目排气筒</w:t>
            </w:r>
            <w:r>
              <w:rPr>
                <w:rFonts w:hint="default" w:ascii="Times New Roman" w:hAnsi="Times New Roman" w:cs="Times New Roman"/>
                <w:color w:val="auto"/>
                <w:sz w:val="24"/>
                <w:szCs w:val="24"/>
                <w:lang w:eastAsia="zh-CN"/>
              </w:rPr>
              <w:t>DA001、DA002、</w:t>
            </w:r>
            <w:r>
              <w:rPr>
                <w:rFonts w:hint="default" w:ascii="Times New Roman" w:hAnsi="Times New Roman" w:cs="Times New Roman"/>
                <w:color w:val="auto"/>
                <w:sz w:val="24"/>
                <w:szCs w:val="24"/>
                <w:lang w:val="en-US" w:eastAsia="zh-CN"/>
              </w:rPr>
              <w:t>DA003、DA004、DA004</w:t>
            </w:r>
            <w:r>
              <w:rPr>
                <w:rFonts w:hint="default" w:ascii="Times New Roman" w:hAnsi="Times New Roman" w:cs="Times New Roman"/>
                <w:color w:val="auto"/>
                <w:sz w:val="24"/>
                <w:szCs w:val="24"/>
                <w:lang w:eastAsia="zh-CN"/>
              </w:rPr>
              <w:t>排放强度较小，</w:t>
            </w:r>
            <w:r>
              <w:rPr>
                <w:rFonts w:hint="default" w:ascii="Times New Roman" w:hAnsi="Times New Roman" w:cs="Times New Roman"/>
                <w:color w:val="auto"/>
                <w:sz w:val="24"/>
                <w:szCs w:val="24"/>
              </w:rPr>
              <w:t>对周边环境空气质量及保护目标影响小</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故</w:t>
            </w:r>
            <w:r>
              <w:rPr>
                <w:rFonts w:hint="default" w:ascii="Times New Roman" w:hAnsi="Times New Roman" w:cs="Times New Roman"/>
                <w:color w:val="auto"/>
                <w:sz w:val="24"/>
                <w:szCs w:val="24"/>
              </w:rPr>
              <w:t>项目建设对大气环境的影响可接受。</w:t>
            </w:r>
          </w:p>
          <w:p w14:paraId="4E17388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表4-5  技改后全厂废气排放情况汇总表</w:t>
            </w:r>
          </w:p>
          <w:tbl>
            <w:tblPr>
              <w:tblStyle w:val="24"/>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937"/>
              <w:gridCol w:w="1783"/>
              <w:gridCol w:w="2848"/>
              <w:gridCol w:w="1375"/>
            </w:tblGrid>
            <w:tr w14:paraId="55D8F8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219" w:type="pct"/>
                  <w:vMerge w:val="restart"/>
                  <w:tcBorders>
                    <w:tl2br w:val="nil"/>
                    <w:tr2bl w:val="nil"/>
                  </w:tcBorders>
                  <w:noWrap w:val="0"/>
                  <w:vAlign w:val="center"/>
                </w:tcPr>
                <w:p w14:paraId="2806C6C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污染物种类</w:t>
                  </w:r>
                </w:p>
              </w:tc>
              <w:tc>
                <w:tcPr>
                  <w:tcW w:w="3780" w:type="pct"/>
                  <w:gridSpan w:val="3"/>
                  <w:tcBorders>
                    <w:tl2br w:val="nil"/>
                    <w:tr2bl w:val="nil"/>
                  </w:tcBorders>
                  <w:noWrap w:val="0"/>
                  <w:vAlign w:val="center"/>
                </w:tcPr>
                <w:p w14:paraId="7C6B75F5">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排放量（</w:t>
                  </w:r>
                  <w:r>
                    <w:rPr>
                      <w:rFonts w:hint="default" w:ascii="Times New Roman" w:hAnsi="Times New Roman" w:eastAsia="宋体" w:cs="Times New Roman"/>
                      <w:color w:val="auto"/>
                      <w:sz w:val="21"/>
                      <w:szCs w:val="21"/>
                      <w:highlight w:val="none"/>
                      <w:lang w:val="en-US" w:eastAsia="zh-CN"/>
                    </w:rPr>
                    <w:t>t/a</w:t>
                  </w:r>
                  <w:r>
                    <w:rPr>
                      <w:rFonts w:hint="default" w:ascii="Times New Roman" w:hAnsi="Times New Roman" w:eastAsia="宋体" w:cs="Times New Roman"/>
                      <w:color w:val="auto"/>
                      <w:sz w:val="21"/>
                      <w:szCs w:val="21"/>
                      <w:highlight w:val="none"/>
                      <w:lang w:eastAsia="zh-CN"/>
                    </w:rPr>
                    <w:t>）</w:t>
                  </w:r>
                </w:p>
              </w:tc>
            </w:tr>
            <w:tr w14:paraId="22434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219" w:type="pct"/>
                  <w:vMerge w:val="continue"/>
                  <w:tcBorders>
                    <w:tl2br w:val="nil"/>
                    <w:tr2bl w:val="nil"/>
                  </w:tcBorders>
                  <w:noWrap w:val="0"/>
                  <w:vAlign w:val="center"/>
                </w:tcPr>
                <w:p w14:paraId="3E73DF2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p>
              </w:tc>
              <w:tc>
                <w:tcPr>
                  <w:tcW w:w="1122" w:type="pct"/>
                  <w:tcBorders>
                    <w:tl2br w:val="nil"/>
                    <w:tr2bl w:val="nil"/>
                  </w:tcBorders>
                  <w:noWrap w:val="0"/>
                  <w:vAlign w:val="center"/>
                </w:tcPr>
                <w:p w14:paraId="4939A21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有组织</w:t>
                  </w:r>
                </w:p>
              </w:tc>
              <w:tc>
                <w:tcPr>
                  <w:tcW w:w="1792" w:type="pct"/>
                  <w:tcBorders>
                    <w:tl2br w:val="nil"/>
                    <w:tr2bl w:val="nil"/>
                  </w:tcBorders>
                  <w:noWrap w:val="0"/>
                  <w:vAlign w:val="center"/>
                </w:tcPr>
                <w:p w14:paraId="11D55D9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无组织</w:t>
                  </w:r>
                </w:p>
              </w:tc>
              <w:tc>
                <w:tcPr>
                  <w:tcW w:w="865" w:type="pct"/>
                  <w:tcBorders>
                    <w:tl2br w:val="nil"/>
                    <w:tr2bl w:val="nil"/>
                  </w:tcBorders>
                  <w:noWrap w:val="0"/>
                  <w:vAlign w:val="center"/>
                </w:tcPr>
                <w:p w14:paraId="210DF16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合计</w:t>
                  </w:r>
                </w:p>
              </w:tc>
            </w:tr>
            <w:tr w14:paraId="0A6749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937" w:type="dxa"/>
                  <w:tcBorders>
                    <w:tl2br w:val="nil"/>
                    <w:tr2bl w:val="nil"/>
                  </w:tcBorders>
                  <w:noWrap w:val="0"/>
                  <w:vAlign w:val="center"/>
                </w:tcPr>
                <w:p w14:paraId="1812888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颗粒物</w:t>
                  </w:r>
                </w:p>
              </w:tc>
              <w:tc>
                <w:tcPr>
                  <w:tcW w:w="1783" w:type="dxa"/>
                  <w:tcBorders>
                    <w:tl2br w:val="nil"/>
                    <w:tr2bl w:val="nil"/>
                  </w:tcBorders>
                  <w:noWrap w:val="0"/>
                  <w:vAlign w:val="center"/>
                </w:tcPr>
                <w:p w14:paraId="3BC9E2D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0.141 </w:t>
                  </w:r>
                </w:p>
              </w:tc>
              <w:tc>
                <w:tcPr>
                  <w:tcW w:w="2848" w:type="dxa"/>
                  <w:tcBorders>
                    <w:tl2br w:val="nil"/>
                    <w:tr2bl w:val="nil"/>
                  </w:tcBorders>
                  <w:noWrap w:val="0"/>
                  <w:vAlign w:val="center"/>
                </w:tcPr>
                <w:p w14:paraId="124ED79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0.136 </w:t>
                  </w:r>
                </w:p>
              </w:tc>
              <w:tc>
                <w:tcPr>
                  <w:tcW w:w="1375" w:type="dxa"/>
                  <w:tcBorders>
                    <w:tl2br w:val="nil"/>
                    <w:tr2bl w:val="nil"/>
                  </w:tcBorders>
                  <w:noWrap w:val="0"/>
                  <w:vAlign w:val="center"/>
                </w:tcPr>
                <w:p w14:paraId="19F8EC0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0.277 </w:t>
                  </w:r>
                </w:p>
              </w:tc>
            </w:tr>
            <w:tr w14:paraId="5D0306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937" w:type="dxa"/>
                  <w:tcBorders>
                    <w:tl2br w:val="nil"/>
                    <w:tr2bl w:val="nil"/>
                  </w:tcBorders>
                  <w:noWrap w:val="0"/>
                  <w:vAlign w:val="center"/>
                </w:tcPr>
                <w:p w14:paraId="1D805FA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二氧化硫</w:t>
                  </w:r>
                </w:p>
              </w:tc>
              <w:tc>
                <w:tcPr>
                  <w:tcW w:w="1783" w:type="dxa"/>
                  <w:tcBorders>
                    <w:tl2br w:val="nil"/>
                    <w:tr2bl w:val="nil"/>
                  </w:tcBorders>
                  <w:noWrap w:val="0"/>
                  <w:vAlign w:val="center"/>
                </w:tcPr>
                <w:p w14:paraId="3CBC531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0.009 </w:t>
                  </w:r>
                </w:p>
              </w:tc>
              <w:tc>
                <w:tcPr>
                  <w:tcW w:w="2848" w:type="dxa"/>
                  <w:tcBorders>
                    <w:tl2br w:val="nil"/>
                    <w:tr2bl w:val="nil"/>
                  </w:tcBorders>
                  <w:noWrap w:val="0"/>
                  <w:vAlign w:val="center"/>
                </w:tcPr>
                <w:p w14:paraId="2E6A0EA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1375" w:type="dxa"/>
                  <w:tcBorders>
                    <w:tl2br w:val="nil"/>
                    <w:tr2bl w:val="nil"/>
                  </w:tcBorders>
                  <w:noWrap w:val="0"/>
                  <w:vAlign w:val="center"/>
                </w:tcPr>
                <w:p w14:paraId="1C6DC97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0.009 </w:t>
                  </w:r>
                </w:p>
              </w:tc>
            </w:tr>
            <w:tr w14:paraId="69EED8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937" w:type="dxa"/>
                  <w:tcBorders>
                    <w:tl2br w:val="nil"/>
                    <w:tr2bl w:val="nil"/>
                  </w:tcBorders>
                  <w:noWrap w:val="0"/>
                  <w:vAlign w:val="center"/>
                </w:tcPr>
                <w:p w14:paraId="3C64290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u w:val="none"/>
                      <w:lang w:val="en-US" w:eastAsia="zh-CN" w:bidi="ar"/>
                    </w:rPr>
                    <w:t>氮氧化物</w:t>
                  </w:r>
                </w:p>
              </w:tc>
              <w:tc>
                <w:tcPr>
                  <w:tcW w:w="1783" w:type="dxa"/>
                  <w:tcBorders>
                    <w:tl2br w:val="nil"/>
                    <w:tr2bl w:val="nil"/>
                  </w:tcBorders>
                  <w:noWrap w:val="0"/>
                  <w:vAlign w:val="center"/>
                </w:tcPr>
                <w:p w14:paraId="2876030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0.085 </w:t>
                  </w:r>
                </w:p>
              </w:tc>
              <w:tc>
                <w:tcPr>
                  <w:tcW w:w="2848" w:type="dxa"/>
                  <w:tcBorders>
                    <w:tl2br w:val="nil"/>
                    <w:tr2bl w:val="nil"/>
                  </w:tcBorders>
                  <w:noWrap w:val="0"/>
                  <w:vAlign w:val="center"/>
                </w:tcPr>
                <w:p w14:paraId="70FEC80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1375" w:type="dxa"/>
                  <w:tcBorders>
                    <w:tl2br w:val="nil"/>
                    <w:tr2bl w:val="nil"/>
                  </w:tcBorders>
                  <w:noWrap w:val="0"/>
                  <w:vAlign w:val="center"/>
                </w:tcPr>
                <w:p w14:paraId="0CA1B97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0.085 </w:t>
                  </w:r>
                </w:p>
              </w:tc>
            </w:tr>
            <w:tr w14:paraId="1FA7B2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937" w:type="dxa"/>
                  <w:tcBorders>
                    <w:tl2br w:val="nil"/>
                    <w:tr2bl w:val="nil"/>
                  </w:tcBorders>
                  <w:noWrap w:val="0"/>
                  <w:vAlign w:val="center"/>
                </w:tcPr>
                <w:p w14:paraId="6DAEF3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u w:val="none"/>
                      <w:lang w:val="en-US" w:eastAsia="zh-CN" w:bidi="ar"/>
                    </w:rPr>
                    <w:t>氨</w:t>
                  </w:r>
                </w:p>
              </w:tc>
              <w:tc>
                <w:tcPr>
                  <w:tcW w:w="1783" w:type="dxa"/>
                  <w:tcBorders>
                    <w:tl2br w:val="nil"/>
                    <w:tr2bl w:val="nil"/>
                  </w:tcBorders>
                  <w:noWrap w:val="0"/>
                  <w:vAlign w:val="center"/>
                </w:tcPr>
                <w:p w14:paraId="33098581">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0.096 </w:t>
                  </w:r>
                </w:p>
              </w:tc>
              <w:tc>
                <w:tcPr>
                  <w:tcW w:w="2848" w:type="dxa"/>
                  <w:tcBorders>
                    <w:tl2br w:val="nil"/>
                    <w:tr2bl w:val="nil"/>
                  </w:tcBorders>
                  <w:noWrap w:val="0"/>
                  <w:vAlign w:val="center"/>
                </w:tcPr>
                <w:p w14:paraId="2A1D594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1375" w:type="dxa"/>
                  <w:tcBorders>
                    <w:tl2br w:val="nil"/>
                    <w:tr2bl w:val="nil"/>
                  </w:tcBorders>
                  <w:noWrap w:val="0"/>
                  <w:vAlign w:val="center"/>
                </w:tcPr>
                <w:p w14:paraId="782125D2">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0.096 </w:t>
                  </w:r>
                </w:p>
              </w:tc>
            </w:tr>
            <w:tr w14:paraId="577CB7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937" w:type="dxa"/>
                  <w:tcBorders>
                    <w:tl2br w:val="nil"/>
                    <w:tr2bl w:val="nil"/>
                  </w:tcBorders>
                  <w:noWrap w:val="0"/>
                  <w:vAlign w:val="center"/>
                </w:tcPr>
                <w:p w14:paraId="6B48CF6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VOCs</w:t>
                  </w:r>
                </w:p>
              </w:tc>
              <w:tc>
                <w:tcPr>
                  <w:tcW w:w="1783" w:type="dxa"/>
                  <w:tcBorders>
                    <w:tl2br w:val="nil"/>
                    <w:tr2bl w:val="nil"/>
                  </w:tcBorders>
                  <w:noWrap w:val="0"/>
                  <w:vAlign w:val="center"/>
                </w:tcPr>
                <w:p w14:paraId="344B59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0.013 </w:t>
                  </w:r>
                </w:p>
              </w:tc>
              <w:tc>
                <w:tcPr>
                  <w:tcW w:w="2848" w:type="dxa"/>
                  <w:tcBorders>
                    <w:tl2br w:val="nil"/>
                    <w:tr2bl w:val="nil"/>
                  </w:tcBorders>
                  <w:noWrap w:val="0"/>
                  <w:vAlign w:val="center"/>
                </w:tcPr>
                <w:p w14:paraId="009116E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0.014 </w:t>
                  </w:r>
                </w:p>
              </w:tc>
              <w:tc>
                <w:tcPr>
                  <w:tcW w:w="1375" w:type="dxa"/>
                  <w:tcBorders>
                    <w:tl2br w:val="nil"/>
                    <w:tr2bl w:val="nil"/>
                  </w:tcBorders>
                  <w:noWrap w:val="0"/>
                  <w:vAlign w:val="center"/>
                </w:tcPr>
                <w:p w14:paraId="643CC9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0.027 </w:t>
                  </w:r>
                </w:p>
              </w:tc>
            </w:tr>
            <w:tr w14:paraId="2F48DE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937" w:type="dxa"/>
                  <w:tcBorders>
                    <w:tl2br w:val="nil"/>
                    <w:tr2bl w:val="nil"/>
                  </w:tcBorders>
                  <w:noWrap w:val="0"/>
                  <w:vAlign w:val="center"/>
                </w:tcPr>
                <w:p w14:paraId="5EBB0F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u w:val="none"/>
                      <w:lang w:val="en-US" w:eastAsia="zh-CN" w:bidi="ar"/>
                    </w:rPr>
                    <w:t>颗粒物</w:t>
                  </w:r>
                </w:p>
              </w:tc>
              <w:tc>
                <w:tcPr>
                  <w:tcW w:w="1783" w:type="dxa"/>
                  <w:tcBorders>
                    <w:tl2br w:val="nil"/>
                    <w:tr2bl w:val="nil"/>
                  </w:tcBorders>
                  <w:noWrap w:val="0"/>
                  <w:vAlign w:val="center"/>
                </w:tcPr>
                <w:p w14:paraId="31A768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0.141 </w:t>
                  </w:r>
                </w:p>
              </w:tc>
              <w:tc>
                <w:tcPr>
                  <w:tcW w:w="2848" w:type="dxa"/>
                  <w:tcBorders>
                    <w:tl2br w:val="nil"/>
                    <w:tr2bl w:val="nil"/>
                  </w:tcBorders>
                  <w:noWrap w:val="0"/>
                  <w:vAlign w:val="center"/>
                </w:tcPr>
                <w:p w14:paraId="509923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0.136 </w:t>
                  </w:r>
                </w:p>
              </w:tc>
              <w:tc>
                <w:tcPr>
                  <w:tcW w:w="1375" w:type="dxa"/>
                  <w:tcBorders>
                    <w:tl2br w:val="nil"/>
                    <w:tr2bl w:val="nil"/>
                  </w:tcBorders>
                  <w:noWrap w:val="0"/>
                  <w:vAlign w:val="center"/>
                </w:tcPr>
                <w:p w14:paraId="05C84E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0.277 </w:t>
                  </w:r>
                </w:p>
              </w:tc>
            </w:tr>
          </w:tbl>
          <w:p w14:paraId="3B83BC8D">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eastAsia="黑体" w:cs="Times New Roman"/>
                <w:color w:val="auto"/>
                <w:sz w:val="24"/>
                <w:szCs w:val="24"/>
                <w:lang w:val="en-US" w:eastAsia="zh-CN"/>
              </w:rPr>
            </w:pPr>
            <w:r>
              <w:rPr>
                <w:rFonts w:hint="default" w:ascii="Times New Roman" w:hAnsi="Times New Roman" w:eastAsia="黑体" w:cs="Times New Roman"/>
                <w:color w:val="auto"/>
                <w:sz w:val="24"/>
                <w:szCs w:val="24"/>
                <w:lang w:val="en-US" w:eastAsia="zh-CN"/>
              </w:rPr>
              <w:t>二、废水</w:t>
            </w:r>
          </w:p>
          <w:p w14:paraId="749536A7">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本项目</w:t>
            </w:r>
            <w:r>
              <w:rPr>
                <w:rFonts w:hint="default" w:ascii="Times New Roman" w:hAnsi="Times New Roman" w:cs="Times New Roman"/>
                <w:b w:val="0"/>
                <w:bCs w:val="0"/>
                <w:color w:val="auto"/>
                <w:kern w:val="0"/>
                <w:sz w:val="24"/>
                <w:szCs w:val="24"/>
                <w:highlight w:val="none"/>
                <w:lang w:val="en-US" w:eastAsia="zh-CN"/>
              </w:rPr>
              <w:t>无废水产生，现有项目职工生活污水经化粪池收集后定期清挖堆肥。</w:t>
            </w:r>
          </w:p>
          <w:p w14:paraId="164116B2">
            <w:pPr>
              <w:spacing w:line="360" w:lineRule="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三、噪声</w:t>
            </w:r>
          </w:p>
          <w:p w14:paraId="5F6B6651">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1、噪声产生、排放情况简述</w:t>
            </w:r>
          </w:p>
          <w:p w14:paraId="208A61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highlight w:val="none"/>
              </w:rPr>
              <w:t>本项目噪声源</w:t>
            </w:r>
            <w:r>
              <w:rPr>
                <w:rFonts w:hint="default" w:ascii="Times New Roman" w:hAnsi="Times New Roman" w:cs="Times New Roman"/>
                <w:color w:val="auto"/>
                <w:sz w:val="24"/>
                <w:szCs w:val="24"/>
                <w:highlight w:val="none"/>
                <w:lang w:eastAsia="zh-CN"/>
              </w:rPr>
              <w:t>主要是生产设备、风机等设备</w:t>
            </w:r>
            <w:r>
              <w:rPr>
                <w:rFonts w:hint="default" w:ascii="Times New Roman" w:hAnsi="Times New Roman" w:cs="Times New Roman"/>
                <w:color w:val="auto"/>
                <w:sz w:val="24"/>
                <w:szCs w:val="24"/>
                <w:highlight w:val="none"/>
              </w:rPr>
              <w:t>运行产生的噪声，噪声源强约为</w:t>
            </w:r>
            <w:r>
              <w:rPr>
                <w:rFonts w:hint="default" w:ascii="Times New Roman" w:hAnsi="Times New Roman" w:cs="Times New Roman"/>
                <w:color w:val="auto"/>
                <w:sz w:val="24"/>
                <w:szCs w:val="24"/>
                <w:highlight w:val="none"/>
                <w:lang w:val="en-US" w:eastAsia="zh-CN"/>
              </w:rPr>
              <w:t>75~85</w:t>
            </w:r>
            <w:r>
              <w:rPr>
                <w:rFonts w:hint="default" w:ascii="Times New Roman" w:hAnsi="Times New Roman" w:cs="Times New Roman"/>
                <w:color w:val="auto"/>
                <w:sz w:val="24"/>
                <w:szCs w:val="24"/>
                <w:highlight w:val="none"/>
              </w:rPr>
              <w:t>dB(A)，采取车间隔</w:t>
            </w:r>
            <w:r>
              <w:rPr>
                <w:rFonts w:hint="default" w:ascii="Times New Roman" w:hAnsi="Times New Roman" w:cs="Times New Roman"/>
                <w:color w:val="auto"/>
                <w:sz w:val="24"/>
                <w:szCs w:val="24"/>
              </w:rPr>
              <w:t>声、基础减震、距离衰减等方式降低噪声对厂界的影响。</w:t>
            </w:r>
          </w:p>
          <w:p w14:paraId="0AB6F38D">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2、排放源信息</w:t>
            </w:r>
          </w:p>
          <w:p w14:paraId="13526FF1">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w:t>
            </w:r>
            <w:r>
              <w:rPr>
                <w:rFonts w:hint="eastAsia" w:cs="Times New Roman"/>
                <w:color w:val="auto"/>
                <w:sz w:val="24"/>
                <w:szCs w:val="24"/>
                <w:lang w:val="en-US" w:eastAsia="zh-CN"/>
              </w:rPr>
              <w:t>次技改</w:t>
            </w:r>
            <w:r>
              <w:rPr>
                <w:rFonts w:hint="default" w:ascii="Times New Roman" w:hAnsi="Times New Roman" w:cs="Times New Roman"/>
                <w:color w:val="auto"/>
                <w:sz w:val="24"/>
                <w:szCs w:val="24"/>
              </w:rPr>
              <w:t>项目噪声源</w:t>
            </w:r>
            <w:r>
              <w:rPr>
                <w:rFonts w:hint="default" w:ascii="Times New Roman" w:hAnsi="Times New Roman" w:cs="Times New Roman"/>
                <w:color w:val="auto"/>
                <w:sz w:val="24"/>
                <w:szCs w:val="24"/>
                <w:lang w:eastAsia="zh-CN"/>
              </w:rPr>
              <w:t>主要是生产设备、风机等设备</w:t>
            </w:r>
            <w:r>
              <w:rPr>
                <w:rFonts w:hint="default" w:ascii="Times New Roman" w:hAnsi="Times New Roman" w:cs="Times New Roman"/>
                <w:color w:val="auto"/>
                <w:sz w:val="24"/>
                <w:szCs w:val="24"/>
              </w:rPr>
              <w:t>运行产生的噪声，主要噪声设备见下表。</w:t>
            </w:r>
          </w:p>
          <w:p w14:paraId="37838FA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p>
          <w:p w14:paraId="59981F7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表4-6  项目设备噪声一览表(室外声源)</w:t>
            </w:r>
          </w:p>
          <w:tbl>
            <w:tblPr>
              <w:tblStyle w:val="57"/>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69"/>
              <w:gridCol w:w="596"/>
              <w:gridCol w:w="549"/>
              <w:gridCol w:w="569"/>
              <w:gridCol w:w="1629"/>
              <w:gridCol w:w="2422"/>
              <w:gridCol w:w="1210"/>
            </w:tblGrid>
            <w:tr w14:paraId="3B5886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10" w:type="pct"/>
                  <w:vMerge w:val="restart"/>
                  <w:tcBorders>
                    <w:tl2br w:val="nil"/>
                    <w:tr2bl w:val="nil"/>
                  </w:tcBorders>
                  <w:noWrap w:val="0"/>
                  <w:vAlign w:val="top"/>
                </w:tcPr>
                <w:p w14:paraId="76610E89">
                  <w:pPr>
                    <w:spacing w:before="172" w:line="221" w:lineRule="auto"/>
                    <w:ind w:left="11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声</w:t>
                  </w:r>
                  <w:r>
                    <w:rPr>
                      <w:rFonts w:hint="default" w:ascii="Times New Roman" w:hAnsi="Times New Roman" w:eastAsia="宋体" w:cs="Times New Roman"/>
                      <w:color w:val="auto"/>
                      <w:spacing w:val="-2"/>
                      <w:sz w:val="21"/>
                      <w:szCs w:val="21"/>
                    </w:rPr>
                    <w:t>源名称</w:t>
                  </w:r>
                </w:p>
              </w:tc>
              <w:tc>
                <w:tcPr>
                  <w:tcW w:w="1078" w:type="pct"/>
                  <w:gridSpan w:val="3"/>
                  <w:tcBorders>
                    <w:tl2br w:val="nil"/>
                    <w:tr2bl w:val="nil"/>
                  </w:tcBorders>
                  <w:noWrap w:val="0"/>
                  <w:vAlign w:val="top"/>
                </w:tcPr>
                <w:p w14:paraId="3FA35E58">
                  <w:pPr>
                    <w:spacing w:before="30" w:line="216" w:lineRule="auto"/>
                    <w:ind w:left="212"/>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pacing w:val="-2"/>
                      <w:sz w:val="21"/>
                      <w:szCs w:val="21"/>
                    </w:rPr>
                    <w:t>空间相对</w:t>
                  </w:r>
                  <w:r>
                    <w:rPr>
                      <w:rFonts w:hint="default" w:ascii="Times New Roman" w:hAnsi="Times New Roman" w:eastAsia="宋体" w:cs="Times New Roman"/>
                      <w:color w:val="auto"/>
                      <w:spacing w:val="-1"/>
                      <w:sz w:val="21"/>
                      <w:szCs w:val="21"/>
                    </w:rPr>
                    <w:t>位置</w:t>
                  </w:r>
                  <w:r>
                    <w:rPr>
                      <w:rFonts w:hint="default" w:ascii="Times New Roman" w:hAnsi="Times New Roman" w:eastAsia="Times New Roman" w:cs="Times New Roman"/>
                      <w:color w:val="auto"/>
                      <w:spacing w:val="-1"/>
                      <w:sz w:val="21"/>
                      <w:szCs w:val="21"/>
                    </w:rPr>
                    <w:t>/m</w:t>
                  </w:r>
                </w:p>
              </w:tc>
              <w:tc>
                <w:tcPr>
                  <w:tcW w:w="1025" w:type="pct"/>
                  <w:vMerge w:val="restart"/>
                  <w:tcBorders>
                    <w:tl2br w:val="nil"/>
                    <w:tr2bl w:val="nil"/>
                  </w:tcBorders>
                  <w:noWrap w:val="0"/>
                  <w:vAlign w:val="top"/>
                </w:tcPr>
                <w:p w14:paraId="7BA8CB39">
                  <w:pPr>
                    <w:spacing w:before="172" w:line="214" w:lineRule="auto"/>
                    <w:ind w:left="208"/>
                    <w:rPr>
                      <w:rFonts w:hint="default" w:ascii="Times New Roman" w:hAnsi="Times New Roman" w:eastAsia="Times New Roman" w:cs="Times New Roman"/>
                      <w:color w:val="auto"/>
                      <w:sz w:val="21"/>
                      <w:szCs w:val="21"/>
                    </w:rPr>
                  </w:pPr>
                  <w:r>
                    <w:rPr>
                      <w:rFonts w:hint="default" w:ascii="Times New Roman" w:hAnsi="Times New Roman" w:eastAsia="宋体" w:cs="Times New Roman"/>
                      <w:color w:val="auto"/>
                      <w:spacing w:val="-10"/>
                      <w:sz w:val="21"/>
                      <w:szCs w:val="21"/>
                    </w:rPr>
                    <w:t>声</w:t>
                  </w:r>
                  <w:r>
                    <w:rPr>
                      <w:rFonts w:hint="default" w:ascii="Times New Roman" w:hAnsi="Times New Roman" w:eastAsia="宋体" w:cs="Times New Roman"/>
                      <w:color w:val="auto"/>
                      <w:spacing w:val="-6"/>
                      <w:sz w:val="21"/>
                      <w:szCs w:val="21"/>
                    </w:rPr>
                    <w:t>功率级</w:t>
                  </w:r>
                  <w:r>
                    <w:rPr>
                      <w:rFonts w:hint="default" w:ascii="Times New Roman" w:hAnsi="Times New Roman" w:eastAsia="Times New Roman" w:cs="Times New Roman"/>
                      <w:color w:val="auto"/>
                      <w:spacing w:val="-6"/>
                      <w:sz w:val="21"/>
                      <w:szCs w:val="21"/>
                    </w:rPr>
                    <w:t>dB(A)</w:t>
                  </w:r>
                </w:p>
              </w:tc>
              <w:tc>
                <w:tcPr>
                  <w:tcW w:w="1524" w:type="pct"/>
                  <w:vMerge w:val="restart"/>
                  <w:tcBorders>
                    <w:tl2br w:val="nil"/>
                    <w:tr2bl w:val="nil"/>
                  </w:tcBorders>
                  <w:noWrap w:val="0"/>
                  <w:vAlign w:val="top"/>
                </w:tcPr>
                <w:p w14:paraId="2969D98B">
                  <w:pPr>
                    <w:spacing w:before="172" w:line="221" w:lineRule="auto"/>
                    <w:ind w:left="73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声源控</w:t>
                  </w:r>
                  <w:r>
                    <w:rPr>
                      <w:rFonts w:hint="default" w:ascii="Times New Roman" w:hAnsi="Times New Roman" w:eastAsia="宋体" w:cs="Times New Roman"/>
                      <w:color w:val="auto"/>
                      <w:spacing w:val="-1"/>
                      <w:sz w:val="21"/>
                      <w:szCs w:val="21"/>
                    </w:rPr>
                    <w:t>制措施</w:t>
                  </w:r>
                </w:p>
              </w:tc>
              <w:tc>
                <w:tcPr>
                  <w:tcW w:w="761" w:type="pct"/>
                  <w:vMerge w:val="restart"/>
                  <w:tcBorders>
                    <w:tl2br w:val="nil"/>
                    <w:tr2bl w:val="nil"/>
                  </w:tcBorders>
                  <w:noWrap w:val="0"/>
                  <w:vAlign w:val="top"/>
                </w:tcPr>
                <w:p w14:paraId="3BEE853D">
                  <w:pPr>
                    <w:spacing w:before="172" w:line="221" w:lineRule="auto"/>
                    <w:ind w:left="26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运</w:t>
                  </w:r>
                  <w:r>
                    <w:rPr>
                      <w:rFonts w:hint="default" w:ascii="Times New Roman" w:hAnsi="Times New Roman" w:eastAsia="宋体" w:cs="Times New Roman"/>
                      <w:color w:val="auto"/>
                      <w:spacing w:val="-1"/>
                      <w:sz w:val="21"/>
                      <w:szCs w:val="21"/>
                    </w:rPr>
                    <w:t>行时段</w:t>
                  </w:r>
                </w:p>
              </w:tc>
            </w:tr>
            <w:tr w14:paraId="58994C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10" w:type="pct"/>
                  <w:vMerge w:val="continue"/>
                  <w:tcBorders>
                    <w:tl2br w:val="nil"/>
                    <w:tr2bl w:val="nil"/>
                  </w:tcBorders>
                  <w:noWrap w:val="0"/>
                  <w:vAlign w:val="top"/>
                </w:tcPr>
                <w:p w14:paraId="66407B58">
                  <w:pPr>
                    <w:rPr>
                      <w:rFonts w:hint="default" w:ascii="Times New Roman" w:hAnsi="Times New Roman" w:cs="Times New Roman"/>
                      <w:color w:val="auto"/>
                      <w:sz w:val="21"/>
                    </w:rPr>
                  </w:pPr>
                </w:p>
              </w:tc>
              <w:tc>
                <w:tcPr>
                  <w:tcW w:w="375" w:type="pct"/>
                  <w:tcBorders>
                    <w:tl2br w:val="nil"/>
                    <w:tr2bl w:val="nil"/>
                  </w:tcBorders>
                  <w:noWrap w:val="0"/>
                  <w:vAlign w:val="top"/>
                </w:tcPr>
                <w:p w14:paraId="3A70ECFD">
                  <w:pPr>
                    <w:spacing w:before="74" w:line="184" w:lineRule="auto"/>
                    <w:ind w:left="238"/>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X</w:t>
                  </w:r>
                </w:p>
              </w:tc>
              <w:tc>
                <w:tcPr>
                  <w:tcW w:w="345" w:type="pct"/>
                  <w:tcBorders>
                    <w:tl2br w:val="nil"/>
                    <w:tr2bl w:val="nil"/>
                  </w:tcBorders>
                  <w:noWrap w:val="0"/>
                  <w:vAlign w:val="top"/>
                </w:tcPr>
                <w:p w14:paraId="1D5C12D8">
                  <w:pPr>
                    <w:spacing w:before="74" w:line="184" w:lineRule="auto"/>
                    <w:ind w:left="227"/>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Y</w:t>
                  </w:r>
                </w:p>
              </w:tc>
              <w:tc>
                <w:tcPr>
                  <w:tcW w:w="357" w:type="pct"/>
                  <w:tcBorders>
                    <w:tl2br w:val="nil"/>
                    <w:tr2bl w:val="nil"/>
                  </w:tcBorders>
                  <w:noWrap w:val="0"/>
                  <w:vAlign w:val="top"/>
                </w:tcPr>
                <w:p w14:paraId="55923747">
                  <w:pPr>
                    <w:spacing w:before="74" w:line="184" w:lineRule="auto"/>
                    <w:ind w:left="250"/>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Z</w:t>
                  </w:r>
                </w:p>
              </w:tc>
              <w:tc>
                <w:tcPr>
                  <w:tcW w:w="1025" w:type="pct"/>
                  <w:vMerge w:val="continue"/>
                  <w:tcBorders>
                    <w:tl2br w:val="nil"/>
                    <w:tr2bl w:val="nil"/>
                  </w:tcBorders>
                  <w:noWrap w:val="0"/>
                  <w:vAlign w:val="top"/>
                </w:tcPr>
                <w:p w14:paraId="4414AB15">
                  <w:pPr>
                    <w:rPr>
                      <w:rFonts w:hint="default" w:ascii="Times New Roman" w:hAnsi="Times New Roman" w:cs="Times New Roman"/>
                      <w:color w:val="auto"/>
                      <w:sz w:val="21"/>
                    </w:rPr>
                  </w:pPr>
                </w:p>
              </w:tc>
              <w:tc>
                <w:tcPr>
                  <w:tcW w:w="1524" w:type="pct"/>
                  <w:vMerge w:val="continue"/>
                  <w:tcBorders>
                    <w:tl2br w:val="nil"/>
                    <w:tr2bl w:val="nil"/>
                  </w:tcBorders>
                  <w:noWrap w:val="0"/>
                  <w:vAlign w:val="top"/>
                </w:tcPr>
                <w:p w14:paraId="1549A78C">
                  <w:pPr>
                    <w:rPr>
                      <w:rFonts w:hint="default" w:ascii="Times New Roman" w:hAnsi="Times New Roman" w:cs="Times New Roman"/>
                      <w:color w:val="auto"/>
                      <w:sz w:val="21"/>
                    </w:rPr>
                  </w:pPr>
                </w:p>
              </w:tc>
              <w:tc>
                <w:tcPr>
                  <w:tcW w:w="761" w:type="pct"/>
                  <w:vMerge w:val="continue"/>
                  <w:tcBorders>
                    <w:tl2br w:val="nil"/>
                    <w:tr2bl w:val="nil"/>
                  </w:tcBorders>
                  <w:noWrap w:val="0"/>
                  <w:vAlign w:val="top"/>
                </w:tcPr>
                <w:p w14:paraId="0C403288">
                  <w:pPr>
                    <w:rPr>
                      <w:rFonts w:hint="default" w:ascii="Times New Roman" w:hAnsi="Times New Roman" w:cs="Times New Roman"/>
                      <w:color w:val="auto"/>
                      <w:sz w:val="21"/>
                    </w:rPr>
                  </w:pPr>
                </w:p>
              </w:tc>
            </w:tr>
            <w:tr w14:paraId="68F413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10" w:type="pct"/>
                  <w:tcBorders>
                    <w:tl2br w:val="nil"/>
                    <w:tr2bl w:val="nil"/>
                  </w:tcBorders>
                  <w:noWrap w:val="0"/>
                  <w:vAlign w:val="center"/>
                </w:tcPr>
                <w:p w14:paraId="1277BD9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Times New Roman" w:cs="Times New Roman"/>
                      <w:color w:val="auto"/>
                      <w:spacing w:val="-7"/>
                      <w:sz w:val="21"/>
                      <w:szCs w:val="21"/>
                    </w:rPr>
                    <w:t>1</w:t>
                  </w:r>
                  <w:r>
                    <w:rPr>
                      <w:rFonts w:hint="default" w:ascii="Times New Roman" w:hAnsi="Times New Roman" w:eastAsia="Times New Roman" w:cs="Times New Roman"/>
                      <w:color w:val="auto"/>
                      <w:spacing w:val="-5"/>
                      <w:sz w:val="21"/>
                      <w:szCs w:val="21"/>
                    </w:rPr>
                    <w:t>#</w:t>
                  </w:r>
                  <w:r>
                    <w:rPr>
                      <w:rFonts w:hint="default" w:ascii="Times New Roman" w:hAnsi="Times New Roman" w:eastAsia="宋体" w:cs="Times New Roman"/>
                      <w:color w:val="auto"/>
                      <w:spacing w:val="-5"/>
                      <w:sz w:val="21"/>
                      <w:szCs w:val="21"/>
                    </w:rPr>
                    <w:t>风机</w:t>
                  </w:r>
                </w:p>
              </w:tc>
              <w:tc>
                <w:tcPr>
                  <w:tcW w:w="375" w:type="pct"/>
                  <w:tcBorders>
                    <w:tl2br w:val="nil"/>
                    <w:tr2bl w:val="nil"/>
                  </w:tcBorders>
                  <w:noWrap w:val="0"/>
                  <w:vAlign w:val="center"/>
                </w:tcPr>
                <w:p w14:paraId="7E6B2FE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24</w:t>
                  </w:r>
                </w:p>
              </w:tc>
              <w:tc>
                <w:tcPr>
                  <w:tcW w:w="345" w:type="pct"/>
                  <w:tcBorders>
                    <w:tl2br w:val="nil"/>
                    <w:tr2bl w:val="nil"/>
                  </w:tcBorders>
                  <w:noWrap w:val="0"/>
                  <w:vAlign w:val="center"/>
                </w:tcPr>
                <w:p w14:paraId="2582855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-22</w:t>
                  </w:r>
                </w:p>
              </w:tc>
              <w:tc>
                <w:tcPr>
                  <w:tcW w:w="357" w:type="pct"/>
                  <w:tcBorders>
                    <w:tl2br w:val="nil"/>
                    <w:tr2bl w:val="nil"/>
                  </w:tcBorders>
                  <w:noWrap w:val="0"/>
                  <w:vAlign w:val="center"/>
                </w:tcPr>
                <w:p w14:paraId="07A709E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0</w:t>
                  </w:r>
                </w:p>
              </w:tc>
              <w:tc>
                <w:tcPr>
                  <w:tcW w:w="1025" w:type="pct"/>
                  <w:tcBorders>
                    <w:tl2br w:val="nil"/>
                    <w:tr2bl w:val="nil"/>
                  </w:tcBorders>
                  <w:noWrap w:val="0"/>
                  <w:vAlign w:val="center"/>
                </w:tcPr>
                <w:p w14:paraId="5A7B4A7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75</w:t>
                  </w:r>
                </w:p>
              </w:tc>
              <w:tc>
                <w:tcPr>
                  <w:tcW w:w="1524" w:type="pct"/>
                  <w:tcBorders>
                    <w:tl2br w:val="nil"/>
                    <w:tr2bl w:val="nil"/>
                  </w:tcBorders>
                  <w:noWrap w:val="0"/>
                  <w:vAlign w:val="center"/>
                </w:tcPr>
                <w:p w14:paraId="57F149A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隔</w:t>
                  </w:r>
                  <w:r>
                    <w:rPr>
                      <w:rFonts w:hint="default" w:ascii="Times New Roman" w:hAnsi="Times New Roman" w:eastAsia="宋体" w:cs="Times New Roman"/>
                      <w:color w:val="auto"/>
                      <w:spacing w:val="-3"/>
                      <w:sz w:val="21"/>
                      <w:szCs w:val="21"/>
                    </w:rPr>
                    <w:t>声、减振</w:t>
                  </w:r>
                </w:p>
              </w:tc>
              <w:tc>
                <w:tcPr>
                  <w:tcW w:w="761" w:type="pct"/>
                  <w:tcBorders>
                    <w:tl2br w:val="nil"/>
                    <w:tr2bl w:val="nil"/>
                  </w:tcBorders>
                  <w:noWrap w:val="0"/>
                  <w:vAlign w:val="center"/>
                </w:tcPr>
                <w:p w14:paraId="46F3FB5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连续</w:t>
                  </w:r>
                  <w:r>
                    <w:rPr>
                      <w:rFonts w:hint="default" w:ascii="Times New Roman" w:hAnsi="Times New Roman" w:eastAsia="宋体" w:cs="Times New Roman"/>
                      <w:color w:val="auto"/>
                      <w:spacing w:val="-1"/>
                      <w:sz w:val="21"/>
                      <w:szCs w:val="21"/>
                    </w:rPr>
                    <w:t>运行</w:t>
                  </w:r>
                </w:p>
              </w:tc>
            </w:tr>
            <w:tr w14:paraId="33A464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10" w:type="pct"/>
                  <w:tcBorders>
                    <w:tl2br w:val="nil"/>
                    <w:tr2bl w:val="nil"/>
                  </w:tcBorders>
                  <w:noWrap w:val="0"/>
                  <w:vAlign w:val="center"/>
                </w:tcPr>
                <w:p w14:paraId="4C98A55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Times New Roman" w:cs="Times New Roman"/>
                      <w:color w:val="auto"/>
                      <w:spacing w:val="-1"/>
                      <w:sz w:val="21"/>
                      <w:szCs w:val="21"/>
                    </w:rPr>
                    <w:t>2</w:t>
                  </w:r>
                  <w:r>
                    <w:rPr>
                      <w:rFonts w:hint="default" w:ascii="Times New Roman" w:hAnsi="Times New Roman" w:eastAsia="Times New Roman" w:cs="Times New Roman"/>
                      <w:color w:val="auto"/>
                      <w:sz w:val="21"/>
                      <w:szCs w:val="21"/>
                    </w:rPr>
                    <w:t>#</w:t>
                  </w:r>
                  <w:r>
                    <w:rPr>
                      <w:rFonts w:hint="default" w:ascii="Times New Roman" w:hAnsi="Times New Roman" w:eastAsia="宋体" w:cs="Times New Roman"/>
                      <w:color w:val="auto"/>
                      <w:sz w:val="21"/>
                      <w:szCs w:val="21"/>
                    </w:rPr>
                    <w:t>风机</w:t>
                  </w:r>
                </w:p>
              </w:tc>
              <w:tc>
                <w:tcPr>
                  <w:tcW w:w="375" w:type="pct"/>
                  <w:tcBorders>
                    <w:tl2br w:val="nil"/>
                    <w:tr2bl w:val="nil"/>
                  </w:tcBorders>
                  <w:noWrap w:val="0"/>
                  <w:vAlign w:val="center"/>
                </w:tcPr>
                <w:p w14:paraId="5CB477D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default" w:ascii="Times New Roman" w:hAnsi="Times New Roman" w:cs="Times New Roman"/>
                      <w:color w:val="auto"/>
                      <w:sz w:val="21"/>
                      <w:szCs w:val="21"/>
                      <w:lang w:val="en-US" w:eastAsia="zh-CN"/>
                    </w:rPr>
                    <w:t>8</w:t>
                  </w:r>
                </w:p>
              </w:tc>
              <w:tc>
                <w:tcPr>
                  <w:tcW w:w="345" w:type="pct"/>
                  <w:tcBorders>
                    <w:tl2br w:val="nil"/>
                    <w:tr2bl w:val="nil"/>
                  </w:tcBorders>
                  <w:noWrap w:val="0"/>
                  <w:vAlign w:val="center"/>
                </w:tcPr>
                <w:p w14:paraId="52CF48A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357" w:type="pct"/>
                  <w:tcBorders>
                    <w:tl2br w:val="nil"/>
                    <w:tr2bl w:val="nil"/>
                  </w:tcBorders>
                  <w:noWrap w:val="0"/>
                  <w:vAlign w:val="center"/>
                </w:tcPr>
                <w:p w14:paraId="21F4E51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0</w:t>
                  </w:r>
                </w:p>
              </w:tc>
              <w:tc>
                <w:tcPr>
                  <w:tcW w:w="1025" w:type="pct"/>
                  <w:tcBorders>
                    <w:tl2br w:val="nil"/>
                    <w:tr2bl w:val="nil"/>
                  </w:tcBorders>
                  <w:noWrap w:val="0"/>
                  <w:vAlign w:val="center"/>
                </w:tcPr>
                <w:p w14:paraId="1D4C947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75</w:t>
                  </w:r>
                </w:p>
              </w:tc>
              <w:tc>
                <w:tcPr>
                  <w:tcW w:w="1524" w:type="pct"/>
                  <w:tcBorders>
                    <w:tl2br w:val="nil"/>
                    <w:tr2bl w:val="nil"/>
                  </w:tcBorders>
                  <w:noWrap w:val="0"/>
                  <w:vAlign w:val="center"/>
                </w:tcPr>
                <w:p w14:paraId="6A2838E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隔</w:t>
                  </w:r>
                  <w:r>
                    <w:rPr>
                      <w:rFonts w:hint="default" w:ascii="Times New Roman" w:hAnsi="Times New Roman" w:eastAsia="宋体" w:cs="Times New Roman"/>
                      <w:color w:val="auto"/>
                      <w:spacing w:val="-3"/>
                      <w:sz w:val="21"/>
                      <w:szCs w:val="21"/>
                    </w:rPr>
                    <w:t>声、减振</w:t>
                  </w:r>
                </w:p>
              </w:tc>
              <w:tc>
                <w:tcPr>
                  <w:tcW w:w="761" w:type="pct"/>
                  <w:tcBorders>
                    <w:tl2br w:val="nil"/>
                    <w:tr2bl w:val="nil"/>
                  </w:tcBorders>
                  <w:noWrap w:val="0"/>
                  <w:vAlign w:val="center"/>
                </w:tcPr>
                <w:p w14:paraId="16B88CB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连续</w:t>
                  </w:r>
                  <w:r>
                    <w:rPr>
                      <w:rFonts w:hint="default" w:ascii="Times New Roman" w:hAnsi="Times New Roman" w:eastAsia="宋体" w:cs="Times New Roman"/>
                      <w:color w:val="auto"/>
                      <w:spacing w:val="-1"/>
                      <w:sz w:val="21"/>
                      <w:szCs w:val="21"/>
                    </w:rPr>
                    <w:t>运行</w:t>
                  </w:r>
                </w:p>
              </w:tc>
            </w:tr>
            <w:tr w14:paraId="3D5CA2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10" w:type="pct"/>
                  <w:tcBorders>
                    <w:tl2br w:val="nil"/>
                    <w:tr2bl w:val="nil"/>
                  </w:tcBorders>
                  <w:noWrap w:val="0"/>
                  <w:vAlign w:val="center"/>
                </w:tcPr>
                <w:p w14:paraId="298664F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lang w:val="en-US" w:eastAsia="zh-CN"/>
                    </w:rPr>
                    <w:t>3#风机</w:t>
                  </w:r>
                </w:p>
              </w:tc>
              <w:tc>
                <w:tcPr>
                  <w:tcW w:w="375" w:type="pct"/>
                  <w:tcBorders>
                    <w:tl2br w:val="nil"/>
                    <w:tr2bl w:val="nil"/>
                  </w:tcBorders>
                  <w:noWrap w:val="0"/>
                  <w:vAlign w:val="center"/>
                </w:tcPr>
                <w:p w14:paraId="1C9E431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-25</w:t>
                  </w:r>
                </w:p>
              </w:tc>
              <w:tc>
                <w:tcPr>
                  <w:tcW w:w="345" w:type="pct"/>
                  <w:tcBorders>
                    <w:tl2br w:val="nil"/>
                    <w:tr2bl w:val="nil"/>
                  </w:tcBorders>
                  <w:noWrap w:val="0"/>
                  <w:vAlign w:val="center"/>
                </w:tcPr>
                <w:p w14:paraId="02B385A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w:t>
                  </w:r>
                </w:p>
              </w:tc>
              <w:tc>
                <w:tcPr>
                  <w:tcW w:w="357" w:type="pct"/>
                  <w:tcBorders>
                    <w:tl2br w:val="nil"/>
                    <w:tr2bl w:val="nil"/>
                  </w:tcBorders>
                  <w:noWrap w:val="0"/>
                  <w:vAlign w:val="center"/>
                </w:tcPr>
                <w:p w14:paraId="1A18A18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025" w:type="pct"/>
                  <w:tcBorders>
                    <w:tl2br w:val="nil"/>
                    <w:tr2bl w:val="nil"/>
                  </w:tcBorders>
                  <w:noWrap w:val="0"/>
                  <w:vAlign w:val="center"/>
                </w:tcPr>
                <w:p w14:paraId="2322561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spacing w:val="-2"/>
                      <w:sz w:val="21"/>
                      <w:szCs w:val="21"/>
                    </w:rPr>
                    <w:t>75</w:t>
                  </w:r>
                </w:p>
              </w:tc>
              <w:tc>
                <w:tcPr>
                  <w:tcW w:w="1524" w:type="pct"/>
                  <w:tcBorders>
                    <w:tl2br w:val="nil"/>
                    <w:tr2bl w:val="nil"/>
                  </w:tcBorders>
                  <w:noWrap w:val="0"/>
                  <w:vAlign w:val="center"/>
                </w:tcPr>
                <w:p w14:paraId="04346B1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6"/>
                      <w:sz w:val="21"/>
                      <w:szCs w:val="21"/>
                    </w:rPr>
                    <w:t>隔</w:t>
                  </w:r>
                  <w:r>
                    <w:rPr>
                      <w:rFonts w:hint="default" w:ascii="Times New Roman" w:hAnsi="Times New Roman" w:eastAsia="宋体" w:cs="Times New Roman"/>
                      <w:color w:val="auto"/>
                      <w:spacing w:val="-3"/>
                      <w:sz w:val="21"/>
                      <w:szCs w:val="21"/>
                    </w:rPr>
                    <w:t>声、减振</w:t>
                  </w:r>
                </w:p>
              </w:tc>
              <w:tc>
                <w:tcPr>
                  <w:tcW w:w="761" w:type="pct"/>
                  <w:tcBorders>
                    <w:tl2br w:val="nil"/>
                    <w:tr2bl w:val="nil"/>
                  </w:tcBorders>
                  <w:noWrap w:val="0"/>
                  <w:vAlign w:val="center"/>
                </w:tcPr>
                <w:p w14:paraId="25E4A61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2"/>
                      <w:sz w:val="21"/>
                      <w:szCs w:val="21"/>
                    </w:rPr>
                    <w:t>连续</w:t>
                  </w:r>
                  <w:r>
                    <w:rPr>
                      <w:rFonts w:hint="default" w:ascii="Times New Roman" w:hAnsi="Times New Roman" w:eastAsia="宋体" w:cs="Times New Roman"/>
                      <w:color w:val="auto"/>
                      <w:spacing w:val="-1"/>
                      <w:sz w:val="21"/>
                      <w:szCs w:val="21"/>
                    </w:rPr>
                    <w:t>运行</w:t>
                  </w:r>
                </w:p>
              </w:tc>
            </w:tr>
          </w:tbl>
          <w:p w14:paraId="47FF3485">
            <w:pPr>
              <w:pStyle w:val="30"/>
              <w:keepNext w:val="0"/>
              <w:keepLines w:val="0"/>
              <w:pageBreakBefore w:val="0"/>
              <w:widowControl w:val="0"/>
              <w:kinsoku/>
              <w:wordWrap/>
              <w:overflowPunct/>
              <w:topLinePunct w:val="0"/>
              <w:bidi w:val="0"/>
              <w:snapToGrid/>
              <w:spacing w:line="360" w:lineRule="auto"/>
              <w:ind w:left="0" w:right="0" w:firstLine="480" w:firstLineChars="200"/>
              <w:textAlignment w:val="auto"/>
              <w:rPr>
                <w:rFonts w:hint="default" w:ascii="Times New Roman" w:hAnsi="Times New Roman" w:cs="Times New Roman"/>
                <w:color w:val="auto"/>
                <w:kern w:val="0"/>
                <w:sz w:val="24"/>
                <w:szCs w:val="24"/>
                <w:highlight w:val="none"/>
              </w:rPr>
            </w:pPr>
          </w:p>
          <w:p w14:paraId="7E9882F1">
            <w:pPr>
              <w:keepNext w:val="0"/>
              <w:keepLines w:val="0"/>
              <w:pageBreakBefore w:val="0"/>
              <w:widowControl w:val="0"/>
              <w:shd w:val="clear" w:color="auto"/>
              <w:kinsoku/>
              <w:wordWrap/>
              <w:overflowPunct/>
              <w:topLinePunct w:val="0"/>
              <w:autoSpaceDE/>
              <w:autoSpaceDN/>
              <w:bidi w:val="0"/>
              <w:adjustRightInd w:val="0"/>
              <w:snapToGrid w:val="0"/>
              <w:spacing w:line="480" w:lineRule="atLeast"/>
              <w:jc w:val="both"/>
              <w:textAlignment w:val="auto"/>
              <w:rPr>
                <w:rFonts w:hint="default" w:ascii="Times New Roman" w:hAnsi="Times New Roman" w:cs="Times New Roman"/>
                <w:b w:val="0"/>
                <w:bCs w:val="0"/>
                <w:color w:val="auto"/>
                <w:kern w:val="0"/>
                <w:sz w:val="24"/>
                <w:szCs w:val="24"/>
                <w:highlight w:val="none"/>
                <w:lang w:val="en-US" w:eastAsia="zh-CN"/>
              </w:rPr>
            </w:pPr>
          </w:p>
          <w:p w14:paraId="4F91F9BA">
            <w:pPr>
              <w:keepNext w:val="0"/>
              <w:keepLines w:val="0"/>
              <w:pageBreakBefore w:val="0"/>
              <w:widowControl w:val="0"/>
              <w:shd w:val="clear" w:color="auto"/>
              <w:kinsoku/>
              <w:wordWrap/>
              <w:overflowPunct/>
              <w:topLinePunct w:val="0"/>
              <w:autoSpaceDE/>
              <w:autoSpaceDN/>
              <w:bidi w:val="0"/>
              <w:adjustRightInd w:val="0"/>
              <w:snapToGrid w:val="0"/>
              <w:spacing w:line="480" w:lineRule="atLeast"/>
              <w:ind w:firstLine="480" w:firstLineChars="200"/>
              <w:jc w:val="both"/>
              <w:textAlignment w:val="auto"/>
              <w:rPr>
                <w:rFonts w:hint="default" w:ascii="Times New Roman" w:hAnsi="Times New Roman" w:cs="Times New Roman"/>
                <w:b w:val="0"/>
                <w:bCs w:val="0"/>
                <w:color w:val="auto"/>
                <w:kern w:val="0"/>
                <w:sz w:val="24"/>
                <w:szCs w:val="24"/>
                <w:highlight w:val="none"/>
                <w:lang w:val="en-US" w:eastAsia="zh-CN"/>
              </w:rPr>
            </w:pPr>
          </w:p>
          <w:p w14:paraId="1D450F6A">
            <w:pPr>
              <w:keepNext w:val="0"/>
              <w:keepLines w:val="0"/>
              <w:pageBreakBefore w:val="0"/>
              <w:widowControl w:val="0"/>
              <w:shd w:val="clear" w:color="auto"/>
              <w:kinsoku/>
              <w:wordWrap/>
              <w:overflowPunct/>
              <w:topLinePunct w:val="0"/>
              <w:autoSpaceDE/>
              <w:autoSpaceDN/>
              <w:bidi w:val="0"/>
              <w:adjustRightInd w:val="0"/>
              <w:snapToGrid w:val="0"/>
              <w:spacing w:line="480" w:lineRule="atLeast"/>
              <w:ind w:firstLine="480" w:firstLineChars="200"/>
              <w:jc w:val="both"/>
              <w:textAlignment w:val="auto"/>
              <w:rPr>
                <w:rFonts w:hint="default" w:ascii="Times New Roman" w:hAnsi="Times New Roman" w:cs="Times New Roman"/>
                <w:b w:val="0"/>
                <w:bCs w:val="0"/>
                <w:color w:val="auto"/>
                <w:kern w:val="0"/>
                <w:sz w:val="24"/>
                <w:szCs w:val="24"/>
                <w:highlight w:val="none"/>
                <w:lang w:val="en-US" w:eastAsia="zh-CN"/>
              </w:rPr>
            </w:pPr>
          </w:p>
          <w:p w14:paraId="2DE608DC">
            <w:pPr>
              <w:pStyle w:val="30"/>
              <w:rPr>
                <w:rFonts w:hint="default" w:ascii="Times New Roman" w:hAnsi="Times New Roman" w:cs="Times New Roman"/>
                <w:b w:val="0"/>
                <w:bCs w:val="0"/>
                <w:color w:val="auto"/>
                <w:kern w:val="0"/>
                <w:sz w:val="24"/>
                <w:szCs w:val="24"/>
                <w:highlight w:val="none"/>
                <w:lang w:val="en-US" w:eastAsia="zh-CN"/>
              </w:rPr>
            </w:pPr>
          </w:p>
          <w:p w14:paraId="14F947A8">
            <w:pPr>
              <w:pStyle w:val="30"/>
              <w:rPr>
                <w:rFonts w:hint="default" w:ascii="Times New Roman" w:hAnsi="Times New Roman" w:cs="Times New Roman"/>
                <w:b w:val="0"/>
                <w:bCs w:val="0"/>
                <w:color w:val="auto"/>
                <w:kern w:val="0"/>
                <w:sz w:val="24"/>
                <w:szCs w:val="24"/>
                <w:highlight w:val="none"/>
                <w:lang w:val="en-US" w:eastAsia="zh-CN"/>
              </w:rPr>
            </w:pPr>
          </w:p>
          <w:p w14:paraId="65C675D7">
            <w:pPr>
              <w:pStyle w:val="30"/>
              <w:rPr>
                <w:rFonts w:hint="default" w:ascii="Times New Roman" w:hAnsi="Times New Roman" w:cs="Times New Roman"/>
                <w:b w:val="0"/>
                <w:bCs w:val="0"/>
                <w:color w:val="auto"/>
                <w:kern w:val="0"/>
                <w:sz w:val="24"/>
                <w:szCs w:val="24"/>
                <w:highlight w:val="none"/>
                <w:lang w:val="en-US" w:eastAsia="zh-CN"/>
              </w:rPr>
            </w:pPr>
          </w:p>
          <w:p w14:paraId="4E7CD570">
            <w:pPr>
              <w:pStyle w:val="30"/>
              <w:rPr>
                <w:rFonts w:hint="default" w:ascii="Times New Roman" w:hAnsi="Times New Roman" w:cs="Times New Roman"/>
                <w:b w:val="0"/>
                <w:bCs w:val="0"/>
                <w:color w:val="auto"/>
                <w:kern w:val="0"/>
                <w:sz w:val="24"/>
                <w:szCs w:val="24"/>
                <w:highlight w:val="none"/>
                <w:lang w:val="en-US" w:eastAsia="zh-CN"/>
              </w:rPr>
            </w:pPr>
          </w:p>
          <w:p w14:paraId="567E23CF">
            <w:pPr>
              <w:pStyle w:val="30"/>
              <w:rPr>
                <w:rFonts w:hint="default" w:ascii="Times New Roman" w:hAnsi="Times New Roman" w:cs="Times New Roman"/>
                <w:b w:val="0"/>
                <w:bCs w:val="0"/>
                <w:color w:val="auto"/>
                <w:kern w:val="0"/>
                <w:sz w:val="24"/>
                <w:szCs w:val="24"/>
                <w:highlight w:val="none"/>
                <w:lang w:val="en-US" w:eastAsia="zh-CN"/>
              </w:rPr>
            </w:pPr>
          </w:p>
          <w:p w14:paraId="3ABB0686">
            <w:pPr>
              <w:pStyle w:val="30"/>
              <w:rPr>
                <w:rFonts w:hint="default" w:ascii="Times New Roman" w:hAnsi="Times New Roman" w:cs="Times New Roman"/>
                <w:b w:val="0"/>
                <w:bCs w:val="0"/>
                <w:color w:val="auto"/>
                <w:kern w:val="0"/>
                <w:sz w:val="24"/>
                <w:szCs w:val="24"/>
                <w:highlight w:val="none"/>
                <w:lang w:val="en-US" w:eastAsia="zh-CN"/>
              </w:rPr>
            </w:pPr>
          </w:p>
          <w:p w14:paraId="290D4C56">
            <w:pPr>
              <w:pStyle w:val="30"/>
              <w:rPr>
                <w:rFonts w:hint="default" w:ascii="Times New Roman" w:hAnsi="Times New Roman" w:cs="Times New Roman"/>
                <w:b w:val="0"/>
                <w:bCs w:val="0"/>
                <w:color w:val="auto"/>
                <w:kern w:val="0"/>
                <w:sz w:val="24"/>
                <w:szCs w:val="24"/>
                <w:highlight w:val="none"/>
                <w:lang w:val="en-US" w:eastAsia="zh-CN"/>
              </w:rPr>
            </w:pPr>
          </w:p>
          <w:p w14:paraId="3BFFB170">
            <w:pPr>
              <w:pStyle w:val="30"/>
              <w:rPr>
                <w:rFonts w:hint="default" w:ascii="Times New Roman" w:hAnsi="Times New Roman" w:cs="Times New Roman"/>
                <w:b w:val="0"/>
                <w:bCs w:val="0"/>
                <w:color w:val="auto"/>
                <w:kern w:val="0"/>
                <w:sz w:val="24"/>
                <w:szCs w:val="24"/>
                <w:highlight w:val="none"/>
                <w:lang w:val="en-US" w:eastAsia="zh-CN"/>
              </w:rPr>
            </w:pPr>
          </w:p>
          <w:p w14:paraId="2DBD8612">
            <w:pPr>
              <w:pStyle w:val="30"/>
              <w:rPr>
                <w:rFonts w:hint="default" w:ascii="Times New Roman" w:hAnsi="Times New Roman" w:cs="Times New Roman"/>
                <w:b w:val="0"/>
                <w:bCs w:val="0"/>
                <w:color w:val="auto"/>
                <w:kern w:val="0"/>
                <w:sz w:val="24"/>
                <w:szCs w:val="24"/>
                <w:highlight w:val="none"/>
                <w:lang w:val="en-US" w:eastAsia="zh-CN"/>
              </w:rPr>
            </w:pPr>
          </w:p>
          <w:p w14:paraId="7DEC742B">
            <w:pPr>
              <w:pStyle w:val="30"/>
              <w:rPr>
                <w:rFonts w:hint="default" w:ascii="Times New Roman" w:hAnsi="Times New Roman" w:cs="Times New Roman"/>
                <w:b w:val="0"/>
                <w:bCs w:val="0"/>
                <w:color w:val="auto"/>
                <w:kern w:val="0"/>
                <w:sz w:val="24"/>
                <w:szCs w:val="24"/>
                <w:highlight w:val="none"/>
                <w:lang w:val="en-US" w:eastAsia="zh-CN"/>
              </w:rPr>
            </w:pPr>
          </w:p>
          <w:p w14:paraId="1E69A100">
            <w:pPr>
              <w:keepNext w:val="0"/>
              <w:keepLines w:val="0"/>
              <w:pageBreakBefore w:val="0"/>
              <w:widowControl w:val="0"/>
              <w:shd w:val="clear" w:color="auto"/>
              <w:kinsoku/>
              <w:wordWrap/>
              <w:overflowPunct/>
              <w:topLinePunct w:val="0"/>
              <w:autoSpaceDE/>
              <w:autoSpaceDN/>
              <w:bidi w:val="0"/>
              <w:adjustRightInd w:val="0"/>
              <w:snapToGrid w:val="0"/>
              <w:spacing w:line="480" w:lineRule="atLeast"/>
              <w:jc w:val="both"/>
              <w:textAlignment w:val="auto"/>
              <w:rPr>
                <w:rFonts w:hint="default" w:ascii="Times New Roman" w:hAnsi="Times New Roman" w:cs="Times New Roman"/>
                <w:b w:val="0"/>
                <w:bCs w:val="0"/>
                <w:color w:val="auto"/>
                <w:kern w:val="0"/>
                <w:sz w:val="24"/>
                <w:szCs w:val="24"/>
                <w:highlight w:val="none"/>
                <w:lang w:val="en-US" w:eastAsia="zh-CN"/>
              </w:rPr>
            </w:pPr>
          </w:p>
        </w:tc>
      </w:tr>
    </w:tbl>
    <w:p w14:paraId="789AE611">
      <w:pPr>
        <w:shd w:val="clea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4"/>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2020"/>
      </w:tblGrid>
      <w:tr w14:paraId="239242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428" w:type="pct"/>
            <w:noWrap w:val="0"/>
            <w:tcMar>
              <w:left w:w="28" w:type="dxa"/>
              <w:right w:w="28" w:type="dxa"/>
            </w:tcMar>
            <w:vAlign w:val="center"/>
          </w:tcPr>
          <w:p w14:paraId="4FCE84E0">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atLeas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运营期环境影响和保护措施</w:t>
            </w:r>
          </w:p>
        </w:tc>
        <w:tc>
          <w:tcPr>
            <w:tcW w:w="4571" w:type="pct"/>
            <w:noWrap w:val="0"/>
            <w:vAlign w:val="center"/>
          </w:tcPr>
          <w:p w14:paraId="2040DECE">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表4-7  项目设备噪声一览表(室内声源)</w:t>
            </w:r>
          </w:p>
          <w:tbl>
            <w:tblPr>
              <w:tblStyle w:val="24"/>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977"/>
              <w:gridCol w:w="1043"/>
              <w:gridCol w:w="987"/>
              <w:gridCol w:w="824"/>
              <w:gridCol w:w="699"/>
              <w:gridCol w:w="758"/>
              <w:gridCol w:w="782"/>
              <w:gridCol w:w="763"/>
              <w:gridCol w:w="1124"/>
              <w:gridCol w:w="763"/>
              <w:gridCol w:w="1174"/>
              <w:gridCol w:w="1124"/>
              <w:gridCol w:w="779"/>
            </w:tblGrid>
            <w:tr w14:paraId="0E46F8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14" w:type="pct"/>
                  <w:vMerge w:val="restart"/>
                  <w:tcBorders>
                    <w:tl2br w:val="nil"/>
                    <w:tr2bl w:val="nil"/>
                  </w:tcBorders>
                  <w:noWrap w:val="0"/>
                  <w:vAlign w:val="center"/>
                </w:tcPr>
                <w:p w14:paraId="1032E35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建筑物名称</w:t>
                  </w:r>
                </w:p>
              </w:tc>
              <w:tc>
                <w:tcPr>
                  <w:tcW w:w="442" w:type="pct"/>
                  <w:vMerge w:val="restart"/>
                  <w:tcBorders>
                    <w:tl2br w:val="nil"/>
                    <w:tr2bl w:val="nil"/>
                  </w:tcBorders>
                  <w:noWrap w:val="0"/>
                  <w:vAlign w:val="center"/>
                </w:tcPr>
                <w:p w14:paraId="7D8B50F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声</w:t>
                  </w:r>
                  <w:r>
                    <w:rPr>
                      <w:rStyle w:val="58"/>
                      <w:rFonts w:hint="default" w:ascii="Times New Roman" w:hAnsi="Times New Roman" w:cs="Times New Roman"/>
                      <w:color w:val="auto"/>
                      <w:lang w:val="en-US" w:eastAsia="zh-CN" w:bidi="ar"/>
                    </w:rPr>
                    <w:t>源名称</w:t>
                  </w:r>
                </w:p>
              </w:tc>
              <w:tc>
                <w:tcPr>
                  <w:tcW w:w="418" w:type="pct"/>
                  <w:vMerge w:val="restart"/>
                  <w:tcBorders>
                    <w:tl2br w:val="nil"/>
                    <w:tr2bl w:val="nil"/>
                  </w:tcBorders>
                  <w:noWrap w:val="0"/>
                  <w:vAlign w:val="center"/>
                </w:tcPr>
                <w:p w14:paraId="468A3AE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声</w:t>
                  </w:r>
                  <w:r>
                    <w:rPr>
                      <w:rStyle w:val="58"/>
                      <w:rFonts w:hint="default" w:ascii="Times New Roman" w:hAnsi="Times New Roman" w:cs="Times New Roman"/>
                      <w:color w:val="auto"/>
                      <w:lang w:val="en-US" w:eastAsia="zh-CN" w:bidi="ar"/>
                    </w:rPr>
                    <w:t>功率级</w:t>
                  </w:r>
                  <w:r>
                    <w:rPr>
                      <w:rStyle w:val="59"/>
                      <w:rFonts w:hint="default" w:ascii="Times New Roman" w:hAnsi="Times New Roman" w:eastAsia="宋体" w:cs="Times New Roman"/>
                      <w:color w:val="auto"/>
                      <w:lang w:val="en-US" w:eastAsia="zh-CN" w:bidi="ar"/>
                    </w:rPr>
                    <w:t>/dB(A)</w:t>
                  </w:r>
                </w:p>
              </w:tc>
              <w:tc>
                <w:tcPr>
                  <w:tcW w:w="349" w:type="pct"/>
                  <w:vMerge w:val="restart"/>
                  <w:tcBorders>
                    <w:tl2br w:val="nil"/>
                    <w:tr2bl w:val="nil"/>
                  </w:tcBorders>
                  <w:noWrap w:val="0"/>
                  <w:vAlign w:val="center"/>
                </w:tcPr>
                <w:p w14:paraId="020CA93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声</w:t>
                  </w:r>
                  <w:r>
                    <w:rPr>
                      <w:rStyle w:val="58"/>
                      <w:rFonts w:hint="default" w:ascii="Times New Roman" w:hAnsi="Times New Roman" w:cs="Times New Roman"/>
                      <w:color w:val="auto"/>
                      <w:lang w:val="en-US" w:eastAsia="zh-CN" w:bidi="ar"/>
                    </w:rPr>
                    <w:t>源控制措施</w:t>
                  </w:r>
                </w:p>
              </w:tc>
              <w:tc>
                <w:tcPr>
                  <w:tcW w:w="948" w:type="pct"/>
                  <w:gridSpan w:val="3"/>
                  <w:tcBorders>
                    <w:tl2br w:val="nil"/>
                    <w:tr2bl w:val="nil"/>
                  </w:tcBorders>
                  <w:noWrap w:val="0"/>
                  <w:vAlign w:val="center"/>
                </w:tcPr>
                <w:p w14:paraId="5A81A1A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空间相对位</w:t>
                  </w:r>
                  <w:r>
                    <w:rPr>
                      <w:rStyle w:val="58"/>
                      <w:rFonts w:hint="default" w:ascii="Times New Roman" w:hAnsi="Times New Roman" w:cs="Times New Roman"/>
                      <w:color w:val="auto"/>
                      <w:lang w:val="en-US" w:eastAsia="zh-CN" w:bidi="ar"/>
                    </w:rPr>
                    <w:t>置</w:t>
                  </w:r>
                  <w:r>
                    <w:rPr>
                      <w:rStyle w:val="59"/>
                      <w:rFonts w:hint="default" w:ascii="Times New Roman" w:hAnsi="Times New Roman" w:eastAsia="宋体" w:cs="Times New Roman"/>
                      <w:color w:val="auto"/>
                      <w:lang w:val="en-US" w:eastAsia="zh-CN" w:bidi="ar"/>
                    </w:rPr>
                    <w:t>/m</w:t>
                  </w:r>
                </w:p>
              </w:tc>
              <w:tc>
                <w:tcPr>
                  <w:tcW w:w="323" w:type="pct"/>
                  <w:vMerge w:val="restart"/>
                  <w:tcBorders>
                    <w:tl2br w:val="nil"/>
                    <w:tr2bl w:val="nil"/>
                  </w:tcBorders>
                  <w:noWrap w:val="0"/>
                  <w:vAlign w:val="center"/>
                </w:tcPr>
                <w:p w14:paraId="0A16433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距室内边界距离/m</w:t>
                  </w:r>
                </w:p>
              </w:tc>
              <w:tc>
                <w:tcPr>
                  <w:tcW w:w="476" w:type="pct"/>
                  <w:vMerge w:val="restart"/>
                  <w:tcBorders>
                    <w:tl2br w:val="nil"/>
                    <w:tr2bl w:val="nil"/>
                  </w:tcBorders>
                  <w:noWrap w:val="0"/>
                  <w:vAlign w:val="center"/>
                </w:tcPr>
                <w:p w14:paraId="17C4202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室</w:t>
                  </w:r>
                  <w:r>
                    <w:rPr>
                      <w:rStyle w:val="58"/>
                      <w:rFonts w:hint="default" w:ascii="Times New Roman" w:hAnsi="Times New Roman" w:cs="Times New Roman"/>
                      <w:color w:val="auto"/>
                      <w:lang w:val="en-US" w:eastAsia="zh-CN" w:bidi="ar"/>
                    </w:rPr>
                    <w:t>内边界声级</w:t>
                  </w:r>
                  <w:r>
                    <w:rPr>
                      <w:rStyle w:val="59"/>
                      <w:rFonts w:hint="default" w:ascii="Times New Roman" w:hAnsi="Times New Roman" w:eastAsia="宋体" w:cs="Times New Roman"/>
                      <w:color w:val="auto"/>
                      <w:lang w:val="en-US" w:eastAsia="zh-CN" w:bidi="ar"/>
                    </w:rPr>
                    <w:t>/dB(A)</w:t>
                  </w:r>
                </w:p>
              </w:tc>
              <w:tc>
                <w:tcPr>
                  <w:tcW w:w="323" w:type="pct"/>
                  <w:vMerge w:val="restart"/>
                  <w:tcBorders>
                    <w:tl2br w:val="nil"/>
                    <w:tr2bl w:val="nil"/>
                  </w:tcBorders>
                  <w:noWrap w:val="0"/>
                  <w:vAlign w:val="center"/>
                </w:tcPr>
                <w:p w14:paraId="679C655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运行</w:t>
                  </w:r>
                  <w:r>
                    <w:rPr>
                      <w:rStyle w:val="58"/>
                      <w:rFonts w:hint="default" w:ascii="Times New Roman" w:hAnsi="Times New Roman" w:cs="Times New Roman"/>
                      <w:color w:val="auto"/>
                      <w:lang w:val="en-US" w:eastAsia="zh-CN" w:bidi="ar"/>
                    </w:rPr>
                    <w:t>时段</w:t>
                  </w:r>
                </w:p>
              </w:tc>
              <w:tc>
                <w:tcPr>
                  <w:tcW w:w="497" w:type="pct"/>
                  <w:vMerge w:val="restart"/>
                  <w:tcBorders>
                    <w:tl2br w:val="nil"/>
                    <w:tr2bl w:val="nil"/>
                  </w:tcBorders>
                  <w:noWrap w:val="0"/>
                  <w:vAlign w:val="center"/>
                </w:tcPr>
                <w:p w14:paraId="699E3D5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建筑物插入损失/dB(A)</w:t>
                  </w:r>
                </w:p>
              </w:tc>
              <w:tc>
                <w:tcPr>
                  <w:tcW w:w="806" w:type="pct"/>
                  <w:gridSpan w:val="2"/>
                  <w:tcBorders>
                    <w:tl2br w:val="nil"/>
                    <w:tr2bl w:val="nil"/>
                  </w:tcBorders>
                  <w:noWrap w:val="0"/>
                  <w:vAlign w:val="center"/>
                </w:tcPr>
                <w:p w14:paraId="06268C3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w:t>
                  </w:r>
                  <w:r>
                    <w:rPr>
                      <w:rStyle w:val="58"/>
                      <w:rFonts w:hint="default" w:ascii="Times New Roman" w:hAnsi="Times New Roman" w:cs="Times New Roman"/>
                      <w:color w:val="auto"/>
                      <w:lang w:val="en-US" w:eastAsia="zh-CN" w:bidi="ar"/>
                    </w:rPr>
                    <w:t>筑物外噪声</w:t>
                  </w:r>
                </w:p>
              </w:tc>
            </w:tr>
            <w:tr w14:paraId="2CBA90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414" w:type="pct"/>
                  <w:vMerge w:val="continue"/>
                  <w:tcBorders>
                    <w:tl2br w:val="nil"/>
                    <w:tr2bl w:val="nil"/>
                  </w:tcBorders>
                  <w:noWrap w:val="0"/>
                  <w:vAlign w:val="center"/>
                </w:tcPr>
                <w:p w14:paraId="39E76D0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442" w:type="pct"/>
                  <w:vMerge w:val="continue"/>
                  <w:tcBorders>
                    <w:tl2br w:val="nil"/>
                    <w:tr2bl w:val="nil"/>
                  </w:tcBorders>
                  <w:noWrap w:val="0"/>
                  <w:vAlign w:val="center"/>
                </w:tcPr>
                <w:p w14:paraId="212E6351">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418" w:type="pct"/>
                  <w:vMerge w:val="continue"/>
                  <w:tcBorders>
                    <w:tl2br w:val="nil"/>
                    <w:tr2bl w:val="nil"/>
                  </w:tcBorders>
                  <w:noWrap w:val="0"/>
                  <w:vAlign w:val="center"/>
                </w:tcPr>
                <w:p w14:paraId="538F2F4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349" w:type="pct"/>
                  <w:vMerge w:val="continue"/>
                  <w:tcBorders>
                    <w:tl2br w:val="nil"/>
                    <w:tr2bl w:val="nil"/>
                  </w:tcBorders>
                  <w:noWrap w:val="0"/>
                  <w:vAlign w:val="center"/>
                </w:tcPr>
                <w:p w14:paraId="623E139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296" w:type="pct"/>
                  <w:tcBorders>
                    <w:tl2br w:val="nil"/>
                    <w:tr2bl w:val="nil"/>
                  </w:tcBorders>
                  <w:noWrap w:val="0"/>
                  <w:vAlign w:val="center"/>
                </w:tcPr>
                <w:p w14:paraId="17BCECB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X</w:t>
                  </w:r>
                </w:p>
              </w:tc>
              <w:tc>
                <w:tcPr>
                  <w:tcW w:w="321" w:type="pct"/>
                  <w:tcBorders>
                    <w:tl2br w:val="nil"/>
                    <w:tr2bl w:val="nil"/>
                  </w:tcBorders>
                  <w:noWrap w:val="0"/>
                  <w:vAlign w:val="center"/>
                </w:tcPr>
                <w:p w14:paraId="23F0903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Y</w:t>
                  </w:r>
                </w:p>
              </w:tc>
              <w:tc>
                <w:tcPr>
                  <w:tcW w:w="331" w:type="pct"/>
                  <w:tcBorders>
                    <w:tl2br w:val="nil"/>
                    <w:tr2bl w:val="nil"/>
                  </w:tcBorders>
                  <w:noWrap w:val="0"/>
                  <w:vAlign w:val="center"/>
                </w:tcPr>
                <w:p w14:paraId="54618DD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Z</w:t>
                  </w:r>
                </w:p>
              </w:tc>
              <w:tc>
                <w:tcPr>
                  <w:tcW w:w="323" w:type="pct"/>
                  <w:vMerge w:val="continue"/>
                  <w:tcBorders>
                    <w:tl2br w:val="nil"/>
                    <w:tr2bl w:val="nil"/>
                  </w:tcBorders>
                  <w:noWrap w:val="0"/>
                  <w:vAlign w:val="center"/>
                </w:tcPr>
                <w:p w14:paraId="172132D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476" w:type="pct"/>
                  <w:vMerge w:val="continue"/>
                  <w:tcBorders>
                    <w:tl2br w:val="nil"/>
                    <w:tr2bl w:val="nil"/>
                  </w:tcBorders>
                  <w:noWrap w:val="0"/>
                  <w:vAlign w:val="center"/>
                </w:tcPr>
                <w:p w14:paraId="272075AE">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323" w:type="pct"/>
                  <w:vMerge w:val="continue"/>
                  <w:tcBorders>
                    <w:tl2br w:val="nil"/>
                    <w:tr2bl w:val="nil"/>
                  </w:tcBorders>
                  <w:noWrap w:val="0"/>
                  <w:vAlign w:val="center"/>
                </w:tcPr>
                <w:p w14:paraId="04F0513A">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497" w:type="pct"/>
                  <w:vMerge w:val="continue"/>
                  <w:tcBorders>
                    <w:tl2br w:val="nil"/>
                    <w:tr2bl w:val="nil"/>
                  </w:tcBorders>
                  <w:noWrap w:val="0"/>
                  <w:vAlign w:val="center"/>
                </w:tcPr>
                <w:p w14:paraId="79D5E7C6">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476" w:type="pct"/>
                  <w:tcBorders>
                    <w:tl2br w:val="nil"/>
                    <w:tr2bl w:val="nil"/>
                  </w:tcBorders>
                  <w:noWrap w:val="0"/>
                  <w:vAlign w:val="center"/>
                </w:tcPr>
                <w:p w14:paraId="591213B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声压级</w:t>
                  </w:r>
                  <w:r>
                    <w:rPr>
                      <w:rStyle w:val="59"/>
                      <w:rFonts w:hint="default" w:ascii="Times New Roman" w:hAnsi="Times New Roman" w:eastAsia="宋体" w:cs="Times New Roman"/>
                      <w:color w:val="auto"/>
                      <w:lang w:val="en-US" w:eastAsia="zh-CN" w:bidi="ar"/>
                    </w:rPr>
                    <w:t>/dB(A)</w:t>
                  </w:r>
                </w:p>
              </w:tc>
              <w:tc>
                <w:tcPr>
                  <w:tcW w:w="330" w:type="pct"/>
                  <w:tcBorders>
                    <w:tl2br w:val="nil"/>
                    <w:tr2bl w:val="nil"/>
                  </w:tcBorders>
                  <w:noWrap w:val="0"/>
                  <w:vAlign w:val="center"/>
                </w:tcPr>
                <w:p w14:paraId="5A3A5A7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w:t>
                  </w:r>
                  <w:r>
                    <w:rPr>
                      <w:rStyle w:val="58"/>
                      <w:rFonts w:hint="default" w:ascii="Times New Roman" w:hAnsi="Times New Roman" w:cs="Times New Roman"/>
                      <w:color w:val="auto"/>
                      <w:lang w:val="en-US" w:eastAsia="zh-CN" w:bidi="ar"/>
                    </w:rPr>
                    <w:t>筑物外距离</w:t>
                  </w:r>
                </w:p>
              </w:tc>
            </w:tr>
            <w:tr w14:paraId="1C273C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0" w:hRule="atLeast"/>
                <w:jc w:val="center"/>
              </w:trPr>
              <w:tc>
                <w:tcPr>
                  <w:tcW w:w="414" w:type="pct"/>
                  <w:vMerge w:val="restart"/>
                  <w:tcBorders>
                    <w:tl2br w:val="nil"/>
                    <w:tr2bl w:val="nil"/>
                  </w:tcBorders>
                  <w:noWrap w:val="0"/>
                  <w:vAlign w:val="center"/>
                </w:tcPr>
                <w:p w14:paraId="682728A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cs="Times New Roman"/>
                      <w:i w:val="0"/>
                      <w:iCs w:val="0"/>
                      <w:color w:val="auto"/>
                      <w:kern w:val="0"/>
                      <w:sz w:val="21"/>
                      <w:szCs w:val="21"/>
                      <w:u w:val="none"/>
                      <w:lang w:val="en-US" w:eastAsia="zh-CN" w:bidi="ar"/>
                    </w:rPr>
                    <w:t>2号车间</w:t>
                  </w:r>
                </w:p>
              </w:tc>
              <w:tc>
                <w:tcPr>
                  <w:tcW w:w="442" w:type="pct"/>
                  <w:tcBorders>
                    <w:tl2br w:val="nil"/>
                    <w:tr2bl w:val="nil"/>
                  </w:tcBorders>
                  <w:noWrap w:val="0"/>
                  <w:vAlign w:val="center"/>
                </w:tcPr>
                <w:p w14:paraId="47C9059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sz w:val="21"/>
                      <w:szCs w:val="21"/>
                      <w:u w:val="none"/>
                      <w:lang w:val="en-US" w:eastAsia="zh-CN"/>
                    </w:rPr>
                    <w:t>混料机</w:t>
                  </w:r>
                </w:p>
              </w:tc>
              <w:tc>
                <w:tcPr>
                  <w:tcW w:w="418" w:type="pct"/>
                  <w:tcBorders>
                    <w:tl2br w:val="nil"/>
                    <w:tr2bl w:val="nil"/>
                  </w:tcBorders>
                  <w:noWrap w:val="0"/>
                  <w:vAlign w:val="center"/>
                </w:tcPr>
                <w:p w14:paraId="7D9D90C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85</w:t>
                  </w:r>
                </w:p>
              </w:tc>
              <w:tc>
                <w:tcPr>
                  <w:tcW w:w="349" w:type="pct"/>
                  <w:vMerge w:val="restart"/>
                  <w:tcBorders>
                    <w:tl2br w:val="nil"/>
                    <w:tr2bl w:val="nil"/>
                  </w:tcBorders>
                  <w:noWrap w:val="0"/>
                  <w:vAlign w:val="center"/>
                </w:tcPr>
                <w:p w14:paraId="182B220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19"/>
                      <w:szCs w:val="19"/>
                      <w:u w:val="none"/>
                    </w:rPr>
                  </w:pPr>
                  <w:r>
                    <w:rPr>
                      <w:rStyle w:val="60"/>
                      <w:rFonts w:hint="default" w:ascii="Times New Roman" w:hAnsi="Times New Roman" w:cs="Times New Roman"/>
                      <w:color w:val="auto"/>
                      <w:lang w:val="en-US" w:eastAsia="zh-CN" w:bidi="ar"/>
                    </w:rPr>
                    <w:t>隔声、减振</w:t>
                  </w:r>
                </w:p>
              </w:tc>
              <w:tc>
                <w:tcPr>
                  <w:tcW w:w="296" w:type="pct"/>
                  <w:tcBorders>
                    <w:tl2br w:val="nil"/>
                    <w:tr2bl w:val="nil"/>
                  </w:tcBorders>
                  <w:noWrap w:val="0"/>
                  <w:vAlign w:val="center"/>
                </w:tcPr>
                <w:p w14:paraId="2CFECD0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-2</w:t>
                  </w:r>
                </w:p>
              </w:tc>
              <w:tc>
                <w:tcPr>
                  <w:tcW w:w="321" w:type="pct"/>
                  <w:tcBorders>
                    <w:tl2br w:val="nil"/>
                    <w:tr2bl w:val="nil"/>
                  </w:tcBorders>
                  <w:noWrap w:val="0"/>
                  <w:vAlign w:val="center"/>
                </w:tcPr>
                <w:p w14:paraId="304E272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sz w:val="21"/>
                      <w:szCs w:val="21"/>
                      <w:u w:val="none"/>
                      <w:lang w:val="en-US" w:eastAsia="zh-CN"/>
                    </w:rPr>
                    <w:t>25</w:t>
                  </w:r>
                </w:p>
              </w:tc>
              <w:tc>
                <w:tcPr>
                  <w:tcW w:w="331" w:type="pct"/>
                  <w:tcBorders>
                    <w:tl2br w:val="nil"/>
                    <w:tr2bl w:val="nil"/>
                  </w:tcBorders>
                  <w:noWrap w:val="0"/>
                  <w:vAlign w:val="center"/>
                </w:tcPr>
                <w:p w14:paraId="1C9BF10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sz w:val="21"/>
                      <w:szCs w:val="21"/>
                      <w:u w:val="none"/>
                      <w:lang w:val="en-US" w:eastAsia="zh-CN"/>
                    </w:rPr>
                    <w:t>5</w:t>
                  </w:r>
                </w:p>
              </w:tc>
              <w:tc>
                <w:tcPr>
                  <w:tcW w:w="323" w:type="pct"/>
                  <w:tcBorders>
                    <w:tl2br w:val="nil"/>
                    <w:tr2bl w:val="nil"/>
                  </w:tcBorders>
                  <w:noWrap w:val="0"/>
                  <w:vAlign w:val="center"/>
                </w:tcPr>
                <w:p w14:paraId="73C96D2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w:t>
                  </w:r>
                </w:p>
              </w:tc>
              <w:tc>
                <w:tcPr>
                  <w:tcW w:w="476" w:type="pct"/>
                  <w:tcBorders>
                    <w:tl2br w:val="nil"/>
                    <w:tr2bl w:val="nil"/>
                  </w:tcBorders>
                  <w:noWrap w:val="0"/>
                  <w:vAlign w:val="center"/>
                </w:tcPr>
                <w:p w14:paraId="6F73298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80</w:t>
                  </w:r>
                </w:p>
              </w:tc>
              <w:tc>
                <w:tcPr>
                  <w:tcW w:w="323" w:type="pct"/>
                  <w:vMerge w:val="restart"/>
                  <w:tcBorders>
                    <w:tl2br w:val="nil"/>
                    <w:tr2bl w:val="nil"/>
                  </w:tcBorders>
                  <w:noWrap w:val="0"/>
                  <w:vAlign w:val="center"/>
                </w:tcPr>
                <w:p w14:paraId="4BA115F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连</w:t>
                  </w:r>
                  <w:r>
                    <w:rPr>
                      <w:rStyle w:val="58"/>
                      <w:rFonts w:hint="default" w:ascii="Times New Roman" w:hAnsi="Times New Roman" w:cs="Times New Roman"/>
                      <w:color w:val="auto"/>
                      <w:lang w:val="en-US" w:eastAsia="zh-CN" w:bidi="ar"/>
                    </w:rPr>
                    <w:t>续运行</w:t>
                  </w:r>
                </w:p>
              </w:tc>
              <w:tc>
                <w:tcPr>
                  <w:tcW w:w="497" w:type="pct"/>
                  <w:tcBorders>
                    <w:tl2br w:val="nil"/>
                    <w:tr2bl w:val="nil"/>
                  </w:tcBorders>
                  <w:noWrap w:val="0"/>
                  <w:vAlign w:val="center"/>
                </w:tcPr>
                <w:p w14:paraId="316BBCA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w:t>
                  </w:r>
                </w:p>
              </w:tc>
              <w:tc>
                <w:tcPr>
                  <w:tcW w:w="476" w:type="pct"/>
                  <w:tcBorders>
                    <w:tl2br w:val="nil"/>
                    <w:tr2bl w:val="nil"/>
                  </w:tcBorders>
                  <w:noWrap w:val="0"/>
                  <w:vAlign w:val="center"/>
                </w:tcPr>
                <w:p w14:paraId="03FE4BE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65</w:t>
                  </w:r>
                </w:p>
              </w:tc>
              <w:tc>
                <w:tcPr>
                  <w:tcW w:w="330" w:type="pct"/>
                  <w:tcBorders>
                    <w:tl2br w:val="nil"/>
                    <w:tr2bl w:val="nil"/>
                  </w:tcBorders>
                  <w:noWrap w:val="0"/>
                  <w:vAlign w:val="center"/>
                </w:tcPr>
                <w:p w14:paraId="14A5C3F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w:t>
                  </w:r>
                </w:p>
              </w:tc>
            </w:tr>
            <w:tr w14:paraId="031FEC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0" w:hRule="atLeast"/>
                <w:jc w:val="center"/>
              </w:trPr>
              <w:tc>
                <w:tcPr>
                  <w:tcW w:w="414" w:type="pct"/>
                  <w:vMerge w:val="continue"/>
                  <w:tcBorders>
                    <w:tl2br w:val="nil"/>
                    <w:tr2bl w:val="nil"/>
                  </w:tcBorders>
                  <w:noWrap w:val="0"/>
                  <w:vAlign w:val="center"/>
                </w:tcPr>
                <w:p w14:paraId="13FF2D28">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442" w:type="pct"/>
                  <w:tcBorders>
                    <w:tl2br w:val="nil"/>
                    <w:tr2bl w:val="nil"/>
                  </w:tcBorders>
                  <w:noWrap w:val="0"/>
                  <w:vAlign w:val="center"/>
                </w:tcPr>
                <w:p w14:paraId="771B65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sz w:val="21"/>
                      <w:szCs w:val="21"/>
                      <w:u w:val="none"/>
                      <w:lang w:val="en-US" w:eastAsia="zh-CN"/>
                    </w:rPr>
                    <w:t>气流磨</w:t>
                  </w:r>
                </w:p>
              </w:tc>
              <w:tc>
                <w:tcPr>
                  <w:tcW w:w="418" w:type="pct"/>
                  <w:tcBorders>
                    <w:tl2br w:val="nil"/>
                    <w:tr2bl w:val="nil"/>
                  </w:tcBorders>
                  <w:noWrap w:val="0"/>
                  <w:vAlign w:val="center"/>
                </w:tcPr>
                <w:p w14:paraId="46B29DA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sz w:val="21"/>
                      <w:szCs w:val="21"/>
                      <w:u w:val="none"/>
                      <w:lang w:val="en-US" w:eastAsia="zh-CN"/>
                    </w:rPr>
                    <w:t>75</w:t>
                  </w:r>
                </w:p>
              </w:tc>
              <w:tc>
                <w:tcPr>
                  <w:tcW w:w="349" w:type="pct"/>
                  <w:vMerge w:val="continue"/>
                  <w:tcBorders>
                    <w:tl2br w:val="nil"/>
                    <w:tr2bl w:val="nil"/>
                  </w:tcBorders>
                  <w:noWrap w:val="0"/>
                  <w:vAlign w:val="center"/>
                </w:tcPr>
                <w:p w14:paraId="6D05702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19"/>
                      <w:szCs w:val="19"/>
                      <w:u w:val="none"/>
                    </w:rPr>
                  </w:pPr>
                </w:p>
              </w:tc>
              <w:tc>
                <w:tcPr>
                  <w:tcW w:w="296" w:type="pct"/>
                  <w:tcBorders>
                    <w:tl2br w:val="nil"/>
                    <w:tr2bl w:val="nil"/>
                  </w:tcBorders>
                  <w:noWrap w:val="0"/>
                  <w:vAlign w:val="center"/>
                </w:tcPr>
                <w:p w14:paraId="3D3680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-8</w:t>
                  </w:r>
                </w:p>
              </w:tc>
              <w:tc>
                <w:tcPr>
                  <w:tcW w:w="321" w:type="pct"/>
                  <w:tcBorders>
                    <w:tl2br w:val="nil"/>
                    <w:tr2bl w:val="nil"/>
                  </w:tcBorders>
                  <w:noWrap w:val="0"/>
                  <w:vAlign w:val="center"/>
                </w:tcPr>
                <w:p w14:paraId="6AC0D8A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sz w:val="21"/>
                      <w:szCs w:val="21"/>
                      <w:u w:val="none"/>
                      <w:lang w:val="en-US" w:eastAsia="zh-CN"/>
                    </w:rPr>
                    <w:t>0</w:t>
                  </w:r>
                </w:p>
              </w:tc>
              <w:tc>
                <w:tcPr>
                  <w:tcW w:w="331" w:type="pct"/>
                  <w:tcBorders>
                    <w:tl2br w:val="nil"/>
                    <w:tr2bl w:val="nil"/>
                  </w:tcBorders>
                  <w:noWrap w:val="0"/>
                  <w:vAlign w:val="center"/>
                </w:tcPr>
                <w:p w14:paraId="7949628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sz w:val="21"/>
                      <w:szCs w:val="21"/>
                      <w:u w:val="none"/>
                      <w:lang w:val="en-US" w:eastAsia="zh-CN"/>
                    </w:rPr>
                    <w:t>5</w:t>
                  </w:r>
                </w:p>
              </w:tc>
              <w:tc>
                <w:tcPr>
                  <w:tcW w:w="323" w:type="pct"/>
                  <w:tcBorders>
                    <w:tl2br w:val="nil"/>
                    <w:tr2bl w:val="nil"/>
                  </w:tcBorders>
                  <w:noWrap w:val="0"/>
                  <w:vAlign w:val="center"/>
                </w:tcPr>
                <w:p w14:paraId="0D19B9D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w:t>
                  </w:r>
                </w:p>
              </w:tc>
              <w:tc>
                <w:tcPr>
                  <w:tcW w:w="476" w:type="pct"/>
                  <w:tcBorders>
                    <w:tl2br w:val="nil"/>
                    <w:tr2bl w:val="nil"/>
                  </w:tcBorders>
                  <w:noWrap w:val="0"/>
                  <w:vAlign w:val="center"/>
                </w:tcPr>
                <w:p w14:paraId="439DA5B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sz w:val="21"/>
                      <w:szCs w:val="21"/>
                      <w:u w:val="none"/>
                      <w:lang w:val="en-US" w:eastAsia="zh-CN"/>
                    </w:rPr>
                    <w:t>70</w:t>
                  </w:r>
                </w:p>
              </w:tc>
              <w:tc>
                <w:tcPr>
                  <w:tcW w:w="323" w:type="pct"/>
                  <w:vMerge w:val="continue"/>
                  <w:tcBorders>
                    <w:tl2br w:val="nil"/>
                    <w:tr2bl w:val="nil"/>
                  </w:tcBorders>
                  <w:noWrap w:val="0"/>
                  <w:vAlign w:val="center"/>
                </w:tcPr>
                <w:p w14:paraId="10D5286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p>
              </w:tc>
              <w:tc>
                <w:tcPr>
                  <w:tcW w:w="497" w:type="pct"/>
                  <w:tcBorders>
                    <w:tl2br w:val="nil"/>
                    <w:tr2bl w:val="nil"/>
                  </w:tcBorders>
                  <w:noWrap w:val="0"/>
                  <w:vAlign w:val="center"/>
                </w:tcPr>
                <w:p w14:paraId="2A95808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w:t>
                  </w:r>
                </w:p>
              </w:tc>
              <w:tc>
                <w:tcPr>
                  <w:tcW w:w="476" w:type="pct"/>
                  <w:tcBorders>
                    <w:tl2br w:val="nil"/>
                    <w:tr2bl w:val="nil"/>
                  </w:tcBorders>
                  <w:noWrap w:val="0"/>
                  <w:vAlign w:val="center"/>
                </w:tcPr>
                <w:p w14:paraId="579587C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5</w:t>
                  </w:r>
                  <w:r>
                    <w:rPr>
                      <w:rFonts w:hint="default" w:ascii="Times New Roman" w:hAnsi="Times New Roman" w:eastAsia="宋体" w:cs="Times New Roman"/>
                      <w:i w:val="0"/>
                      <w:iCs w:val="0"/>
                      <w:color w:val="auto"/>
                      <w:kern w:val="0"/>
                      <w:sz w:val="21"/>
                      <w:szCs w:val="21"/>
                      <w:u w:val="none"/>
                      <w:lang w:val="en-US" w:eastAsia="zh-CN" w:bidi="ar"/>
                    </w:rPr>
                    <w:t>5</w:t>
                  </w:r>
                </w:p>
              </w:tc>
              <w:tc>
                <w:tcPr>
                  <w:tcW w:w="330" w:type="pct"/>
                  <w:tcBorders>
                    <w:tl2br w:val="nil"/>
                    <w:tr2bl w:val="nil"/>
                  </w:tcBorders>
                  <w:noWrap w:val="0"/>
                  <w:vAlign w:val="center"/>
                </w:tcPr>
                <w:p w14:paraId="5ABA72C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w:t>
                  </w:r>
                </w:p>
              </w:tc>
            </w:tr>
            <w:tr w14:paraId="3FD7BC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414" w:type="pct"/>
                  <w:vMerge w:val="restart"/>
                  <w:tcBorders>
                    <w:tl2br w:val="nil"/>
                    <w:tr2bl w:val="nil"/>
                  </w:tcBorders>
                  <w:noWrap w:val="0"/>
                  <w:vAlign w:val="center"/>
                </w:tcPr>
                <w:p w14:paraId="1D3B8D5A">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cs="Times New Roman"/>
                      <w:i w:val="0"/>
                      <w:iCs w:val="0"/>
                      <w:color w:val="auto"/>
                      <w:sz w:val="21"/>
                      <w:szCs w:val="21"/>
                      <w:u w:val="none"/>
                      <w:lang w:val="en-US" w:eastAsia="zh-CN"/>
                    </w:rPr>
                    <w:t>1号车间</w:t>
                  </w:r>
                </w:p>
              </w:tc>
              <w:tc>
                <w:tcPr>
                  <w:tcW w:w="442" w:type="pct"/>
                  <w:tcBorders>
                    <w:tl2br w:val="nil"/>
                    <w:tr2bl w:val="nil"/>
                  </w:tcBorders>
                  <w:noWrap w:val="0"/>
                  <w:vAlign w:val="center"/>
                </w:tcPr>
                <w:p w14:paraId="45E7080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搅拌机</w:t>
                  </w:r>
                </w:p>
              </w:tc>
              <w:tc>
                <w:tcPr>
                  <w:tcW w:w="418" w:type="pct"/>
                  <w:tcBorders>
                    <w:tl2br w:val="nil"/>
                    <w:tr2bl w:val="nil"/>
                  </w:tcBorders>
                  <w:noWrap w:val="0"/>
                  <w:vAlign w:val="center"/>
                </w:tcPr>
                <w:p w14:paraId="31A7457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85</w:t>
                  </w:r>
                </w:p>
              </w:tc>
              <w:tc>
                <w:tcPr>
                  <w:tcW w:w="349" w:type="pct"/>
                  <w:vMerge w:val="continue"/>
                  <w:tcBorders>
                    <w:tl2br w:val="nil"/>
                    <w:tr2bl w:val="nil"/>
                  </w:tcBorders>
                  <w:noWrap w:val="0"/>
                  <w:vAlign w:val="center"/>
                </w:tcPr>
                <w:p w14:paraId="608C726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19"/>
                      <w:szCs w:val="19"/>
                      <w:u w:val="none"/>
                    </w:rPr>
                  </w:pPr>
                </w:p>
              </w:tc>
              <w:tc>
                <w:tcPr>
                  <w:tcW w:w="296" w:type="pct"/>
                  <w:tcBorders>
                    <w:tl2br w:val="nil"/>
                    <w:tr2bl w:val="nil"/>
                  </w:tcBorders>
                  <w:noWrap w:val="0"/>
                  <w:vAlign w:val="center"/>
                </w:tcPr>
                <w:p w14:paraId="5F4FE41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17</w:t>
                  </w:r>
                </w:p>
              </w:tc>
              <w:tc>
                <w:tcPr>
                  <w:tcW w:w="321" w:type="pct"/>
                  <w:tcBorders>
                    <w:tl2br w:val="nil"/>
                    <w:tr2bl w:val="nil"/>
                  </w:tcBorders>
                  <w:noWrap w:val="0"/>
                  <w:vAlign w:val="center"/>
                </w:tcPr>
                <w:p w14:paraId="0AD9FA8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2</w:t>
                  </w:r>
                </w:p>
              </w:tc>
              <w:tc>
                <w:tcPr>
                  <w:tcW w:w="331" w:type="pct"/>
                  <w:tcBorders>
                    <w:tl2br w:val="nil"/>
                    <w:tr2bl w:val="nil"/>
                  </w:tcBorders>
                  <w:noWrap w:val="0"/>
                  <w:vAlign w:val="center"/>
                </w:tcPr>
                <w:p w14:paraId="4DBAF3A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5</w:t>
                  </w:r>
                </w:p>
              </w:tc>
              <w:tc>
                <w:tcPr>
                  <w:tcW w:w="323" w:type="pct"/>
                  <w:tcBorders>
                    <w:tl2br w:val="nil"/>
                    <w:tr2bl w:val="nil"/>
                  </w:tcBorders>
                  <w:noWrap w:val="0"/>
                  <w:vAlign w:val="center"/>
                </w:tcPr>
                <w:p w14:paraId="3A223EE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5</w:t>
                  </w:r>
                </w:p>
              </w:tc>
              <w:tc>
                <w:tcPr>
                  <w:tcW w:w="476" w:type="pct"/>
                  <w:tcBorders>
                    <w:tl2br w:val="nil"/>
                    <w:tr2bl w:val="nil"/>
                  </w:tcBorders>
                  <w:noWrap w:val="0"/>
                  <w:vAlign w:val="center"/>
                </w:tcPr>
                <w:p w14:paraId="2DDC12C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80</w:t>
                  </w:r>
                </w:p>
              </w:tc>
              <w:tc>
                <w:tcPr>
                  <w:tcW w:w="323" w:type="pct"/>
                  <w:vMerge w:val="continue"/>
                  <w:tcBorders>
                    <w:tl2br w:val="nil"/>
                    <w:tr2bl w:val="nil"/>
                  </w:tcBorders>
                  <w:noWrap w:val="0"/>
                  <w:vAlign w:val="center"/>
                </w:tcPr>
                <w:p w14:paraId="2DC2CCA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p>
              </w:tc>
              <w:tc>
                <w:tcPr>
                  <w:tcW w:w="497" w:type="pct"/>
                  <w:tcBorders>
                    <w:tl2br w:val="nil"/>
                    <w:tr2bl w:val="nil"/>
                  </w:tcBorders>
                  <w:noWrap w:val="0"/>
                  <w:vAlign w:val="center"/>
                </w:tcPr>
                <w:p w14:paraId="2FCC0AC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15</w:t>
                  </w:r>
                </w:p>
              </w:tc>
              <w:tc>
                <w:tcPr>
                  <w:tcW w:w="476" w:type="pct"/>
                  <w:tcBorders>
                    <w:tl2br w:val="nil"/>
                    <w:tr2bl w:val="nil"/>
                  </w:tcBorders>
                  <w:noWrap w:val="0"/>
                  <w:vAlign w:val="center"/>
                </w:tcPr>
                <w:p w14:paraId="316A0A0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65</w:t>
                  </w:r>
                </w:p>
              </w:tc>
              <w:tc>
                <w:tcPr>
                  <w:tcW w:w="330" w:type="pct"/>
                  <w:tcBorders>
                    <w:tl2br w:val="nil"/>
                    <w:tr2bl w:val="nil"/>
                  </w:tcBorders>
                  <w:noWrap w:val="0"/>
                  <w:vAlign w:val="center"/>
                </w:tcPr>
                <w:p w14:paraId="7163C14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5</w:t>
                  </w:r>
                </w:p>
              </w:tc>
            </w:tr>
            <w:tr w14:paraId="63F29A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jc w:val="center"/>
              </w:trPr>
              <w:tc>
                <w:tcPr>
                  <w:tcW w:w="414" w:type="pct"/>
                  <w:vMerge w:val="continue"/>
                  <w:tcBorders>
                    <w:tl2br w:val="nil"/>
                    <w:tr2bl w:val="nil"/>
                  </w:tcBorders>
                  <w:noWrap w:val="0"/>
                  <w:vAlign w:val="center"/>
                </w:tcPr>
                <w:p w14:paraId="2EFF54C3">
                  <w:pPr>
                    <w:keepNext w:val="0"/>
                    <w:keepLines w:val="0"/>
                    <w:pageBreakBefore w:val="0"/>
                    <w:widowControl/>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442" w:type="pct"/>
                  <w:tcBorders>
                    <w:tl2br w:val="nil"/>
                    <w:tr2bl w:val="nil"/>
                  </w:tcBorders>
                  <w:noWrap w:val="0"/>
                  <w:vAlign w:val="center"/>
                </w:tcPr>
                <w:p w14:paraId="75747C3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砂磨机</w:t>
                  </w:r>
                </w:p>
              </w:tc>
              <w:tc>
                <w:tcPr>
                  <w:tcW w:w="418" w:type="pct"/>
                  <w:tcBorders>
                    <w:tl2br w:val="nil"/>
                    <w:tr2bl w:val="nil"/>
                  </w:tcBorders>
                  <w:noWrap w:val="0"/>
                  <w:vAlign w:val="center"/>
                </w:tcPr>
                <w:p w14:paraId="1AAB1AF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75</w:t>
                  </w:r>
                </w:p>
              </w:tc>
              <w:tc>
                <w:tcPr>
                  <w:tcW w:w="349" w:type="pct"/>
                  <w:vMerge w:val="continue"/>
                  <w:tcBorders>
                    <w:tl2br w:val="nil"/>
                    <w:tr2bl w:val="nil"/>
                  </w:tcBorders>
                  <w:noWrap w:val="0"/>
                  <w:vAlign w:val="center"/>
                </w:tcPr>
                <w:p w14:paraId="0371AB9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19"/>
                      <w:szCs w:val="19"/>
                      <w:u w:val="none"/>
                    </w:rPr>
                  </w:pPr>
                </w:p>
              </w:tc>
              <w:tc>
                <w:tcPr>
                  <w:tcW w:w="296" w:type="pct"/>
                  <w:tcBorders>
                    <w:tl2br w:val="nil"/>
                    <w:tr2bl w:val="nil"/>
                  </w:tcBorders>
                  <w:noWrap w:val="0"/>
                  <w:vAlign w:val="center"/>
                </w:tcPr>
                <w:p w14:paraId="4A2D44D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17</w:t>
                  </w:r>
                </w:p>
              </w:tc>
              <w:tc>
                <w:tcPr>
                  <w:tcW w:w="321" w:type="pct"/>
                  <w:tcBorders>
                    <w:tl2br w:val="nil"/>
                    <w:tr2bl w:val="nil"/>
                  </w:tcBorders>
                  <w:noWrap w:val="0"/>
                  <w:vAlign w:val="center"/>
                </w:tcPr>
                <w:p w14:paraId="5A26E62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-2</w:t>
                  </w:r>
                </w:p>
              </w:tc>
              <w:tc>
                <w:tcPr>
                  <w:tcW w:w="331" w:type="pct"/>
                  <w:tcBorders>
                    <w:tl2br w:val="nil"/>
                    <w:tr2bl w:val="nil"/>
                  </w:tcBorders>
                  <w:noWrap w:val="0"/>
                  <w:vAlign w:val="center"/>
                </w:tcPr>
                <w:p w14:paraId="16833D5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5</w:t>
                  </w:r>
                </w:p>
              </w:tc>
              <w:tc>
                <w:tcPr>
                  <w:tcW w:w="323" w:type="pct"/>
                  <w:tcBorders>
                    <w:tl2br w:val="nil"/>
                    <w:tr2bl w:val="nil"/>
                  </w:tcBorders>
                  <w:noWrap w:val="0"/>
                  <w:vAlign w:val="center"/>
                </w:tcPr>
                <w:p w14:paraId="7864EC0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5</w:t>
                  </w:r>
                </w:p>
              </w:tc>
              <w:tc>
                <w:tcPr>
                  <w:tcW w:w="476" w:type="pct"/>
                  <w:tcBorders>
                    <w:tl2br w:val="nil"/>
                    <w:tr2bl w:val="nil"/>
                  </w:tcBorders>
                  <w:noWrap w:val="0"/>
                  <w:vAlign w:val="center"/>
                </w:tcPr>
                <w:p w14:paraId="4071566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70</w:t>
                  </w:r>
                </w:p>
              </w:tc>
              <w:tc>
                <w:tcPr>
                  <w:tcW w:w="323" w:type="pct"/>
                  <w:vMerge w:val="continue"/>
                  <w:tcBorders>
                    <w:tl2br w:val="nil"/>
                    <w:tr2bl w:val="nil"/>
                  </w:tcBorders>
                  <w:noWrap w:val="0"/>
                  <w:vAlign w:val="center"/>
                </w:tcPr>
                <w:p w14:paraId="00C1B88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p>
              </w:tc>
              <w:tc>
                <w:tcPr>
                  <w:tcW w:w="497" w:type="pct"/>
                  <w:tcBorders>
                    <w:tl2br w:val="nil"/>
                    <w:tr2bl w:val="nil"/>
                  </w:tcBorders>
                  <w:noWrap w:val="0"/>
                  <w:vAlign w:val="center"/>
                </w:tcPr>
                <w:p w14:paraId="75E76A9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15</w:t>
                  </w:r>
                </w:p>
              </w:tc>
              <w:tc>
                <w:tcPr>
                  <w:tcW w:w="476" w:type="pct"/>
                  <w:tcBorders>
                    <w:tl2br w:val="nil"/>
                    <w:tr2bl w:val="nil"/>
                  </w:tcBorders>
                  <w:noWrap w:val="0"/>
                  <w:vAlign w:val="center"/>
                </w:tcPr>
                <w:p w14:paraId="348C69D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55</w:t>
                  </w:r>
                </w:p>
              </w:tc>
              <w:tc>
                <w:tcPr>
                  <w:tcW w:w="330" w:type="pct"/>
                  <w:tcBorders>
                    <w:tl2br w:val="nil"/>
                    <w:tr2bl w:val="nil"/>
                  </w:tcBorders>
                  <w:noWrap w:val="0"/>
                  <w:vAlign w:val="center"/>
                </w:tcPr>
                <w:p w14:paraId="5D94473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5</w:t>
                  </w:r>
                </w:p>
              </w:tc>
            </w:tr>
          </w:tbl>
          <w:p w14:paraId="058A90B6">
            <w:pPr>
              <w:spacing w:before="40" w:line="219" w:lineRule="auto"/>
              <w:ind w:left="114" w:firstLine="468"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sz w:val="24"/>
                <w:szCs w:val="24"/>
              </w:rPr>
              <w:t>企业拟采取以下相应的污染防治措施：</w:t>
            </w:r>
          </w:p>
          <w:p w14:paraId="2BC407C3">
            <w:pPr>
              <w:spacing w:before="182" w:line="220" w:lineRule="auto"/>
              <w:ind w:left="607"/>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lang w:val="en-US" w:eastAsia="zh-CN"/>
              </w:rPr>
              <w:t>1</w:t>
            </w:r>
            <w:r>
              <w:rPr>
                <w:rFonts w:hint="default" w:ascii="Times New Roman" w:hAnsi="Times New Roman" w:eastAsia="宋体" w:cs="Times New Roman"/>
                <w:color w:val="auto"/>
                <w:spacing w:val="-2"/>
                <w:sz w:val="24"/>
                <w:szCs w:val="24"/>
                <w:lang w:eastAsia="zh-CN"/>
              </w:rPr>
              <w:t>）</w:t>
            </w:r>
            <w:r>
              <w:rPr>
                <w:rFonts w:hint="default" w:ascii="Times New Roman" w:hAnsi="Times New Roman" w:eastAsia="宋体" w:cs="Times New Roman"/>
                <w:color w:val="auto"/>
                <w:spacing w:val="-2"/>
                <w:sz w:val="24"/>
                <w:szCs w:val="24"/>
              </w:rPr>
              <w:t>尽量选用低噪声设备；在噪声级较高的设备上加装消音</w:t>
            </w:r>
            <w:r>
              <w:rPr>
                <w:rFonts w:hint="default" w:ascii="Times New Roman" w:hAnsi="Times New Roman" w:eastAsia="宋体" w:cs="Times New Roman"/>
                <w:color w:val="auto"/>
                <w:spacing w:val="-1"/>
                <w:sz w:val="24"/>
                <w:szCs w:val="24"/>
              </w:rPr>
              <w:t>、隔音装置。</w:t>
            </w:r>
          </w:p>
          <w:p w14:paraId="344E3D5A">
            <w:pPr>
              <w:spacing w:before="180" w:line="359" w:lineRule="auto"/>
              <w:ind w:left="135" w:right="33" w:firstLine="448"/>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4"/>
                <w:sz w:val="24"/>
                <w:szCs w:val="24"/>
                <w:lang w:eastAsia="zh-CN"/>
              </w:rPr>
              <w:t>（</w:t>
            </w:r>
            <w:r>
              <w:rPr>
                <w:rFonts w:hint="default" w:ascii="Times New Roman" w:hAnsi="Times New Roman" w:eastAsia="宋体" w:cs="Times New Roman"/>
                <w:color w:val="auto"/>
                <w:spacing w:val="-14"/>
                <w:sz w:val="24"/>
                <w:szCs w:val="24"/>
                <w:lang w:val="en-US" w:eastAsia="zh-CN"/>
              </w:rPr>
              <w:t>2</w:t>
            </w:r>
            <w:r>
              <w:rPr>
                <w:rFonts w:hint="default" w:ascii="Times New Roman" w:hAnsi="Times New Roman" w:eastAsia="宋体" w:cs="Times New Roman"/>
                <w:color w:val="auto"/>
                <w:spacing w:val="-14"/>
                <w:sz w:val="24"/>
                <w:szCs w:val="24"/>
                <w:lang w:eastAsia="zh-CN"/>
              </w:rPr>
              <w:t>）</w:t>
            </w:r>
            <w:r>
              <w:rPr>
                <w:rFonts w:hint="default" w:ascii="Times New Roman" w:hAnsi="Times New Roman" w:eastAsia="宋体" w:cs="Times New Roman"/>
                <w:color w:val="auto"/>
                <w:spacing w:val="-14"/>
                <w:sz w:val="24"/>
                <w:szCs w:val="24"/>
              </w:rPr>
              <w:t>在</w:t>
            </w:r>
            <w:r>
              <w:rPr>
                <w:rFonts w:hint="default" w:ascii="Times New Roman" w:hAnsi="Times New Roman" w:eastAsia="宋体" w:cs="Times New Roman"/>
                <w:color w:val="auto"/>
                <w:spacing w:val="-12"/>
                <w:sz w:val="24"/>
                <w:szCs w:val="24"/>
              </w:rPr>
              <w:t>设</w:t>
            </w:r>
            <w:r>
              <w:rPr>
                <w:rFonts w:hint="default" w:ascii="Times New Roman" w:hAnsi="Times New Roman" w:eastAsia="宋体" w:cs="Times New Roman"/>
                <w:color w:val="auto"/>
                <w:spacing w:val="-7"/>
                <w:sz w:val="24"/>
                <w:szCs w:val="24"/>
              </w:rPr>
              <w:t>备、管道安装设计中，应注意隔震、防震、防冲击。注意改善气体输送状况，</w:t>
            </w:r>
            <w:r>
              <w:rPr>
                <w:rFonts w:hint="default" w:ascii="Times New Roman" w:hAnsi="Times New Roman" w:eastAsia="宋体" w:cs="Times New Roman"/>
                <w:color w:val="auto"/>
                <w:spacing w:val="-11"/>
                <w:sz w:val="24"/>
                <w:szCs w:val="24"/>
              </w:rPr>
              <w:t>以</w:t>
            </w:r>
            <w:r>
              <w:rPr>
                <w:rFonts w:hint="default" w:ascii="Times New Roman" w:hAnsi="Times New Roman" w:eastAsia="宋体" w:cs="Times New Roman"/>
                <w:color w:val="auto"/>
                <w:spacing w:val="-6"/>
                <w:sz w:val="24"/>
                <w:szCs w:val="24"/>
              </w:rPr>
              <w:t>减少气体动力噪声。</w:t>
            </w:r>
          </w:p>
          <w:p w14:paraId="0DA7C332">
            <w:pPr>
              <w:spacing w:before="1" w:line="356" w:lineRule="auto"/>
              <w:ind w:left="110" w:right="102" w:firstLine="478"/>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lang w:eastAsia="zh-CN"/>
              </w:rPr>
              <w:t>（</w:t>
            </w:r>
            <w:r>
              <w:rPr>
                <w:rFonts w:hint="default" w:ascii="Times New Roman" w:hAnsi="Times New Roman" w:eastAsia="宋体" w:cs="Times New Roman"/>
                <w:color w:val="auto"/>
                <w:spacing w:val="-1"/>
                <w:sz w:val="24"/>
                <w:szCs w:val="24"/>
                <w:lang w:val="en-US" w:eastAsia="zh-CN"/>
              </w:rPr>
              <w:t>3</w:t>
            </w:r>
            <w:r>
              <w:rPr>
                <w:rFonts w:hint="default" w:ascii="Times New Roman" w:hAnsi="Times New Roman" w:eastAsia="宋体" w:cs="Times New Roman"/>
                <w:color w:val="auto"/>
                <w:spacing w:val="-1"/>
                <w:sz w:val="24"/>
                <w:szCs w:val="24"/>
                <w:lang w:eastAsia="zh-CN"/>
              </w:rPr>
              <w:t>）</w:t>
            </w:r>
            <w:r>
              <w:rPr>
                <w:rFonts w:hint="default" w:ascii="Times New Roman" w:hAnsi="Times New Roman" w:eastAsia="宋体" w:cs="Times New Roman"/>
                <w:color w:val="auto"/>
                <w:spacing w:val="-1"/>
                <w:sz w:val="24"/>
                <w:szCs w:val="24"/>
              </w:rPr>
              <w:t>厂区合理布局，噪声源尽量远离办公区</w:t>
            </w:r>
            <w:r>
              <w:rPr>
                <w:rFonts w:hint="default" w:ascii="Times New Roman" w:hAnsi="Times New Roman" w:eastAsia="宋体" w:cs="Times New Roman"/>
                <w:color w:val="auto"/>
                <w:sz w:val="24"/>
                <w:szCs w:val="24"/>
              </w:rPr>
              <w:t>。对噪声大的建筑物单独布置，与其他建</w:t>
            </w:r>
            <w:r>
              <w:rPr>
                <w:rFonts w:hint="default" w:ascii="Times New Roman" w:hAnsi="Times New Roman" w:eastAsia="宋体" w:cs="Times New Roman"/>
                <w:color w:val="auto"/>
                <w:spacing w:val="-4"/>
                <w:sz w:val="24"/>
                <w:szCs w:val="24"/>
              </w:rPr>
              <w:t>筑物间距</w:t>
            </w:r>
            <w:r>
              <w:rPr>
                <w:rFonts w:hint="default" w:ascii="Times New Roman" w:hAnsi="Times New Roman" w:eastAsia="宋体" w:cs="Times New Roman"/>
                <w:color w:val="auto"/>
                <w:spacing w:val="-2"/>
                <w:sz w:val="24"/>
                <w:szCs w:val="24"/>
              </w:rPr>
              <w:t>适当加大，以降低噪声的影响。</w:t>
            </w:r>
          </w:p>
          <w:p w14:paraId="18B89831">
            <w:pPr>
              <w:adjustRightInd w:val="0"/>
              <w:snapToGrid w:val="0"/>
              <w:spacing w:line="360" w:lineRule="exact"/>
              <w:ind w:firstLine="480"/>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3、声环境影响预测</w:t>
            </w:r>
          </w:p>
          <w:p w14:paraId="65CE28E9">
            <w:pPr>
              <w:spacing w:before="181" w:line="220" w:lineRule="auto"/>
              <w:ind w:left="607"/>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lang w:eastAsia="zh-CN"/>
              </w:rPr>
              <w:t>（</w:t>
            </w:r>
            <w:r>
              <w:rPr>
                <w:rFonts w:hint="default" w:ascii="Times New Roman" w:hAnsi="Times New Roman" w:eastAsia="宋体" w:cs="Times New Roman"/>
                <w:color w:val="auto"/>
                <w:spacing w:val="-6"/>
                <w:sz w:val="24"/>
                <w:szCs w:val="24"/>
                <w:lang w:val="en-US" w:eastAsia="zh-CN"/>
              </w:rPr>
              <w:t>一</w:t>
            </w:r>
            <w:r>
              <w:rPr>
                <w:rFonts w:hint="default" w:ascii="Times New Roman" w:hAnsi="Times New Roman" w:eastAsia="宋体" w:cs="Times New Roman"/>
                <w:color w:val="auto"/>
                <w:spacing w:val="-6"/>
                <w:sz w:val="24"/>
                <w:szCs w:val="24"/>
                <w:lang w:eastAsia="zh-CN"/>
              </w:rPr>
              <w:t>）</w:t>
            </w:r>
            <w:r>
              <w:rPr>
                <w:rFonts w:hint="default" w:ascii="Times New Roman" w:hAnsi="Times New Roman" w:eastAsia="宋体" w:cs="Times New Roman"/>
                <w:color w:val="auto"/>
                <w:spacing w:val="-6"/>
                <w:sz w:val="24"/>
                <w:szCs w:val="24"/>
              </w:rPr>
              <w:t>预测模式</w:t>
            </w:r>
          </w:p>
          <w:p w14:paraId="7B22C424">
            <w:pPr>
              <w:spacing w:before="183" w:line="359" w:lineRule="auto"/>
              <w:ind w:left="110" w:right="36" w:firstLine="479"/>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4"/>
                <w:sz w:val="24"/>
                <w:szCs w:val="24"/>
              </w:rPr>
              <w:t>本次评价采用《环境影响评价技术</w:t>
            </w:r>
            <w:r>
              <w:rPr>
                <w:rFonts w:hint="default" w:ascii="Times New Roman" w:hAnsi="Times New Roman" w:eastAsia="宋体" w:cs="Times New Roman"/>
                <w:color w:val="auto"/>
                <w:spacing w:val="-2"/>
                <w:sz w:val="24"/>
                <w:szCs w:val="24"/>
              </w:rPr>
              <w:t>导则</w:t>
            </w:r>
            <w:r>
              <w:rPr>
                <w:rFonts w:hint="eastAsia" w:cs="Times New Roman"/>
                <w:color w:val="auto"/>
                <w:spacing w:val="-2"/>
                <w:sz w:val="24"/>
                <w:szCs w:val="24"/>
                <w:lang w:val="en-US" w:eastAsia="zh-CN"/>
              </w:rPr>
              <w:t xml:space="preserve"> </w:t>
            </w:r>
            <w:r>
              <w:rPr>
                <w:rFonts w:hint="default" w:ascii="Times New Roman" w:hAnsi="Times New Roman" w:eastAsia="宋体" w:cs="Times New Roman"/>
                <w:color w:val="auto"/>
                <w:spacing w:val="-2"/>
                <w:sz w:val="24"/>
                <w:szCs w:val="24"/>
              </w:rPr>
              <w:t>声环境》(</w:t>
            </w:r>
            <w:r>
              <w:rPr>
                <w:rFonts w:hint="default" w:ascii="Times New Roman" w:hAnsi="Times New Roman" w:eastAsia="Times New Roman" w:cs="Times New Roman"/>
                <w:color w:val="auto"/>
                <w:spacing w:val="-2"/>
                <w:sz w:val="24"/>
                <w:szCs w:val="24"/>
              </w:rPr>
              <w:t>HJ2.4-2021</w:t>
            </w:r>
            <w:r>
              <w:rPr>
                <w:rFonts w:hint="default" w:ascii="Times New Roman" w:hAnsi="Times New Roman" w:eastAsia="宋体" w:cs="Times New Roman"/>
                <w:color w:val="auto"/>
                <w:spacing w:val="-2"/>
                <w:sz w:val="24"/>
                <w:szCs w:val="24"/>
              </w:rPr>
              <w:t>)中推荐模式进行预测，</w:t>
            </w:r>
            <w:r>
              <w:rPr>
                <w:rFonts w:hint="default" w:ascii="Times New Roman" w:hAnsi="Times New Roman" w:eastAsia="宋体" w:cs="Times New Roman"/>
                <w:color w:val="auto"/>
                <w:spacing w:val="-7"/>
                <w:sz w:val="24"/>
                <w:szCs w:val="24"/>
              </w:rPr>
              <w:t>用</w:t>
            </w:r>
            <w:r>
              <w:rPr>
                <w:rFonts w:hint="default" w:ascii="Times New Roman" w:hAnsi="Times New Roman" w:eastAsia="Times New Roman" w:cs="Times New Roman"/>
                <w:color w:val="auto"/>
                <w:spacing w:val="-5"/>
                <w:sz w:val="24"/>
                <w:szCs w:val="24"/>
              </w:rPr>
              <w:t>A</w:t>
            </w:r>
            <w:r>
              <w:rPr>
                <w:rFonts w:hint="default" w:ascii="Times New Roman" w:hAnsi="Times New Roman" w:eastAsia="宋体" w:cs="Times New Roman"/>
                <w:color w:val="auto"/>
                <w:spacing w:val="-5"/>
                <w:sz w:val="24"/>
                <w:szCs w:val="24"/>
              </w:rPr>
              <w:t>声级计算，模式如下：</w:t>
            </w:r>
          </w:p>
          <w:p w14:paraId="2F22BD1E">
            <w:pPr>
              <w:spacing w:line="219" w:lineRule="auto"/>
              <w:ind w:left="594"/>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8"/>
                <w:sz w:val="24"/>
                <w:szCs w:val="24"/>
              </w:rPr>
              <w:t>(</w:t>
            </w:r>
            <w:r>
              <w:rPr>
                <w:rFonts w:hint="default" w:ascii="Times New Roman" w:hAnsi="Times New Roman" w:eastAsia="Times New Roman" w:cs="Times New Roman"/>
                <w:color w:val="auto"/>
                <w:spacing w:val="10"/>
                <w:sz w:val="24"/>
                <w:szCs w:val="24"/>
              </w:rPr>
              <w:t>1</w:t>
            </w:r>
            <w:r>
              <w:rPr>
                <w:rFonts w:hint="default" w:ascii="Times New Roman" w:hAnsi="Times New Roman" w:eastAsia="宋体" w:cs="Times New Roman"/>
                <w:color w:val="auto"/>
                <w:spacing w:val="10"/>
                <w:sz w:val="24"/>
                <w:szCs w:val="24"/>
              </w:rPr>
              <w:t>)单个室外的点声源预测模式：</w:t>
            </w:r>
          </w:p>
          <w:p w14:paraId="7453E2C2">
            <w:pPr>
              <w:spacing w:before="180" w:line="219" w:lineRule="auto"/>
              <w:ind w:firstLine="496" w:firstLineChars="200"/>
              <w:rPr>
                <w:rFonts w:hint="default" w:ascii="Times New Roman" w:hAnsi="Times New Roman" w:cs="Times New Roman"/>
                <w:b w:val="0"/>
                <w:bCs w:val="0"/>
                <w:color w:val="auto"/>
                <w:kern w:val="0"/>
                <w:sz w:val="24"/>
                <w:szCs w:val="24"/>
                <w:highlight w:val="none"/>
                <w:lang w:val="en-US" w:eastAsia="zh-CN"/>
              </w:rPr>
            </w:pPr>
            <w:r>
              <w:rPr>
                <w:rFonts w:hint="default" w:ascii="Times New Roman" w:hAnsi="Times New Roman" w:eastAsia="宋体" w:cs="Times New Roman"/>
                <w:color w:val="auto"/>
                <w:spacing w:val="4"/>
                <w:sz w:val="24"/>
                <w:szCs w:val="24"/>
              </w:rPr>
              <w:t>采用某点的</w:t>
            </w:r>
            <w:r>
              <w:rPr>
                <w:rFonts w:hint="default" w:ascii="Times New Roman" w:hAnsi="Times New Roman" w:eastAsia="Times New Roman" w:cs="Times New Roman"/>
                <w:color w:val="auto"/>
                <w:sz w:val="24"/>
                <w:szCs w:val="24"/>
              </w:rPr>
              <w:t>A</w:t>
            </w:r>
            <w:r>
              <w:rPr>
                <w:rFonts w:hint="default" w:ascii="Times New Roman" w:hAnsi="Times New Roman" w:eastAsia="宋体" w:cs="Times New Roman"/>
                <w:color w:val="auto"/>
                <w:spacing w:val="4"/>
                <w:sz w:val="24"/>
                <w:szCs w:val="24"/>
              </w:rPr>
              <w:t>声功率级或</w:t>
            </w:r>
            <w:r>
              <w:rPr>
                <w:rFonts w:hint="default" w:ascii="Times New Roman" w:hAnsi="Times New Roman" w:eastAsia="Times New Roman" w:cs="Times New Roman"/>
                <w:color w:val="auto"/>
                <w:sz w:val="24"/>
                <w:szCs w:val="24"/>
              </w:rPr>
              <w:t>A</w:t>
            </w:r>
            <w:r>
              <w:rPr>
                <w:rFonts w:hint="default" w:ascii="Times New Roman" w:hAnsi="Times New Roman" w:eastAsia="宋体" w:cs="Times New Roman"/>
                <w:color w:val="auto"/>
                <w:spacing w:val="4"/>
                <w:sz w:val="24"/>
                <w:szCs w:val="24"/>
              </w:rPr>
              <w:t>声级近似计算</w:t>
            </w:r>
          </w:p>
        </w:tc>
      </w:tr>
    </w:tbl>
    <w:p w14:paraId="20466F7D">
      <w:pPr>
        <w:pStyle w:val="30"/>
        <w:rPr>
          <w:rFonts w:hint="default" w:ascii="Times New Roman" w:hAnsi="Times New Roman" w:cs="Times New Roman"/>
          <w:color w:val="auto"/>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2"/>
      </w:tblGrid>
      <w:tr w14:paraId="6E752B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24" w:hRule="atLeast"/>
          <w:jc w:val="center"/>
        </w:trPr>
        <w:tc>
          <w:tcPr>
            <w:tcW w:w="746" w:type="dxa"/>
            <w:noWrap w:val="0"/>
            <w:tcMar>
              <w:left w:w="28" w:type="dxa"/>
              <w:right w:w="28" w:type="dxa"/>
            </w:tcMar>
            <w:vAlign w:val="center"/>
          </w:tcPr>
          <w:p w14:paraId="1E6679B8">
            <w:pPr>
              <w:pStyle w:val="21"/>
              <w:keepNext w:val="0"/>
              <w:keepLines w:val="0"/>
              <w:pageBreakBefore w:val="0"/>
              <w:shd w:val="clear"/>
              <w:kinsoku/>
              <w:wordWrap/>
              <w:overflowPunct/>
              <w:topLinePunct w:val="0"/>
              <w:autoSpaceDE/>
              <w:autoSpaceDN/>
              <w:bidi w:val="0"/>
              <w:adjustRightInd w:val="0"/>
              <w:snapToGrid w:val="0"/>
              <w:spacing w:before="0" w:beforeAutospacing="0" w:after="0" w:afterAutospacing="0" w:line="480" w:lineRule="atLeast"/>
              <w:jc w:val="center"/>
              <w:textAlignment w:val="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运营期环境影响和保护措施</w:t>
            </w:r>
          </w:p>
        </w:tc>
        <w:tc>
          <w:tcPr>
            <w:tcW w:w="8162" w:type="dxa"/>
            <w:noWrap w:val="0"/>
            <w:vAlign w:val="center"/>
          </w:tcPr>
          <w:p w14:paraId="031C5E32">
            <w:pPr>
              <w:adjustRightInd w:val="0"/>
              <w:snapToGrid w:val="0"/>
              <w:spacing w:line="360" w:lineRule="auto"/>
              <w:jc w:val="center"/>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rPr>
              <w:drawing>
                <wp:inline distT="0" distB="0" distL="114300" distR="114300">
                  <wp:extent cx="2392045" cy="1181100"/>
                  <wp:effectExtent l="0" t="0" r="8255" b="0"/>
                  <wp:docPr id="35" name="图片 1"/>
                  <wp:cNvGraphicFramePr/>
                  <a:graphic xmlns:a="http://schemas.openxmlformats.org/drawingml/2006/main">
                    <a:graphicData uri="http://schemas.openxmlformats.org/drawingml/2006/picture">
                      <pic:pic xmlns:pic="http://schemas.openxmlformats.org/drawingml/2006/picture">
                        <pic:nvPicPr>
                          <pic:cNvPr id="35" name="图片 1"/>
                          <pic:cNvPicPr/>
                        </pic:nvPicPr>
                        <pic:blipFill>
                          <a:blip r:embed="rId15"/>
                          <a:stretch>
                            <a:fillRect/>
                          </a:stretch>
                        </pic:blipFill>
                        <pic:spPr>
                          <a:xfrm>
                            <a:off x="0" y="0"/>
                            <a:ext cx="2392045" cy="1181100"/>
                          </a:xfrm>
                          <a:prstGeom prst="rect">
                            <a:avLst/>
                          </a:prstGeom>
                          <a:noFill/>
                          <a:ln>
                            <a:noFill/>
                          </a:ln>
                        </pic:spPr>
                      </pic:pic>
                    </a:graphicData>
                  </a:graphic>
                </wp:inline>
              </w:drawing>
            </w:r>
          </w:p>
          <w:p w14:paraId="0811E1CA">
            <w:pPr>
              <w:spacing w:before="41" w:line="228" w:lineRule="auto"/>
              <w:ind w:left="593"/>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式中：</w:t>
            </w:r>
            <w:r>
              <w:rPr>
                <w:rFonts w:hint="default" w:ascii="Times New Roman" w:hAnsi="Times New Roman" w:eastAsia="Times New Roman" w:cs="Times New Roman"/>
                <w:color w:val="auto"/>
                <w:sz w:val="24"/>
                <w:szCs w:val="24"/>
              </w:rPr>
              <w:t>LA</w:t>
            </w:r>
            <w:r>
              <w:rPr>
                <w:rFonts w:hint="default" w:ascii="Times New Roman" w:hAnsi="Times New Roman" w:eastAsia="宋体" w:cs="Times New Roman"/>
                <w:color w:val="auto"/>
                <w:spacing w:val="2"/>
                <w:sz w:val="24"/>
                <w:szCs w:val="24"/>
              </w:rPr>
              <w:t>(</w:t>
            </w:r>
            <w:r>
              <w:rPr>
                <w:rFonts w:hint="default" w:ascii="Times New Roman" w:hAnsi="Times New Roman" w:eastAsia="Times New Roman" w:cs="Times New Roman"/>
                <w:color w:val="auto"/>
                <w:sz w:val="24"/>
                <w:szCs w:val="24"/>
              </w:rPr>
              <w:t>r</w:t>
            </w:r>
            <w:r>
              <w:rPr>
                <w:rFonts w:hint="default" w:ascii="Times New Roman" w:hAnsi="Times New Roman" w:eastAsia="宋体" w:cs="Times New Roman"/>
                <w:color w:val="auto"/>
                <w:spacing w:val="2"/>
                <w:sz w:val="24"/>
                <w:szCs w:val="24"/>
              </w:rPr>
              <w:t>)——预测点(</w:t>
            </w:r>
            <w:r>
              <w:rPr>
                <w:rFonts w:hint="default" w:ascii="Times New Roman" w:hAnsi="Times New Roman" w:eastAsia="Times New Roman" w:cs="Times New Roman"/>
                <w:color w:val="auto"/>
                <w:sz w:val="24"/>
                <w:szCs w:val="24"/>
              </w:rPr>
              <w:t>r</w:t>
            </w:r>
            <w:r>
              <w:rPr>
                <w:rFonts w:hint="default" w:ascii="Times New Roman" w:hAnsi="Times New Roman" w:eastAsia="宋体" w:cs="Times New Roman"/>
                <w:color w:val="auto"/>
                <w:spacing w:val="2"/>
                <w:sz w:val="24"/>
                <w:szCs w:val="24"/>
              </w:rPr>
              <w:t>)处</w:t>
            </w:r>
            <w:r>
              <w:rPr>
                <w:rFonts w:hint="default" w:ascii="Times New Roman" w:hAnsi="Times New Roman" w:eastAsia="Times New Roman" w:cs="Times New Roman"/>
                <w:color w:val="auto"/>
                <w:sz w:val="24"/>
                <w:szCs w:val="24"/>
              </w:rPr>
              <w:t>A</w:t>
            </w:r>
            <w:r>
              <w:rPr>
                <w:rFonts w:hint="default" w:ascii="Times New Roman" w:hAnsi="Times New Roman" w:eastAsia="宋体" w:cs="Times New Roman"/>
                <w:color w:val="auto"/>
                <w:spacing w:val="2"/>
                <w:sz w:val="24"/>
                <w:szCs w:val="24"/>
              </w:rPr>
              <w:t>声级，</w:t>
            </w:r>
            <w:r>
              <w:rPr>
                <w:rFonts w:hint="default" w:ascii="Times New Roman" w:hAnsi="Times New Roman" w:eastAsia="Times New Roman" w:cs="Times New Roman"/>
                <w:color w:val="auto"/>
                <w:sz w:val="24"/>
                <w:szCs w:val="24"/>
              </w:rPr>
              <w:t>dB</w:t>
            </w:r>
            <w:r>
              <w:rPr>
                <w:rFonts w:hint="default" w:ascii="Times New Roman" w:hAnsi="Times New Roman" w:eastAsia="宋体" w:cs="Times New Roman"/>
                <w:color w:val="auto"/>
                <w:spacing w:val="2"/>
                <w:sz w:val="24"/>
                <w:szCs w:val="24"/>
              </w:rPr>
              <w:t>；</w:t>
            </w:r>
          </w:p>
          <w:p w14:paraId="58451C3F">
            <w:pPr>
              <w:spacing w:before="171" w:line="465" w:lineRule="exact"/>
              <w:ind w:left="1303"/>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position w:val="17"/>
                <w:sz w:val="24"/>
                <w:szCs w:val="24"/>
              </w:rPr>
              <w:t>LA</w:t>
            </w:r>
            <w:r>
              <w:rPr>
                <w:rFonts w:hint="default" w:ascii="Times New Roman" w:hAnsi="Times New Roman" w:eastAsia="宋体" w:cs="Times New Roman"/>
                <w:color w:val="auto"/>
                <w:spacing w:val="5"/>
                <w:position w:val="17"/>
                <w:sz w:val="24"/>
                <w:szCs w:val="24"/>
              </w:rPr>
              <w:t>(</w:t>
            </w:r>
            <w:r>
              <w:rPr>
                <w:rFonts w:hint="default" w:ascii="Times New Roman" w:hAnsi="Times New Roman" w:eastAsia="Times New Roman" w:cs="Times New Roman"/>
                <w:color w:val="auto"/>
                <w:position w:val="17"/>
                <w:sz w:val="24"/>
                <w:szCs w:val="24"/>
              </w:rPr>
              <w:t>r</w:t>
            </w:r>
            <w:r>
              <w:rPr>
                <w:rFonts w:hint="default" w:ascii="Times New Roman" w:hAnsi="Times New Roman" w:eastAsia="Times New Roman" w:cs="Times New Roman"/>
                <w:color w:val="auto"/>
                <w:spacing w:val="5"/>
                <w:position w:val="17"/>
                <w:sz w:val="24"/>
                <w:szCs w:val="24"/>
              </w:rPr>
              <w:t>0</w:t>
            </w:r>
            <w:r>
              <w:rPr>
                <w:rFonts w:hint="default" w:ascii="Times New Roman" w:hAnsi="Times New Roman" w:eastAsia="宋体" w:cs="Times New Roman"/>
                <w:color w:val="auto"/>
                <w:spacing w:val="5"/>
                <w:position w:val="17"/>
                <w:sz w:val="24"/>
                <w:szCs w:val="24"/>
              </w:rPr>
              <w:t>)——参考位置(</w:t>
            </w:r>
            <w:r>
              <w:rPr>
                <w:rFonts w:hint="default" w:ascii="Times New Roman" w:hAnsi="Times New Roman" w:eastAsia="Times New Roman" w:cs="Times New Roman"/>
                <w:color w:val="auto"/>
                <w:position w:val="17"/>
                <w:sz w:val="24"/>
                <w:szCs w:val="24"/>
              </w:rPr>
              <w:t>r</w:t>
            </w:r>
            <w:r>
              <w:rPr>
                <w:rFonts w:hint="default" w:ascii="Times New Roman" w:hAnsi="Times New Roman" w:eastAsia="Times New Roman" w:cs="Times New Roman"/>
                <w:color w:val="auto"/>
                <w:spacing w:val="5"/>
                <w:position w:val="17"/>
                <w:sz w:val="24"/>
                <w:szCs w:val="24"/>
              </w:rPr>
              <w:t>0</w:t>
            </w:r>
            <w:r>
              <w:rPr>
                <w:rFonts w:hint="default" w:ascii="Times New Roman" w:hAnsi="Times New Roman" w:eastAsia="宋体" w:cs="Times New Roman"/>
                <w:color w:val="auto"/>
                <w:spacing w:val="5"/>
                <w:position w:val="17"/>
                <w:sz w:val="24"/>
                <w:szCs w:val="24"/>
              </w:rPr>
              <w:t>)处</w:t>
            </w:r>
            <w:r>
              <w:rPr>
                <w:rFonts w:hint="default" w:ascii="Times New Roman" w:hAnsi="Times New Roman" w:eastAsia="Times New Roman" w:cs="Times New Roman"/>
                <w:color w:val="auto"/>
                <w:position w:val="17"/>
                <w:sz w:val="24"/>
                <w:szCs w:val="24"/>
              </w:rPr>
              <w:t>A</w:t>
            </w:r>
            <w:r>
              <w:rPr>
                <w:rFonts w:hint="default" w:ascii="Times New Roman" w:hAnsi="Times New Roman" w:eastAsia="宋体" w:cs="Times New Roman"/>
                <w:color w:val="auto"/>
                <w:spacing w:val="5"/>
                <w:position w:val="17"/>
                <w:sz w:val="24"/>
                <w:szCs w:val="24"/>
              </w:rPr>
              <w:t>声级，</w:t>
            </w:r>
            <w:r>
              <w:rPr>
                <w:rFonts w:hint="default" w:ascii="Times New Roman" w:hAnsi="Times New Roman" w:eastAsia="Times New Roman" w:cs="Times New Roman"/>
                <w:color w:val="auto"/>
                <w:position w:val="17"/>
                <w:sz w:val="24"/>
                <w:szCs w:val="24"/>
              </w:rPr>
              <w:t>dB</w:t>
            </w:r>
            <w:r>
              <w:rPr>
                <w:rFonts w:hint="default" w:ascii="Times New Roman" w:hAnsi="Times New Roman" w:eastAsia="宋体" w:cs="Times New Roman"/>
                <w:color w:val="auto"/>
                <w:spacing w:val="5"/>
                <w:position w:val="17"/>
                <w:sz w:val="24"/>
                <w:szCs w:val="24"/>
              </w:rPr>
              <w:t>；</w:t>
            </w:r>
          </w:p>
          <w:p w14:paraId="14791308">
            <w:pPr>
              <w:spacing w:before="1" w:line="227" w:lineRule="auto"/>
              <w:ind w:left="1303"/>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z w:val="24"/>
                <w:szCs w:val="24"/>
              </w:rPr>
              <w:t>LAw</w:t>
            </w:r>
            <w:r>
              <w:rPr>
                <w:rFonts w:hint="default" w:ascii="Times New Roman" w:hAnsi="Times New Roman" w:eastAsia="宋体" w:cs="Times New Roman"/>
                <w:color w:val="auto"/>
                <w:spacing w:val="2"/>
                <w:sz w:val="24"/>
                <w:szCs w:val="24"/>
              </w:rPr>
              <w:t>——预测点(</w:t>
            </w:r>
            <w:r>
              <w:rPr>
                <w:rFonts w:hint="default" w:ascii="Times New Roman" w:hAnsi="Times New Roman" w:eastAsia="Times New Roman" w:cs="Times New Roman"/>
                <w:color w:val="auto"/>
                <w:sz w:val="24"/>
                <w:szCs w:val="24"/>
              </w:rPr>
              <w:t>r</w:t>
            </w:r>
            <w:r>
              <w:rPr>
                <w:rFonts w:hint="default" w:ascii="Times New Roman" w:hAnsi="Times New Roman" w:eastAsia="宋体" w:cs="Times New Roman"/>
                <w:color w:val="auto"/>
                <w:spacing w:val="2"/>
                <w:sz w:val="24"/>
                <w:szCs w:val="24"/>
              </w:rPr>
              <w:t>)处</w:t>
            </w:r>
            <w:r>
              <w:rPr>
                <w:rFonts w:hint="default" w:ascii="Times New Roman" w:hAnsi="Times New Roman" w:eastAsia="Times New Roman" w:cs="Times New Roman"/>
                <w:color w:val="auto"/>
                <w:sz w:val="24"/>
                <w:szCs w:val="24"/>
              </w:rPr>
              <w:t>A</w:t>
            </w:r>
            <w:r>
              <w:rPr>
                <w:rFonts w:hint="default" w:ascii="Times New Roman" w:hAnsi="Times New Roman" w:eastAsia="宋体" w:cs="Times New Roman"/>
                <w:color w:val="auto"/>
                <w:spacing w:val="2"/>
                <w:sz w:val="24"/>
                <w:szCs w:val="24"/>
              </w:rPr>
              <w:t>声功率级，</w:t>
            </w:r>
            <w:r>
              <w:rPr>
                <w:rFonts w:hint="default" w:ascii="Times New Roman" w:hAnsi="Times New Roman" w:eastAsia="Times New Roman" w:cs="Times New Roman"/>
                <w:color w:val="auto"/>
                <w:sz w:val="24"/>
                <w:szCs w:val="24"/>
              </w:rPr>
              <w:t>dB</w:t>
            </w:r>
            <w:r>
              <w:rPr>
                <w:rFonts w:hint="default" w:ascii="Times New Roman" w:hAnsi="Times New Roman" w:eastAsia="宋体" w:cs="Times New Roman"/>
                <w:color w:val="auto"/>
                <w:spacing w:val="2"/>
                <w:sz w:val="24"/>
                <w:szCs w:val="24"/>
              </w:rPr>
              <w:t>；</w:t>
            </w:r>
          </w:p>
          <w:p w14:paraId="629D1B9E">
            <w:pPr>
              <w:spacing w:before="171" w:line="364" w:lineRule="auto"/>
              <w:ind w:left="108" w:right="99" w:firstLine="1194"/>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1"/>
                <w:sz w:val="24"/>
                <w:szCs w:val="24"/>
              </w:rPr>
              <w:t>De</w:t>
            </w:r>
            <w:r>
              <w:rPr>
                <w:rFonts w:hint="default" w:ascii="Times New Roman" w:hAnsi="Times New Roman" w:eastAsia="宋体" w:cs="Times New Roman"/>
                <w:color w:val="auto"/>
                <w:spacing w:val="-2"/>
                <w:sz w:val="24"/>
                <w:szCs w:val="24"/>
              </w:rPr>
              <w:t>—指向性校正，</w:t>
            </w:r>
            <w:r>
              <w:rPr>
                <w:rFonts w:hint="default" w:ascii="Times New Roman" w:hAnsi="Times New Roman" w:eastAsia="Times New Roman" w:cs="Times New Roman"/>
                <w:color w:val="auto"/>
                <w:spacing w:val="-1"/>
                <w:sz w:val="24"/>
                <w:szCs w:val="24"/>
              </w:rPr>
              <w:t>dB</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pacing w:val="-1"/>
                <w:sz w:val="24"/>
                <w:szCs w:val="24"/>
              </w:rPr>
              <w:t>它描述点声源的等效连续声压级与产生声功率级</w:t>
            </w:r>
            <w:r>
              <w:rPr>
                <w:rFonts w:hint="default" w:ascii="Times New Roman" w:hAnsi="Times New Roman" w:eastAsia="Times New Roman" w:cs="Times New Roman"/>
                <w:color w:val="auto"/>
                <w:spacing w:val="-1"/>
                <w:sz w:val="24"/>
                <w:szCs w:val="24"/>
              </w:rPr>
              <w:t>Lw</w:t>
            </w:r>
            <w:r>
              <w:rPr>
                <w:rFonts w:hint="default" w:ascii="Times New Roman" w:hAnsi="Times New Roman" w:eastAsia="宋体" w:cs="Times New Roman"/>
                <w:color w:val="auto"/>
                <w:spacing w:val="1"/>
                <w:sz w:val="24"/>
                <w:szCs w:val="24"/>
              </w:rPr>
              <w:t>的全向点声源在规定方向的级的偏差程度。指向性校正等于点声源</w:t>
            </w:r>
            <w:r>
              <w:rPr>
                <w:rFonts w:hint="default" w:ascii="Times New Roman" w:hAnsi="Times New Roman" w:eastAsia="宋体" w:cs="Times New Roman"/>
                <w:color w:val="auto"/>
                <w:sz w:val="24"/>
                <w:szCs w:val="24"/>
              </w:rPr>
              <w:t>的指向性指数</w:t>
            </w:r>
            <w:r>
              <w:rPr>
                <w:rFonts w:hint="default" w:ascii="Times New Roman" w:hAnsi="Times New Roman" w:eastAsia="Times New Roman" w:cs="Times New Roman"/>
                <w:color w:val="auto"/>
                <w:sz w:val="24"/>
                <w:szCs w:val="24"/>
              </w:rPr>
              <w:t>DI</w:t>
            </w:r>
            <w:r>
              <w:rPr>
                <w:rFonts w:hint="default" w:ascii="Times New Roman" w:hAnsi="Times New Roman" w:eastAsia="宋体" w:cs="Times New Roman"/>
                <w:color w:val="auto"/>
                <w:sz w:val="24"/>
                <w:szCs w:val="24"/>
              </w:rPr>
              <w:t>加上</w:t>
            </w:r>
            <w:r>
              <w:rPr>
                <w:rFonts w:hint="default" w:ascii="Times New Roman" w:hAnsi="Times New Roman" w:eastAsia="宋体" w:cs="Times New Roman"/>
                <w:color w:val="auto"/>
                <w:spacing w:val="4"/>
                <w:sz w:val="24"/>
                <w:szCs w:val="24"/>
              </w:rPr>
              <w:t>计到</w:t>
            </w:r>
            <w:r>
              <w:rPr>
                <w:rFonts w:hint="default" w:ascii="Times New Roman" w:hAnsi="Times New Roman" w:eastAsia="宋体" w:cs="Times New Roman"/>
                <w:color w:val="auto"/>
                <w:spacing w:val="3"/>
                <w:sz w:val="24"/>
                <w:szCs w:val="24"/>
              </w:rPr>
              <w:t>小</w:t>
            </w:r>
            <w:r>
              <w:rPr>
                <w:rFonts w:hint="default" w:ascii="Times New Roman" w:hAnsi="Times New Roman" w:eastAsia="宋体" w:cs="Times New Roman"/>
                <w:color w:val="auto"/>
                <w:spacing w:val="2"/>
                <w:sz w:val="24"/>
                <w:szCs w:val="24"/>
              </w:rPr>
              <w:t>于</w:t>
            </w:r>
            <w:r>
              <w:rPr>
                <w:rFonts w:hint="default" w:ascii="Times New Roman" w:hAnsi="Times New Roman" w:eastAsia="Times New Roman" w:cs="Times New Roman"/>
                <w:color w:val="auto"/>
                <w:spacing w:val="2"/>
                <w:sz w:val="24"/>
                <w:szCs w:val="24"/>
              </w:rPr>
              <w:t>4π</w:t>
            </w:r>
            <w:r>
              <w:rPr>
                <w:rFonts w:hint="default" w:ascii="Times New Roman" w:hAnsi="Times New Roman" w:eastAsia="宋体" w:cs="Times New Roman"/>
                <w:color w:val="auto"/>
                <w:spacing w:val="2"/>
                <w:sz w:val="24"/>
                <w:szCs w:val="24"/>
              </w:rPr>
              <w:t>球面度(</w:t>
            </w:r>
            <w:r>
              <w:rPr>
                <w:rFonts w:hint="default" w:ascii="Times New Roman" w:hAnsi="Times New Roman" w:eastAsia="Times New Roman" w:cs="Times New Roman"/>
                <w:color w:val="auto"/>
                <w:sz w:val="24"/>
                <w:szCs w:val="24"/>
              </w:rPr>
              <w:t>sr</w:t>
            </w:r>
            <w:r>
              <w:rPr>
                <w:rFonts w:hint="default" w:ascii="Times New Roman" w:hAnsi="Times New Roman" w:eastAsia="宋体" w:cs="Times New Roman"/>
                <w:color w:val="auto"/>
                <w:spacing w:val="2"/>
                <w:sz w:val="24"/>
                <w:szCs w:val="24"/>
              </w:rPr>
              <w:t>)立体角内的声传播指数</w:t>
            </w:r>
            <w:r>
              <w:rPr>
                <w:rFonts w:hint="default" w:ascii="Times New Roman" w:hAnsi="Times New Roman" w:eastAsia="Times New Roman" w:cs="Times New Roman"/>
                <w:color w:val="auto"/>
                <w:sz w:val="24"/>
                <w:szCs w:val="24"/>
              </w:rPr>
              <w:t>D</w:t>
            </w:r>
            <w:r>
              <w:rPr>
                <w:rFonts w:hint="default" w:ascii="Times New Roman" w:hAnsi="Times New Roman" w:eastAsia="Times New Roman" w:cs="Times New Roman"/>
                <w:color w:val="auto"/>
                <w:spacing w:val="2"/>
                <w:position w:val="-1"/>
                <w:sz w:val="16"/>
                <w:szCs w:val="16"/>
              </w:rPr>
              <w:t>Ω</w:t>
            </w:r>
            <w:r>
              <w:rPr>
                <w:rFonts w:hint="default" w:ascii="Times New Roman" w:hAnsi="Times New Roman" w:eastAsia="宋体" w:cs="Times New Roman"/>
                <w:color w:val="auto"/>
                <w:spacing w:val="2"/>
                <w:sz w:val="24"/>
                <w:szCs w:val="24"/>
              </w:rPr>
              <w:t>。对辐射到自由空间的全向点声源，</w:t>
            </w:r>
          </w:p>
          <w:p w14:paraId="087F38AE">
            <w:pPr>
              <w:spacing w:before="1" w:line="231" w:lineRule="auto"/>
              <w:ind w:left="103"/>
              <w:rPr>
                <w:rFonts w:hint="default" w:ascii="Times New Roman" w:hAnsi="Times New Roman" w:eastAsia="Times New Roman" w:cs="Times New Roman"/>
                <w:color w:val="auto"/>
                <w:sz w:val="24"/>
                <w:szCs w:val="24"/>
              </w:rPr>
            </w:pPr>
            <w:r>
              <w:rPr>
                <w:rFonts w:hint="default" w:ascii="Times New Roman" w:hAnsi="Times New Roman" w:eastAsia="Times New Roman" w:cs="Times New Roman"/>
                <w:color w:val="auto"/>
                <w:spacing w:val="-1"/>
                <w:sz w:val="24"/>
                <w:szCs w:val="24"/>
              </w:rPr>
              <w:t>D</w:t>
            </w:r>
            <w:r>
              <w:rPr>
                <w:rFonts w:hint="default" w:ascii="Times New Roman" w:hAnsi="Times New Roman" w:eastAsia="Times New Roman" w:cs="Times New Roman"/>
                <w:color w:val="auto"/>
                <w:sz w:val="24"/>
                <w:szCs w:val="24"/>
              </w:rPr>
              <w:t>e</w:t>
            </w:r>
            <w:r>
              <w:rPr>
                <w:rFonts w:hint="default" w:ascii="Times New Roman" w:hAnsi="Times New Roman" w:eastAsia="Times New Roman" w:cs="Times New Roman"/>
                <w:color w:val="auto"/>
                <w:spacing w:val="-1"/>
                <w:sz w:val="24"/>
                <w:szCs w:val="24"/>
              </w:rPr>
              <w:t>=</w:t>
            </w:r>
            <w:r>
              <w:rPr>
                <w:rFonts w:hint="default" w:ascii="Times New Roman" w:hAnsi="Times New Roman" w:eastAsia="Times New Roman" w:cs="Times New Roman"/>
                <w:color w:val="auto"/>
                <w:sz w:val="24"/>
                <w:szCs w:val="24"/>
              </w:rPr>
              <w:t>OdB</w:t>
            </w:r>
          </w:p>
          <w:p w14:paraId="4E40DD2B">
            <w:pPr>
              <w:spacing w:before="127" w:line="220" w:lineRule="auto"/>
              <w:ind w:left="593"/>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5"/>
                <w:sz w:val="24"/>
                <w:szCs w:val="24"/>
              </w:rPr>
              <w:t>式中：</w:t>
            </w:r>
            <w:r>
              <w:rPr>
                <w:rFonts w:hint="default" w:ascii="Times New Roman" w:hAnsi="Times New Roman" w:eastAsia="Times New Roman" w:cs="Times New Roman"/>
                <w:color w:val="auto"/>
                <w:spacing w:val="-15"/>
                <w:sz w:val="24"/>
                <w:szCs w:val="24"/>
              </w:rPr>
              <w:t>A</w:t>
            </w:r>
            <w:r>
              <w:rPr>
                <w:rFonts w:hint="default" w:ascii="Times New Roman" w:hAnsi="Times New Roman" w:eastAsia="宋体" w:cs="Times New Roman"/>
                <w:color w:val="auto"/>
                <w:spacing w:val="-15"/>
                <w:sz w:val="24"/>
                <w:szCs w:val="24"/>
              </w:rPr>
              <w:t>——倍频带衰减，</w:t>
            </w:r>
            <w:r>
              <w:rPr>
                <w:rFonts w:hint="default" w:ascii="Times New Roman" w:hAnsi="Times New Roman" w:eastAsia="Times New Roman" w:cs="Times New Roman"/>
                <w:color w:val="auto"/>
                <w:spacing w:val="-15"/>
                <w:sz w:val="24"/>
                <w:szCs w:val="24"/>
              </w:rPr>
              <w:t>dB</w:t>
            </w:r>
            <w:r>
              <w:rPr>
                <w:rFonts w:hint="default" w:ascii="Times New Roman" w:hAnsi="Times New Roman" w:eastAsia="宋体" w:cs="Times New Roman"/>
                <w:color w:val="auto"/>
                <w:spacing w:val="-15"/>
                <w:sz w:val="24"/>
                <w:szCs w:val="24"/>
              </w:rPr>
              <w:t>；</w:t>
            </w:r>
          </w:p>
          <w:p w14:paraId="721A8AE2">
            <w:pPr>
              <w:spacing w:before="181" w:line="468" w:lineRule="exact"/>
              <w:ind w:left="1300"/>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5"/>
                <w:position w:val="18"/>
                <w:sz w:val="24"/>
                <w:szCs w:val="24"/>
              </w:rPr>
              <w:t>Adiv</w:t>
            </w:r>
            <w:r>
              <w:rPr>
                <w:rFonts w:hint="default" w:ascii="Times New Roman" w:hAnsi="Times New Roman" w:eastAsia="宋体" w:cs="Times New Roman"/>
                <w:color w:val="auto"/>
                <w:spacing w:val="-10"/>
                <w:position w:val="18"/>
                <w:sz w:val="24"/>
                <w:szCs w:val="24"/>
              </w:rPr>
              <w:t>—</w:t>
            </w:r>
            <w:r>
              <w:rPr>
                <w:rFonts w:hint="default" w:ascii="Times New Roman" w:hAnsi="Times New Roman" w:eastAsia="宋体" w:cs="Times New Roman"/>
                <w:color w:val="auto"/>
                <w:spacing w:val="-6"/>
                <w:position w:val="18"/>
                <w:sz w:val="24"/>
                <w:szCs w:val="24"/>
              </w:rPr>
              <w:t>—</w:t>
            </w:r>
            <w:r>
              <w:rPr>
                <w:rFonts w:hint="default" w:ascii="Times New Roman" w:hAnsi="Times New Roman" w:eastAsia="宋体" w:cs="Times New Roman"/>
                <w:color w:val="auto"/>
                <w:spacing w:val="-5"/>
                <w:position w:val="18"/>
                <w:sz w:val="24"/>
                <w:szCs w:val="24"/>
              </w:rPr>
              <w:t>几何发散引起的倍频带衰减，</w:t>
            </w:r>
            <w:r>
              <w:rPr>
                <w:rFonts w:hint="default" w:ascii="Times New Roman" w:hAnsi="Times New Roman" w:eastAsia="Times New Roman" w:cs="Times New Roman"/>
                <w:color w:val="auto"/>
                <w:spacing w:val="-5"/>
                <w:position w:val="18"/>
                <w:sz w:val="24"/>
                <w:szCs w:val="24"/>
              </w:rPr>
              <w:t>dB</w:t>
            </w:r>
            <w:r>
              <w:rPr>
                <w:rFonts w:hint="default" w:ascii="Times New Roman" w:hAnsi="Times New Roman" w:eastAsia="宋体" w:cs="Times New Roman"/>
                <w:color w:val="auto"/>
                <w:spacing w:val="-5"/>
                <w:position w:val="18"/>
                <w:sz w:val="24"/>
                <w:szCs w:val="24"/>
              </w:rPr>
              <w:t>；</w:t>
            </w:r>
          </w:p>
          <w:p w14:paraId="5A846F44">
            <w:pPr>
              <w:spacing w:before="1" w:line="229" w:lineRule="auto"/>
              <w:ind w:left="1300"/>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5"/>
                <w:sz w:val="24"/>
                <w:szCs w:val="24"/>
              </w:rPr>
              <w:t>Aatm</w:t>
            </w:r>
            <w:r>
              <w:rPr>
                <w:rFonts w:hint="default" w:ascii="Times New Roman" w:hAnsi="Times New Roman" w:eastAsia="宋体" w:cs="Times New Roman"/>
                <w:color w:val="auto"/>
                <w:spacing w:val="-10"/>
                <w:sz w:val="24"/>
                <w:szCs w:val="24"/>
              </w:rPr>
              <w:t>—</w:t>
            </w:r>
            <w:r>
              <w:rPr>
                <w:rFonts w:hint="default" w:ascii="Times New Roman" w:hAnsi="Times New Roman" w:eastAsia="宋体" w:cs="Times New Roman"/>
                <w:color w:val="auto"/>
                <w:spacing w:val="-7"/>
                <w:sz w:val="24"/>
                <w:szCs w:val="24"/>
              </w:rPr>
              <w:t>—</w:t>
            </w:r>
            <w:r>
              <w:rPr>
                <w:rFonts w:hint="default" w:ascii="Times New Roman" w:hAnsi="Times New Roman" w:eastAsia="宋体" w:cs="Times New Roman"/>
                <w:color w:val="auto"/>
                <w:spacing w:val="-5"/>
                <w:sz w:val="24"/>
                <w:szCs w:val="24"/>
              </w:rPr>
              <w:t>大气吸收引起的倍频带衰减，</w:t>
            </w:r>
            <w:r>
              <w:rPr>
                <w:rFonts w:hint="default" w:ascii="Times New Roman" w:hAnsi="Times New Roman" w:eastAsia="Times New Roman" w:cs="Times New Roman"/>
                <w:color w:val="auto"/>
                <w:spacing w:val="-5"/>
                <w:sz w:val="24"/>
                <w:szCs w:val="24"/>
              </w:rPr>
              <w:t>dB</w:t>
            </w:r>
            <w:r>
              <w:rPr>
                <w:rFonts w:hint="default" w:ascii="Times New Roman" w:hAnsi="Times New Roman" w:eastAsia="宋体" w:cs="Times New Roman"/>
                <w:color w:val="auto"/>
                <w:spacing w:val="-5"/>
                <w:sz w:val="24"/>
                <w:szCs w:val="24"/>
              </w:rPr>
              <w:t>；</w:t>
            </w:r>
          </w:p>
          <w:p w14:paraId="20996B7F">
            <w:pPr>
              <w:spacing w:before="167" w:line="207" w:lineRule="auto"/>
              <w:ind w:left="1300"/>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5"/>
                <w:sz w:val="24"/>
                <w:szCs w:val="24"/>
              </w:rPr>
              <w:t>Agr</w:t>
            </w:r>
            <w:r>
              <w:rPr>
                <w:rFonts w:hint="default" w:ascii="Times New Roman" w:hAnsi="Times New Roman" w:eastAsia="宋体" w:cs="Times New Roman"/>
                <w:color w:val="auto"/>
                <w:spacing w:val="-10"/>
                <w:sz w:val="24"/>
                <w:szCs w:val="24"/>
              </w:rPr>
              <w:t>——</w:t>
            </w:r>
            <w:r>
              <w:rPr>
                <w:rFonts w:hint="default" w:ascii="Times New Roman" w:hAnsi="Times New Roman" w:eastAsia="宋体" w:cs="Times New Roman"/>
                <w:color w:val="auto"/>
                <w:spacing w:val="-5"/>
                <w:sz w:val="24"/>
                <w:szCs w:val="24"/>
              </w:rPr>
              <w:t>地面效应引起的倍频带衰减，</w:t>
            </w:r>
            <w:r>
              <w:rPr>
                <w:rFonts w:hint="default" w:ascii="Times New Roman" w:hAnsi="Times New Roman" w:eastAsia="Times New Roman" w:cs="Times New Roman"/>
                <w:color w:val="auto"/>
                <w:spacing w:val="-5"/>
                <w:sz w:val="24"/>
                <w:szCs w:val="24"/>
              </w:rPr>
              <w:t>dB</w:t>
            </w:r>
            <w:r>
              <w:rPr>
                <w:rFonts w:hint="default" w:ascii="Times New Roman" w:hAnsi="Times New Roman" w:eastAsia="宋体" w:cs="Times New Roman"/>
                <w:color w:val="auto"/>
                <w:spacing w:val="-5"/>
                <w:sz w:val="24"/>
                <w:szCs w:val="24"/>
              </w:rPr>
              <w:t>；</w:t>
            </w:r>
          </w:p>
          <w:p w14:paraId="61D440CA">
            <w:pPr>
              <w:spacing w:before="199" w:line="466" w:lineRule="exact"/>
              <w:ind w:left="1300"/>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5"/>
                <w:position w:val="17"/>
                <w:sz w:val="24"/>
                <w:szCs w:val="24"/>
              </w:rPr>
              <w:t>Abar</w:t>
            </w:r>
            <w:r>
              <w:rPr>
                <w:rFonts w:hint="default" w:ascii="Times New Roman" w:hAnsi="Times New Roman" w:eastAsia="宋体" w:cs="Times New Roman"/>
                <w:color w:val="auto"/>
                <w:spacing w:val="-5"/>
                <w:position w:val="17"/>
                <w:sz w:val="24"/>
                <w:szCs w:val="24"/>
              </w:rPr>
              <w:t>——声屏障引起的倍频带衰减，</w:t>
            </w:r>
            <w:r>
              <w:rPr>
                <w:rFonts w:hint="default" w:ascii="Times New Roman" w:hAnsi="Times New Roman" w:eastAsia="Times New Roman" w:cs="Times New Roman"/>
                <w:color w:val="auto"/>
                <w:spacing w:val="-5"/>
                <w:position w:val="17"/>
                <w:sz w:val="24"/>
                <w:szCs w:val="24"/>
              </w:rPr>
              <w:t>dB</w:t>
            </w:r>
            <w:r>
              <w:rPr>
                <w:rFonts w:hint="default" w:ascii="Times New Roman" w:hAnsi="Times New Roman" w:eastAsia="宋体" w:cs="Times New Roman"/>
                <w:color w:val="auto"/>
                <w:spacing w:val="-5"/>
                <w:position w:val="17"/>
                <w:sz w:val="24"/>
                <w:szCs w:val="24"/>
              </w:rPr>
              <w:t>；</w:t>
            </w:r>
          </w:p>
          <w:p w14:paraId="134DE88C">
            <w:pPr>
              <w:spacing w:line="317" w:lineRule="exact"/>
              <w:ind w:left="1300"/>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4"/>
                <w:position w:val="1"/>
                <w:sz w:val="24"/>
                <w:szCs w:val="24"/>
              </w:rPr>
              <w:t>Amisc</w:t>
            </w:r>
            <w:r>
              <w:rPr>
                <w:rFonts w:hint="default" w:ascii="Times New Roman" w:hAnsi="Times New Roman" w:eastAsia="宋体" w:cs="Times New Roman"/>
                <w:color w:val="auto"/>
                <w:spacing w:val="-8"/>
                <w:position w:val="1"/>
                <w:sz w:val="24"/>
                <w:szCs w:val="24"/>
              </w:rPr>
              <w:t>——其</w:t>
            </w:r>
            <w:r>
              <w:rPr>
                <w:rFonts w:hint="default" w:ascii="Times New Roman" w:hAnsi="Times New Roman" w:eastAsia="宋体" w:cs="Times New Roman"/>
                <w:color w:val="auto"/>
                <w:spacing w:val="-6"/>
                <w:position w:val="1"/>
                <w:sz w:val="24"/>
                <w:szCs w:val="24"/>
              </w:rPr>
              <w:t>他</w:t>
            </w:r>
            <w:r>
              <w:rPr>
                <w:rFonts w:hint="default" w:ascii="Times New Roman" w:hAnsi="Times New Roman" w:eastAsia="宋体" w:cs="Times New Roman"/>
                <w:color w:val="auto"/>
                <w:spacing w:val="-4"/>
                <w:position w:val="1"/>
                <w:sz w:val="24"/>
                <w:szCs w:val="24"/>
              </w:rPr>
              <w:t>多方面效应引起的倍频带衰减，</w:t>
            </w:r>
            <w:r>
              <w:rPr>
                <w:rFonts w:hint="default" w:ascii="Times New Roman" w:hAnsi="Times New Roman" w:eastAsia="Times New Roman" w:cs="Times New Roman"/>
                <w:color w:val="auto"/>
                <w:spacing w:val="-4"/>
                <w:position w:val="1"/>
                <w:sz w:val="24"/>
                <w:szCs w:val="24"/>
              </w:rPr>
              <w:t>dB</w:t>
            </w:r>
            <w:r>
              <w:rPr>
                <w:rFonts w:hint="default" w:ascii="Times New Roman" w:hAnsi="Times New Roman" w:eastAsia="宋体" w:cs="Times New Roman"/>
                <w:color w:val="auto"/>
                <w:spacing w:val="-4"/>
                <w:position w:val="1"/>
                <w:sz w:val="24"/>
                <w:szCs w:val="24"/>
              </w:rPr>
              <w:t>。</w:t>
            </w:r>
          </w:p>
          <w:p w14:paraId="05A51F3F">
            <w:pPr>
              <w:spacing w:before="151" w:line="359" w:lineRule="auto"/>
              <w:ind w:left="110" w:right="99" w:firstLine="470"/>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7"/>
                <w:sz w:val="24"/>
                <w:szCs w:val="24"/>
              </w:rPr>
              <w:t>A</w:t>
            </w:r>
            <w:r>
              <w:rPr>
                <w:rFonts w:hint="default" w:ascii="Times New Roman" w:hAnsi="Times New Roman" w:eastAsia="宋体" w:cs="Times New Roman"/>
                <w:color w:val="auto"/>
                <w:spacing w:val="-14"/>
                <w:sz w:val="24"/>
                <w:szCs w:val="24"/>
              </w:rPr>
              <w:t>可</w:t>
            </w:r>
            <w:r>
              <w:rPr>
                <w:rFonts w:hint="default" w:ascii="Times New Roman" w:hAnsi="Times New Roman" w:eastAsia="宋体" w:cs="Times New Roman"/>
                <w:color w:val="auto"/>
                <w:spacing w:val="-13"/>
                <w:sz w:val="24"/>
                <w:szCs w:val="24"/>
              </w:rPr>
              <w:t>选</w:t>
            </w:r>
            <w:r>
              <w:rPr>
                <w:rFonts w:hint="default" w:ascii="Times New Roman" w:hAnsi="Times New Roman" w:eastAsia="宋体" w:cs="Times New Roman"/>
                <w:color w:val="auto"/>
                <w:spacing w:val="-7"/>
                <w:sz w:val="24"/>
                <w:szCs w:val="24"/>
              </w:rPr>
              <w:t>择对</w:t>
            </w:r>
            <w:r>
              <w:rPr>
                <w:rFonts w:hint="default" w:ascii="Times New Roman" w:hAnsi="Times New Roman" w:eastAsia="Times New Roman" w:cs="Times New Roman"/>
                <w:color w:val="auto"/>
                <w:spacing w:val="-7"/>
                <w:sz w:val="24"/>
                <w:szCs w:val="24"/>
              </w:rPr>
              <w:t>A</w:t>
            </w:r>
            <w:r>
              <w:rPr>
                <w:rFonts w:hint="default" w:ascii="Times New Roman" w:hAnsi="Times New Roman" w:eastAsia="宋体" w:cs="Times New Roman"/>
                <w:color w:val="auto"/>
                <w:spacing w:val="-7"/>
                <w:sz w:val="24"/>
                <w:szCs w:val="24"/>
              </w:rPr>
              <w:t>声级影响最大的倍频带计算，一般可选中心频率为</w:t>
            </w:r>
            <w:r>
              <w:rPr>
                <w:rFonts w:hint="default" w:ascii="Times New Roman" w:hAnsi="Times New Roman" w:eastAsia="Times New Roman" w:cs="Times New Roman"/>
                <w:color w:val="auto"/>
                <w:spacing w:val="-7"/>
                <w:sz w:val="24"/>
                <w:szCs w:val="24"/>
              </w:rPr>
              <w:t>500Hz</w:t>
            </w:r>
            <w:r>
              <w:rPr>
                <w:rFonts w:hint="default" w:ascii="Times New Roman" w:hAnsi="Times New Roman" w:eastAsia="宋体" w:cs="Times New Roman"/>
                <w:color w:val="auto"/>
                <w:spacing w:val="-7"/>
                <w:sz w:val="24"/>
                <w:szCs w:val="24"/>
              </w:rPr>
              <w:t>的倍频带作估</w:t>
            </w:r>
            <w:r>
              <w:rPr>
                <w:rFonts w:hint="default" w:ascii="Times New Roman" w:hAnsi="Times New Roman" w:eastAsia="宋体" w:cs="Times New Roman"/>
                <w:color w:val="auto"/>
                <w:spacing w:val="-13"/>
                <w:sz w:val="24"/>
                <w:szCs w:val="24"/>
              </w:rPr>
              <w:t>算</w:t>
            </w:r>
            <w:r>
              <w:rPr>
                <w:rFonts w:hint="default" w:ascii="Times New Roman" w:hAnsi="Times New Roman" w:eastAsia="宋体" w:cs="Times New Roman"/>
                <w:color w:val="auto"/>
                <w:spacing w:val="-11"/>
                <w:sz w:val="24"/>
                <w:szCs w:val="24"/>
              </w:rPr>
              <w:t>。</w:t>
            </w:r>
          </w:p>
          <w:p w14:paraId="7D652372">
            <w:pPr>
              <w:spacing w:line="219" w:lineRule="auto"/>
              <w:ind w:left="594"/>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8"/>
                <w:sz w:val="24"/>
                <w:szCs w:val="24"/>
              </w:rPr>
              <w:t>(</w:t>
            </w:r>
            <w:r>
              <w:rPr>
                <w:rFonts w:hint="default" w:ascii="Times New Roman" w:hAnsi="Times New Roman" w:eastAsia="Times New Roman" w:cs="Times New Roman"/>
                <w:color w:val="auto"/>
                <w:spacing w:val="18"/>
                <w:sz w:val="24"/>
                <w:szCs w:val="24"/>
              </w:rPr>
              <w:t>2</w:t>
            </w:r>
            <w:r>
              <w:rPr>
                <w:rFonts w:hint="default" w:ascii="Times New Roman" w:hAnsi="Times New Roman" w:eastAsia="宋体" w:cs="Times New Roman"/>
                <w:color w:val="auto"/>
                <w:spacing w:val="18"/>
                <w:sz w:val="24"/>
                <w:szCs w:val="24"/>
              </w:rPr>
              <w:t>)室内声源预测模式</w:t>
            </w:r>
            <w:r>
              <w:rPr>
                <w:rFonts w:hint="default" w:ascii="Times New Roman" w:hAnsi="Times New Roman" w:eastAsia="宋体" w:cs="Times New Roman"/>
                <w:color w:val="auto"/>
                <w:spacing w:val="16"/>
                <w:sz w:val="24"/>
                <w:szCs w:val="24"/>
              </w:rPr>
              <w:t>：</w:t>
            </w:r>
          </w:p>
          <w:p w14:paraId="1C886AD5">
            <w:pPr>
              <w:spacing w:before="181" w:line="360" w:lineRule="auto"/>
              <w:ind w:left="107" w:right="99" w:firstLine="484"/>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如下图所示，声源位</w:t>
            </w:r>
            <w:r>
              <w:rPr>
                <w:rFonts w:hint="default" w:ascii="Times New Roman" w:hAnsi="Times New Roman" w:eastAsia="宋体" w:cs="Times New Roman"/>
                <w:color w:val="auto"/>
                <w:spacing w:val="-3"/>
                <w:sz w:val="24"/>
                <w:szCs w:val="24"/>
              </w:rPr>
              <w:t>于室内，室内声源采用等效室外声源声功率级法进行计算。设靠</w:t>
            </w:r>
            <w:r>
              <w:rPr>
                <w:rFonts w:hint="default" w:ascii="Times New Roman" w:hAnsi="Times New Roman" w:eastAsia="宋体" w:cs="Times New Roman"/>
                <w:color w:val="auto"/>
                <w:spacing w:val="8"/>
                <w:sz w:val="24"/>
                <w:szCs w:val="24"/>
              </w:rPr>
              <w:t>近</w:t>
            </w:r>
            <w:r>
              <w:rPr>
                <w:rFonts w:hint="default" w:ascii="Times New Roman" w:hAnsi="Times New Roman" w:eastAsia="宋体" w:cs="Times New Roman"/>
                <w:color w:val="auto"/>
                <w:spacing w:val="4"/>
                <w:sz w:val="24"/>
                <w:szCs w:val="24"/>
              </w:rPr>
              <w:t>开口处(或窗户)室内、室外某倍频带的声压级分别为</w:t>
            </w:r>
            <w:r>
              <w:rPr>
                <w:rFonts w:hint="default" w:ascii="Times New Roman" w:hAnsi="Times New Roman" w:eastAsia="Times New Roman" w:cs="Times New Roman"/>
                <w:color w:val="auto"/>
                <w:sz w:val="24"/>
                <w:szCs w:val="24"/>
              </w:rPr>
              <w:t>Lp</w:t>
            </w:r>
            <w:r>
              <w:rPr>
                <w:rFonts w:hint="default" w:ascii="Times New Roman" w:hAnsi="Times New Roman" w:eastAsia="Times New Roman" w:cs="Times New Roman"/>
                <w:color w:val="auto"/>
                <w:spacing w:val="4"/>
                <w:sz w:val="24"/>
                <w:szCs w:val="24"/>
              </w:rPr>
              <w:t>1</w:t>
            </w:r>
            <w:r>
              <w:rPr>
                <w:rFonts w:hint="default" w:ascii="Times New Roman" w:hAnsi="Times New Roman" w:eastAsia="宋体" w:cs="Times New Roman"/>
                <w:color w:val="auto"/>
                <w:spacing w:val="4"/>
                <w:sz w:val="24"/>
                <w:szCs w:val="24"/>
              </w:rPr>
              <w:t>和</w:t>
            </w:r>
            <w:r>
              <w:rPr>
                <w:rFonts w:hint="default" w:ascii="Times New Roman" w:hAnsi="Times New Roman" w:eastAsia="Times New Roman" w:cs="Times New Roman"/>
                <w:color w:val="auto"/>
                <w:sz w:val="24"/>
                <w:szCs w:val="24"/>
              </w:rPr>
              <w:t>Lp</w:t>
            </w:r>
            <w:r>
              <w:rPr>
                <w:rFonts w:hint="default" w:ascii="Times New Roman" w:hAnsi="Times New Roman" w:eastAsia="Times New Roman" w:cs="Times New Roman"/>
                <w:color w:val="auto"/>
                <w:spacing w:val="4"/>
                <w:sz w:val="24"/>
                <w:szCs w:val="24"/>
              </w:rPr>
              <w:t>2</w:t>
            </w:r>
            <w:r>
              <w:rPr>
                <w:rFonts w:hint="default" w:ascii="Times New Roman" w:hAnsi="Times New Roman" w:eastAsia="宋体" w:cs="Times New Roman"/>
                <w:color w:val="auto"/>
                <w:spacing w:val="4"/>
                <w:sz w:val="24"/>
                <w:szCs w:val="24"/>
              </w:rPr>
              <w:t>。若声源所在室内</w:t>
            </w:r>
          </w:p>
          <w:p w14:paraId="071244BB">
            <w:pPr>
              <w:spacing w:before="1" w:line="219" w:lineRule="auto"/>
              <w:ind w:left="113"/>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声场为近似扩散声场，则室外的倍频带声压</w:t>
            </w:r>
            <w:r>
              <w:rPr>
                <w:rFonts w:hint="default" w:ascii="Times New Roman" w:hAnsi="Times New Roman" w:eastAsia="宋体" w:cs="Times New Roman"/>
                <w:color w:val="auto"/>
                <w:spacing w:val="-1"/>
                <w:sz w:val="24"/>
                <w:szCs w:val="24"/>
              </w:rPr>
              <w:t>级可按下式近似求出。</w:t>
            </w:r>
          </w:p>
          <w:p w14:paraId="5F51C0B6">
            <w:pPr>
              <w:spacing w:before="143" w:line="612" w:lineRule="exact"/>
              <w:jc w:val="center"/>
              <w:textAlignment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1348740" cy="388620"/>
                  <wp:effectExtent l="0" t="0" r="3810" b="11430"/>
                  <wp:docPr id="36" name="图片 2"/>
                  <wp:cNvGraphicFramePr/>
                  <a:graphic xmlns:a="http://schemas.openxmlformats.org/drawingml/2006/main">
                    <a:graphicData uri="http://schemas.openxmlformats.org/drawingml/2006/picture">
                      <pic:pic xmlns:pic="http://schemas.openxmlformats.org/drawingml/2006/picture">
                        <pic:nvPicPr>
                          <pic:cNvPr id="36" name="图片 2"/>
                          <pic:cNvPicPr/>
                        </pic:nvPicPr>
                        <pic:blipFill>
                          <a:blip r:embed="rId16"/>
                          <a:stretch>
                            <a:fillRect/>
                          </a:stretch>
                        </pic:blipFill>
                        <pic:spPr>
                          <a:xfrm>
                            <a:off x="0" y="0"/>
                            <a:ext cx="1348740" cy="388620"/>
                          </a:xfrm>
                          <a:prstGeom prst="rect">
                            <a:avLst/>
                          </a:prstGeom>
                          <a:noFill/>
                          <a:ln>
                            <a:noFill/>
                          </a:ln>
                        </pic:spPr>
                      </pic:pic>
                    </a:graphicData>
                  </a:graphic>
                </wp:inline>
              </w:drawing>
            </w:r>
          </w:p>
          <w:p w14:paraId="61C58FB2">
            <w:pPr>
              <w:spacing w:before="157" w:line="220" w:lineRule="auto"/>
              <w:ind w:left="593"/>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8"/>
                <w:sz w:val="24"/>
                <w:szCs w:val="24"/>
              </w:rPr>
              <w:t>式中：</w:t>
            </w:r>
            <w:r>
              <w:rPr>
                <w:rFonts w:hint="default" w:ascii="Times New Roman" w:hAnsi="Times New Roman" w:eastAsia="Times New Roman" w:cs="Times New Roman"/>
                <w:color w:val="auto"/>
                <w:sz w:val="24"/>
                <w:szCs w:val="24"/>
              </w:rPr>
              <w:t>T</w:t>
            </w:r>
            <w:r>
              <w:rPr>
                <w:rFonts w:hint="default" w:ascii="Times New Roman" w:hAnsi="Times New Roman" w:eastAsia="Times New Roman" w:cs="Times New Roman"/>
                <w:color w:val="auto"/>
                <w:position w:val="-1"/>
                <w:sz w:val="16"/>
                <w:szCs w:val="16"/>
              </w:rPr>
              <w:t>L</w:t>
            </w:r>
            <w:r>
              <w:rPr>
                <w:rFonts w:hint="default" w:ascii="Times New Roman" w:hAnsi="Times New Roman" w:eastAsia="宋体" w:cs="Times New Roman"/>
                <w:color w:val="auto"/>
                <w:spacing w:val="4"/>
                <w:sz w:val="24"/>
                <w:szCs w:val="24"/>
              </w:rPr>
              <w:t>——隔墙(或窗户)倍频带的隔声量</w:t>
            </w:r>
          </w:p>
          <w:p w14:paraId="1417524D">
            <w:pPr>
              <w:spacing w:before="182" w:line="466" w:lineRule="exact"/>
              <w:ind w:left="590"/>
              <w:rPr>
                <w:rFonts w:hint="default" w:ascii="Times New Roman" w:hAnsi="Times New Roman" w:eastAsia="宋体" w:cs="Times New Roman"/>
                <w:color w:val="auto"/>
                <w:position w:val="17"/>
                <w:sz w:val="24"/>
                <w:szCs w:val="24"/>
              </w:rPr>
            </w:pPr>
            <w:r>
              <w:rPr>
                <w:rFonts w:hint="default" w:ascii="Times New Roman" w:hAnsi="Times New Roman" w:eastAsia="宋体" w:cs="Times New Roman"/>
                <w:color w:val="auto"/>
                <w:spacing w:val="-1"/>
                <w:position w:val="17"/>
                <w:sz w:val="24"/>
                <w:szCs w:val="24"/>
              </w:rPr>
              <w:t>按照下列公式将室外声源的声压级和透</w:t>
            </w:r>
            <w:r>
              <w:rPr>
                <w:rFonts w:hint="default" w:ascii="Times New Roman" w:hAnsi="Times New Roman" w:eastAsia="宋体" w:cs="Times New Roman"/>
                <w:color w:val="auto"/>
                <w:position w:val="17"/>
                <w:sz w:val="24"/>
                <w:szCs w:val="24"/>
              </w:rPr>
              <w:t>过面积换算成等效的室外声源，计算出中</w:t>
            </w:r>
          </w:p>
          <w:p w14:paraId="35596B56">
            <w:pPr>
              <w:spacing w:before="182" w:line="466" w:lineRule="exac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position w:val="17"/>
                <w:sz w:val="24"/>
                <w:szCs w:val="24"/>
              </w:rPr>
              <w:t>心位置位于透声面积(S)处的等效声源的倍频带声功率级。</w:t>
            </w:r>
          </w:p>
          <w:p w14:paraId="5AF6C503">
            <w:pPr>
              <w:spacing w:before="148" w:line="600" w:lineRule="exact"/>
              <w:ind w:firstLine="3729"/>
              <w:textAlignment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1325245" cy="381000"/>
                  <wp:effectExtent l="0" t="0" r="8255" b="0"/>
                  <wp:docPr id="37" name="图片 3"/>
                  <wp:cNvGraphicFramePr/>
                  <a:graphic xmlns:a="http://schemas.openxmlformats.org/drawingml/2006/main">
                    <a:graphicData uri="http://schemas.openxmlformats.org/drawingml/2006/picture">
                      <pic:pic xmlns:pic="http://schemas.openxmlformats.org/drawingml/2006/picture">
                        <pic:nvPicPr>
                          <pic:cNvPr id="37" name="图片 3"/>
                          <pic:cNvPicPr/>
                        </pic:nvPicPr>
                        <pic:blipFill>
                          <a:blip r:embed="rId17"/>
                          <a:stretch>
                            <a:fillRect/>
                          </a:stretch>
                        </pic:blipFill>
                        <pic:spPr>
                          <a:xfrm>
                            <a:off x="0" y="0"/>
                            <a:ext cx="1325245" cy="381000"/>
                          </a:xfrm>
                          <a:prstGeom prst="rect">
                            <a:avLst/>
                          </a:prstGeom>
                          <a:noFill/>
                          <a:ln>
                            <a:noFill/>
                          </a:ln>
                        </pic:spPr>
                      </pic:pic>
                    </a:graphicData>
                  </a:graphic>
                </wp:inline>
              </w:drawing>
            </w:r>
          </w:p>
          <w:p w14:paraId="78D9465E">
            <w:pPr>
              <w:adjustRightInd w:val="0"/>
              <w:snapToGrid w:val="0"/>
              <w:spacing w:line="360" w:lineRule="auto"/>
              <w:ind w:firstLine="472"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2"/>
                <w:sz w:val="24"/>
                <w:szCs w:val="24"/>
              </w:rPr>
              <w:t>然后按照室外声源预测方法计算预</w:t>
            </w:r>
            <w:r>
              <w:rPr>
                <w:rFonts w:hint="default" w:ascii="Times New Roman" w:hAnsi="Times New Roman" w:eastAsia="宋体" w:cs="Times New Roman"/>
                <w:color w:val="auto"/>
                <w:spacing w:val="-1"/>
                <w:sz w:val="24"/>
                <w:szCs w:val="24"/>
              </w:rPr>
              <w:t>测点处的</w:t>
            </w:r>
            <w:r>
              <w:rPr>
                <w:rFonts w:hint="default" w:ascii="Times New Roman" w:hAnsi="Times New Roman" w:eastAsia="Times New Roman" w:cs="Times New Roman"/>
                <w:color w:val="auto"/>
                <w:spacing w:val="-1"/>
                <w:sz w:val="24"/>
                <w:szCs w:val="24"/>
              </w:rPr>
              <w:t>A</w:t>
            </w:r>
            <w:r>
              <w:rPr>
                <w:rFonts w:hint="default" w:ascii="Times New Roman" w:hAnsi="Times New Roman" w:eastAsia="宋体" w:cs="Times New Roman"/>
                <w:color w:val="auto"/>
                <w:spacing w:val="-1"/>
                <w:sz w:val="24"/>
                <w:szCs w:val="24"/>
              </w:rPr>
              <w:t>声级。</w:t>
            </w:r>
          </w:p>
          <w:p w14:paraId="48FB5F26">
            <w:pPr>
              <w:spacing w:before="4" w:line="2102" w:lineRule="exact"/>
              <w:jc w:val="center"/>
              <w:textAlignment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738120" cy="1334135"/>
                  <wp:effectExtent l="0" t="0" r="5080" b="18415"/>
                  <wp:docPr id="38" name="图片 4"/>
                  <wp:cNvGraphicFramePr/>
                  <a:graphic xmlns:a="http://schemas.openxmlformats.org/drawingml/2006/main">
                    <a:graphicData uri="http://schemas.openxmlformats.org/drawingml/2006/picture">
                      <pic:pic xmlns:pic="http://schemas.openxmlformats.org/drawingml/2006/picture">
                        <pic:nvPicPr>
                          <pic:cNvPr id="38" name="图片 4"/>
                          <pic:cNvPicPr/>
                        </pic:nvPicPr>
                        <pic:blipFill>
                          <a:blip r:embed="rId18"/>
                          <a:stretch>
                            <a:fillRect/>
                          </a:stretch>
                        </pic:blipFill>
                        <pic:spPr>
                          <a:xfrm>
                            <a:off x="0" y="0"/>
                            <a:ext cx="2738120" cy="1334135"/>
                          </a:xfrm>
                          <a:prstGeom prst="rect">
                            <a:avLst/>
                          </a:prstGeom>
                          <a:noFill/>
                          <a:ln>
                            <a:noFill/>
                          </a:ln>
                        </pic:spPr>
                      </pic:pic>
                    </a:graphicData>
                  </a:graphic>
                </wp:inline>
              </w:drawing>
            </w:r>
          </w:p>
          <w:p w14:paraId="1E06D5F4">
            <w:pPr>
              <w:spacing w:before="150" w:line="221" w:lineRule="auto"/>
              <w:ind w:left="319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图</w:t>
            </w:r>
            <w:r>
              <w:rPr>
                <w:rFonts w:hint="default" w:ascii="Times New Roman" w:hAnsi="Times New Roman" w:eastAsia="Times New Roman" w:cs="Times New Roman"/>
                <w:b/>
                <w:bCs/>
                <w:color w:val="auto"/>
                <w:spacing w:val="-6"/>
                <w:sz w:val="21"/>
                <w:szCs w:val="21"/>
              </w:rPr>
              <w:t>6</w:t>
            </w:r>
            <w:r>
              <w:rPr>
                <w:rFonts w:hint="default" w:ascii="Times New Roman" w:hAnsi="Times New Roman" w:eastAsia="宋体" w:cs="Times New Roman"/>
                <w:color w:val="auto"/>
                <w:spacing w:val="-3"/>
                <w:sz w:val="21"/>
                <w:szCs w:val="21"/>
              </w:rPr>
              <w:t>室内声源等效为室外声源图例</w:t>
            </w:r>
          </w:p>
          <w:p w14:paraId="4E1A20E2">
            <w:pPr>
              <w:spacing w:before="164" w:line="235" w:lineRule="auto"/>
              <w:ind w:left="588"/>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lang w:val="en-US" w:eastAsia="zh-CN"/>
              </w:rPr>
              <w:t>3</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噪声贡献值计算：</w:t>
            </w:r>
          </w:p>
          <w:p w14:paraId="64445688">
            <w:pPr>
              <w:spacing w:before="160" w:line="360" w:lineRule="auto"/>
              <w:ind w:left="80" w:right="97" w:firstLine="511"/>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2"/>
                <w:sz w:val="24"/>
                <w:szCs w:val="24"/>
              </w:rPr>
              <w:t>设第</w:t>
            </w:r>
            <w:r>
              <w:rPr>
                <w:rFonts w:hint="default" w:ascii="Times New Roman" w:hAnsi="Times New Roman" w:eastAsia="Times New Roman" w:cs="Times New Roman"/>
                <w:color w:val="auto"/>
                <w:spacing w:val="-6"/>
                <w:sz w:val="24"/>
                <w:szCs w:val="24"/>
              </w:rPr>
              <w:t>i</w:t>
            </w:r>
            <w:r>
              <w:rPr>
                <w:rFonts w:hint="default" w:ascii="Times New Roman" w:hAnsi="Times New Roman" w:eastAsia="宋体" w:cs="Times New Roman"/>
                <w:color w:val="auto"/>
                <w:spacing w:val="-6"/>
                <w:sz w:val="24"/>
                <w:szCs w:val="24"/>
              </w:rPr>
              <w:t>个室外声源在预测点产生的</w:t>
            </w:r>
            <w:r>
              <w:rPr>
                <w:rFonts w:hint="default" w:ascii="Times New Roman" w:hAnsi="Times New Roman" w:eastAsia="Times New Roman" w:cs="Times New Roman"/>
                <w:color w:val="auto"/>
                <w:spacing w:val="-6"/>
                <w:sz w:val="24"/>
                <w:szCs w:val="24"/>
              </w:rPr>
              <w:t>A</w:t>
            </w:r>
            <w:r>
              <w:rPr>
                <w:rFonts w:hint="default" w:ascii="Times New Roman" w:hAnsi="Times New Roman" w:eastAsia="宋体" w:cs="Times New Roman"/>
                <w:color w:val="auto"/>
                <w:spacing w:val="-6"/>
                <w:sz w:val="24"/>
                <w:szCs w:val="24"/>
              </w:rPr>
              <w:t>声级为</w:t>
            </w:r>
            <w:r>
              <w:rPr>
                <w:rFonts w:hint="default" w:ascii="Times New Roman" w:hAnsi="Times New Roman" w:eastAsia="Times New Roman" w:cs="Times New Roman"/>
                <w:color w:val="auto"/>
                <w:spacing w:val="-6"/>
                <w:sz w:val="24"/>
                <w:szCs w:val="24"/>
              </w:rPr>
              <w:t>L</w:t>
            </w:r>
            <w:r>
              <w:rPr>
                <w:rFonts w:hint="default" w:ascii="Times New Roman" w:hAnsi="Times New Roman" w:eastAsia="Times New Roman" w:cs="Times New Roman"/>
                <w:color w:val="auto"/>
                <w:spacing w:val="-6"/>
                <w:position w:val="-1"/>
                <w:sz w:val="16"/>
                <w:szCs w:val="16"/>
              </w:rPr>
              <w:t>Ai</w:t>
            </w:r>
            <w:r>
              <w:rPr>
                <w:rFonts w:hint="default" w:ascii="Times New Roman" w:hAnsi="Times New Roman" w:eastAsia="宋体" w:cs="Times New Roman"/>
                <w:color w:val="auto"/>
                <w:spacing w:val="-6"/>
                <w:sz w:val="24"/>
                <w:szCs w:val="24"/>
              </w:rPr>
              <w:t>，在</w:t>
            </w:r>
            <w:r>
              <w:rPr>
                <w:rFonts w:hint="default" w:ascii="Times New Roman" w:hAnsi="Times New Roman" w:eastAsia="Times New Roman" w:cs="Times New Roman"/>
                <w:color w:val="auto"/>
                <w:spacing w:val="-6"/>
                <w:sz w:val="24"/>
                <w:szCs w:val="24"/>
              </w:rPr>
              <w:t>T</w:t>
            </w:r>
            <w:r>
              <w:rPr>
                <w:rFonts w:hint="default" w:ascii="Times New Roman" w:hAnsi="Times New Roman" w:eastAsia="宋体" w:cs="Times New Roman"/>
                <w:color w:val="auto"/>
                <w:spacing w:val="-6"/>
                <w:sz w:val="24"/>
                <w:szCs w:val="24"/>
              </w:rPr>
              <w:t>时间内该声源工作时间为</w:t>
            </w:r>
            <w:r>
              <w:rPr>
                <w:rFonts w:hint="default" w:ascii="Times New Roman" w:hAnsi="Times New Roman" w:eastAsia="Times New Roman" w:cs="Times New Roman"/>
                <w:color w:val="auto"/>
                <w:spacing w:val="-6"/>
                <w:sz w:val="24"/>
                <w:szCs w:val="24"/>
              </w:rPr>
              <w:t>ti</w:t>
            </w:r>
            <w:r>
              <w:rPr>
                <w:rFonts w:hint="default" w:ascii="Times New Roman" w:hAnsi="Times New Roman" w:eastAsia="宋体" w:cs="Times New Roman"/>
                <w:color w:val="auto"/>
                <w:spacing w:val="-6"/>
                <w:sz w:val="24"/>
                <w:szCs w:val="24"/>
              </w:rPr>
              <w:t>；第</w:t>
            </w:r>
            <w:r>
              <w:rPr>
                <w:rFonts w:hint="default" w:ascii="Times New Roman" w:hAnsi="Times New Roman" w:eastAsia="Times New Roman" w:cs="Times New Roman"/>
                <w:color w:val="auto"/>
                <w:spacing w:val="-7"/>
                <w:sz w:val="24"/>
                <w:szCs w:val="24"/>
              </w:rPr>
              <w:t>j</w:t>
            </w:r>
            <w:r>
              <w:rPr>
                <w:rFonts w:hint="default" w:ascii="Times New Roman" w:hAnsi="Times New Roman" w:eastAsia="宋体" w:cs="Times New Roman"/>
                <w:color w:val="auto"/>
                <w:spacing w:val="-8"/>
                <w:sz w:val="24"/>
                <w:szCs w:val="24"/>
              </w:rPr>
              <w:t>个</w:t>
            </w:r>
            <w:r>
              <w:rPr>
                <w:rFonts w:hint="default" w:ascii="Times New Roman" w:hAnsi="Times New Roman" w:eastAsia="宋体" w:cs="Times New Roman"/>
                <w:color w:val="auto"/>
                <w:spacing w:val="-7"/>
                <w:sz w:val="24"/>
                <w:szCs w:val="24"/>
              </w:rPr>
              <w:t>等效室外声源在预测点产生的</w:t>
            </w:r>
            <w:r>
              <w:rPr>
                <w:rFonts w:hint="default" w:ascii="Times New Roman" w:hAnsi="Times New Roman" w:eastAsia="Times New Roman" w:cs="Times New Roman"/>
                <w:color w:val="auto"/>
                <w:spacing w:val="-7"/>
                <w:sz w:val="24"/>
                <w:szCs w:val="24"/>
              </w:rPr>
              <w:t>A</w:t>
            </w:r>
            <w:r>
              <w:rPr>
                <w:rFonts w:hint="default" w:ascii="Times New Roman" w:hAnsi="Times New Roman" w:eastAsia="宋体" w:cs="Times New Roman"/>
                <w:color w:val="auto"/>
                <w:spacing w:val="-7"/>
                <w:sz w:val="24"/>
                <w:szCs w:val="24"/>
              </w:rPr>
              <w:t>声级为</w:t>
            </w:r>
            <w:r>
              <w:rPr>
                <w:rFonts w:hint="default" w:ascii="Times New Roman" w:hAnsi="Times New Roman" w:eastAsia="Times New Roman" w:cs="Times New Roman"/>
                <w:color w:val="auto"/>
                <w:spacing w:val="-7"/>
                <w:sz w:val="24"/>
                <w:szCs w:val="24"/>
              </w:rPr>
              <w:t>L</w:t>
            </w:r>
            <w:r>
              <w:rPr>
                <w:rFonts w:hint="default" w:ascii="Times New Roman" w:hAnsi="Times New Roman" w:eastAsia="Times New Roman" w:cs="Times New Roman"/>
                <w:color w:val="auto"/>
                <w:spacing w:val="-7"/>
                <w:position w:val="-1"/>
                <w:sz w:val="16"/>
                <w:szCs w:val="16"/>
              </w:rPr>
              <w:t>Aj</w:t>
            </w:r>
            <w:r>
              <w:rPr>
                <w:rFonts w:hint="default" w:ascii="Times New Roman" w:hAnsi="Times New Roman" w:eastAsia="宋体" w:cs="Times New Roman"/>
                <w:color w:val="auto"/>
                <w:spacing w:val="-7"/>
                <w:sz w:val="24"/>
                <w:szCs w:val="24"/>
              </w:rPr>
              <w:t>，在</w:t>
            </w:r>
            <w:r>
              <w:rPr>
                <w:rFonts w:hint="default" w:ascii="Times New Roman" w:hAnsi="Times New Roman" w:eastAsia="Times New Roman" w:cs="Times New Roman"/>
                <w:color w:val="auto"/>
                <w:spacing w:val="-7"/>
                <w:sz w:val="24"/>
                <w:szCs w:val="24"/>
              </w:rPr>
              <w:t>T</w:t>
            </w:r>
            <w:r>
              <w:rPr>
                <w:rFonts w:hint="default" w:ascii="Times New Roman" w:hAnsi="Times New Roman" w:eastAsia="宋体" w:cs="Times New Roman"/>
                <w:color w:val="auto"/>
                <w:spacing w:val="-7"/>
                <w:sz w:val="24"/>
                <w:szCs w:val="24"/>
              </w:rPr>
              <w:t>时间内该声源工作时间为</w:t>
            </w:r>
            <w:r>
              <w:rPr>
                <w:rFonts w:hint="default" w:ascii="Times New Roman" w:hAnsi="Times New Roman" w:eastAsia="Times New Roman" w:cs="Times New Roman"/>
                <w:color w:val="auto"/>
                <w:spacing w:val="-7"/>
                <w:sz w:val="24"/>
                <w:szCs w:val="24"/>
              </w:rPr>
              <w:t>tj</w:t>
            </w:r>
            <w:r>
              <w:rPr>
                <w:rFonts w:hint="default" w:ascii="Times New Roman" w:hAnsi="Times New Roman" w:eastAsia="宋体" w:cs="Times New Roman"/>
                <w:color w:val="auto"/>
                <w:spacing w:val="-7"/>
                <w:sz w:val="24"/>
                <w:szCs w:val="24"/>
              </w:rPr>
              <w:t>，则本</w:t>
            </w:r>
          </w:p>
          <w:p w14:paraId="1190AC61">
            <w:pPr>
              <w:spacing w:line="212" w:lineRule="auto"/>
              <w:ind w:left="113"/>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6"/>
                <w:sz w:val="24"/>
                <w:szCs w:val="24"/>
              </w:rPr>
              <w:t>声</w:t>
            </w:r>
            <w:r>
              <w:rPr>
                <w:rFonts w:hint="default" w:ascii="Times New Roman" w:hAnsi="Times New Roman" w:eastAsia="宋体" w:cs="Times New Roman"/>
                <w:color w:val="auto"/>
                <w:spacing w:val="9"/>
                <w:sz w:val="24"/>
                <w:szCs w:val="24"/>
              </w:rPr>
              <w:t>源对预测点产生的贡献值(</w:t>
            </w:r>
            <w:r>
              <w:rPr>
                <w:rFonts w:hint="default" w:ascii="Times New Roman" w:hAnsi="Times New Roman" w:eastAsia="Times New Roman" w:cs="Times New Roman"/>
                <w:color w:val="auto"/>
                <w:sz w:val="24"/>
                <w:szCs w:val="24"/>
              </w:rPr>
              <w:t>L</w:t>
            </w:r>
            <w:r>
              <w:rPr>
                <w:rFonts w:hint="default" w:ascii="Times New Roman" w:hAnsi="Times New Roman" w:eastAsia="Times New Roman" w:cs="Times New Roman"/>
                <w:color w:val="auto"/>
                <w:spacing w:val="9"/>
                <w:sz w:val="24"/>
                <w:szCs w:val="24"/>
              </w:rPr>
              <w:t xml:space="preserve"> </w:t>
            </w:r>
            <w:r>
              <w:rPr>
                <w:rFonts w:hint="default" w:ascii="Times New Roman" w:hAnsi="Times New Roman" w:eastAsia="Times New Roman" w:cs="Times New Roman"/>
                <w:color w:val="auto"/>
                <w:sz w:val="24"/>
                <w:szCs w:val="24"/>
              </w:rPr>
              <w:t>eqg</w:t>
            </w:r>
            <w:r>
              <w:rPr>
                <w:rFonts w:hint="default" w:ascii="Times New Roman" w:hAnsi="Times New Roman" w:eastAsia="宋体" w:cs="Times New Roman"/>
                <w:color w:val="auto"/>
                <w:spacing w:val="9"/>
                <w:sz w:val="24"/>
                <w:szCs w:val="24"/>
              </w:rPr>
              <w:t>)为：</w:t>
            </w:r>
          </w:p>
          <w:p w14:paraId="35D7D3C0">
            <w:pPr>
              <w:spacing w:before="152" w:line="1224" w:lineRule="exact"/>
              <w:ind w:firstLine="2205"/>
              <w:textAlignment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3260725" cy="776605"/>
                  <wp:effectExtent l="0" t="0" r="15875" b="4445"/>
                  <wp:docPr id="39" name="图片 5"/>
                  <wp:cNvGraphicFramePr/>
                  <a:graphic xmlns:a="http://schemas.openxmlformats.org/drawingml/2006/main">
                    <a:graphicData uri="http://schemas.openxmlformats.org/drawingml/2006/picture">
                      <pic:pic xmlns:pic="http://schemas.openxmlformats.org/drawingml/2006/picture">
                        <pic:nvPicPr>
                          <pic:cNvPr id="39" name="图片 5"/>
                          <pic:cNvPicPr/>
                        </pic:nvPicPr>
                        <pic:blipFill>
                          <a:blip r:embed="rId19"/>
                          <a:stretch>
                            <a:fillRect/>
                          </a:stretch>
                        </pic:blipFill>
                        <pic:spPr>
                          <a:xfrm>
                            <a:off x="0" y="0"/>
                            <a:ext cx="3260725" cy="776605"/>
                          </a:xfrm>
                          <a:prstGeom prst="rect">
                            <a:avLst/>
                          </a:prstGeom>
                          <a:noFill/>
                          <a:ln>
                            <a:noFill/>
                          </a:ln>
                        </pic:spPr>
                      </pic:pic>
                    </a:graphicData>
                  </a:graphic>
                </wp:inline>
              </w:drawing>
            </w:r>
          </w:p>
          <w:p w14:paraId="3F5498C6">
            <w:pPr>
              <w:spacing w:before="157" w:line="212" w:lineRule="auto"/>
              <w:ind w:left="593"/>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0"/>
                <w:sz w:val="24"/>
                <w:szCs w:val="24"/>
              </w:rPr>
              <w:t>式</w:t>
            </w:r>
            <w:r>
              <w:rPr>
                <w:rFonts w:hint="default" w:ascii="Times New Roman" w:hAnsi="Times New Roman" w:eastAsia="宋体" w:cs="Times New Roman"/>
                <w:color w:val="auto"/>
                <w:spacing w:val="-9"/>
                <w:sz w:val="24"/>
                <w:szCs w:val="24"/>
              </w:rPr>
              <w:t>中：</w:t>
            </w:r>
            <w:r>
              <w:rPr>
                <w:rFonts w:hint="default" w:ascii="Times New Roman" w:hAnsi="Times New Roman" w:eastAsia="Times New Roman" w:cs="Times New Roman"/>
                <w:color w:val="auto"/>
                <w:spacing w:val="-9"/>
                <w:sz w:val="24"/>
                <w:szCs w:val="24"/>
              </w:rPr>
              <w:t>tj</w:t>
            </w:r>
            <w:r>
              <w:rPr>
                <w:rFonts w:hint="default" w:ascii="Times New Roman" w:hAnsi="Times New Roman" w:eastAsia="宋体" w:cs="Times New Roman"/>
                <w:color w:val="auto"/>
                <w:spacing w:val="-9"/>
                <w:sz w:val="24"/>
                <w:szCs w:val="24"/>
              </w:rPr>
              <w:t>—在</w:t>
            </w:r>
            <w:r>
              <w:rPr>
                <w:rFonts w:hint="default" w:ascii="Times New Roman" w:hAnsi="Times New Roman" w:eastAsia="Times New Roman" w:cs="Times New Roman"/>
                <w:color w:val="auto"/>
                <w:spacing w:val="-9"/>
                <w:sz w:val="24"/>
                <w:szCs w:val="24"/>
              </w:rPr>
              <w:t>T</w:t>
            </w:r>
            <w:r>
              <w:rPr>
                <w:rFonts w:hint="default" w:ascii="Times New Roman" w:hAnsi="Times New Roman" w:eastAsia="宋体" w:cs="Times New Roman"/>
                <w:color w:val="auto"/>
                <w:spacing w:val="-9"/>
                <w:sz w:val="24"/>
                <w:szCs w:val="24"/>
              </w:rPr>
              <w:t>时间内</w:t>
            </w:r>
            <w:r>
              <w:rPr>
                <w:rFonts w:hint="default" w:ascii="Times New Roman" w:hAnsi="Times New Roman" w:eastAsia="Times New Roman" w:cs="Times New Roman"/>
                <w:color w:val="auto"/>
                <w:spacing w:val="-9"/>
                <w:sz w:val="24"/>
                <w:szCs w:val="24"/>
              </w:rPr>
              <w:t>j</w:t>
            </w:r>
            <w:r>
              <w:rPr>
                <w:rFonts w:hint="default" w:ascii="Times New Roman" w:hAnsi="Times New Roman" w:eastAsia="宋体" w:cs="Times New Roman"/>
                <w:color w:val="auto"/>
                <w:spacing w:val="-9"/>
                <w:sz w:val="24"/>
                <w:szCs w:val="24"/>
              </w:rPr>
              <w:t>声源工作时间，</w:t>
            </w:r>
            <w:r>
              <w:rPr>
                <w:rFonts w:hint="default" w:ascii="Times New Roman" w:hAnsi="Times New Roman" w:eastAsia="Times New Roman" w:cs="Times New Roman"/>
                <w:color w:val="auto"/>
                <w:spacing w:val="-9"/>
                <w:sz w:val="24"/>
                <w:szCs w:val="24"/>
              </w:rPr>
              <w:t>s</w:t>
            </w:r>
            <w:r>
              <w:rPr>
                <w:rFonts w:hint="default" w:ascii="Times New Roman" w:hAnsi="Times New Roman" w:eastAsia="宋体" w:cs="Times New Roman"/>
                <w:color w:val="auto"/>
                <w:spacing w:val="-9"/>
                <w:sz w:val="24"/>
                <w:szCs w:val="24"/>
              </w:rPr>
              <w:t>；</w:t>
            </w:r>
          </w:p>
          <w:p w14:paraId="5B0EB5B9">
            <w:pPr>
              <w:spacing w:before="192" w:line="465" w:lineRule="exact"/>
              <w:ind w:left="1301"/>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5"/>
                <w:position w:val="16"/>
                <w:sz w:val="24"/>
                <w:szCs w:val="24"/>
              </w:rPr>
              <w:t>ti</w:t>
            </w:r>
            <w:r>
              <w:rPr>
                <w:rFonts w:hint="default" w:ascii="Times New Roman" w:hAnsi="Times New Roman" w:eastAsia="宋体" w:cs="Times New Roman"/>
                <w:color w:val="auto"/>
                <w:spacing w:val="-5"/>
                <w:position w:val="16"/>
                <w:sz w:val="24"/>
                <w:szCs w:val="24"/>
              </w:rPr>
              <w:t>—在</w:t>
            </w:r>
            <w:r>
              <w:rPr>
                <w:rFonts w:hint="default" w:ascii="Times New Roman" w:hAnsi="Times New Roman" w:eastAsia="Times New Roman" w:cs="Times New Roman"/>
                <w:color w:val="auto"/>
                <w:spacing w:val="-5"/>
                <w:position w:val="16"/>
                <w:sz w:val="24"/>
                <w:szCs w:val="24"/>
              </w:rPr>
              <w:t>T</w:t>
            </w:r>
            <w:r>
              <w:rPr>
                <w:rFonts w:hint="default" w:ascii="Times New Roman" w:hAnsi="Times New Roman" w:eastAsia="宋体" w:cs="Times New Roman"/>
                <w:color w:val="auto"/>
                <w:spacing w:val="-5"/>
                <w:position w:val="16"/>
                <w:sz w:val="24"/>
                <w:szCs w:val="24"/>
              </w:rPr>
              <w:t>时间内</w:t>
            </w:r>
            <w:r>
              <w:rPr>
                <w:rFonts w:hint="default" w:ascii="Times New Roman" w:hAnsi="Times New Roman" w:eastAsia="Times New Roman" w:cs="Times New Roman"/>
                <w:color w:val="auto"/>
                <w:spacing w:val="-5"/>
                <w:position w:val="16"/>
                <w:sz w:val="24"/>
                <w:szCs w:val="24"/>
              </w:rPr>
              <w:t>i</w:t>
            </w:r>
            <w:r>
              <w:rPr>
                <w:rFonts w:hint="default" w:ascii="Times New Roman" w:hAnsi="Times New Roman" w:eastAsia="宋体" w:cs="Times New Roman"/>
                <w:color w:val="auto"/>
                <w:spacing w:val="-5"/>
                <w:position w:val="16"/>
                <w:sz w:val="24"/>
                <w:szCs w:val="24"/>
              </w:rPr>
              <w:t>声源工作时间，</w:t>
            </w:r>
            <w:r>
              <w:rPr>
                <w:rFonts w:hint="default" w:ascii="Times New Roman" w:hAnsi="Times New Roman" w:eastAsia="Times New Roman" w:cs="Times New Roman"/>
                <w:color w:val="auto"/>
                <w:spacing w:val="-5"/>
                <w:position w:val="16"/>
                <w:sz w:val="24"/>
                <w:szCs w:val="24"/>
              </w:rPr>
              <w:t>s</w:t>
            </w:r>
            <w:r>
              <w:rPr>
                <w:rFonts w:hint="default" w:ascii="Times New Roman" w:hAnsi="Times New Roman" w:eastAsia="宋体" w:cs="Times New Roman"/>
                <w:color w:val="auto"/>
                <w:spacing w:val="-5"/>
                <w:position w:val="16"/>
                <w:sz w:val="24"/>
                <w:szCs w:val="24"/>
              </w:rPr>
              <w:t>；</w:t>
            </w:r>
          </w:p>
          <w:p w14:paraId="66F7270C">
            <w:pPr>
              <w:spacing w:before="1" w:line="235" w:lineRule="auto"/>
              <w:ind w:left="1306"/>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7"/>
                <w:sz w:val="24"/>
                <w:szCs w:val="24"/>
              </w:rPr>
              <w:t>T</w:t>
            </w:r>
            <w:r>
              <w:rPr>
                <w:rFonts w:hint="default" w:ascii="Times New Roman" w:hAnsi="Times New Roman" w:eastAsia="宋体" w:cs="Times New Roman"/>
                <w:color w:val="auto"/>
                <w:spacing w:val="-7"/>
                <w:sz w:val="24"/>
                <w:szCs w:val="24"/>
              </w:rPr>
              <w:t>—用于计算等效声级的时间，</w:t>
            </w:r>
            <w:r>
              <w:rPr>
                <w:rFonts w:hint="default" w:ascii="Times New Roman" w:hAnsi="Times New Roman" w:eastAsia="Times New Roman" w:cs="Times New Roman"/>
                <w:color w:val="auto"/>
                <w:spacing w:val="-6"/>
                <w:sz w:val="24"/>
                <w:szCs w:val="24"/>
              </w:rPr>
              <w:t>s</w:t>
            </w:r>
            <w:r>
              <w:rPr>
                <w:rFonts w:hint="default" w:ascii="Times New Roman" w:hAnsi="Times New Roman" w:eastAsia="宋体" w:cs="Times New Roman"/>
                <w:color w:val="auto"/>
                <w:spacing w:val="-7"/>
                <w:sz w:val="24"/>
                <w:szCs w:val="24"/>
              </w:rPr>
              <w:t>；</w:t>
            </w:r>
          </w:p>
          <w:p w14:paraId="379B092B">
            <w:pPr>
              <w:spacing w:before="163" w:line="236" w:lineRule="auto"/>
              <w:ind w:left="1296"/>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4"/>
                <w:sz w:val="24"/>
                <w:szCs w:val="24"/>
              </w:rPr>
              <w:t>N</w:t>
            </w:r>
            <w:r>
              <w:rPr>
                <w:rFonts w:hint="default" w:ascii="Times New Roman" w:hAnsi="Times New Roman" w:eastAsia="宋体" w:cs="Times New Roman"/>
                <w:color w:val="auto"/>
                <w:spacing w:val="-4"/>
                <w:sz w:val="24"/>
                <w:szCs w:val="24"/>
              </w:rPr>
              <w:t>—室外声源个数；</w:t>
            </w:r>
          </w:p>
          <w:p w14:paraId="5994E97F">
            <w:pPr>
              <w:spacing w:before="159" w:line="238" w:lineRule="auto"/>
              <w:ind w:left="1303"/>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2"/>
                <w:sz w:val="24"/>
                <w:szCs w:val="24"/>
              </w:rPr>
              <w:t>M</w:t>
            </w:r>
            <w:r>
              <w:rPr>
                <w:rFonts w:hint="default" w:ascii="Times New Roman" w:hAnsi="Times New Roman" w:eastAsia="宋体" w:cs="Times New Roman"/>
                <w:color w:val="auto"/>
                <w:spacing w:val="-4"/>
                <w:sz w:val="24"/>
                <w:szCs w:val="24"/>
              </w:rPr>
              <w:t>—等</w:t>
            </w:r>
            <w:r>
              <w:rPr>
                <w:rFonts w:hint="default" w:ascii="Times New Roman" w:hAnsi="Times New Roman" w:eastAsia="宋体" w:cs="Times New Roman"/>
                <w:color w:val="auto"/>
                <w:spacing w:val="-2"/>
                <w:sz w:val="24"/>
                <w:szCs w:val="24"/>
              </w:rPr>
              <w:t>效室外声源个数。</w:t>
            </w:r>
          </w:p>
          <w:p w14:paraId="3E1CB393">
            <w:pPr>
              <w:spacing w:before="158" w:line="220" w:lineRule="auto"/>
              <w:ind w:left="594"/>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4"/>
                <w:sz w:val="24"/>
                <w:szCs w:val="24"/>
              </w:rPr>
              <w:t>(</w:t>
            </w:r>
            <w:r>
              <w:rPr>
                <w:rFonts w:hint="default" w:ascii="Times New Roman" w:hAnsi="Times New Roman" w:eastAsia="宋体" w:cs="Times New Roman"/>
                <w:color w:val="auto"/>
                <w:spacing w:val="10"/>
                <w:sz w:val="24"/>
                <w:szCs w:val="24"/>
              </w:rPr>
              <w:t>三)噪声预测结果</w:t>
            </w:r>
          </w:p>
          <w:p w14:paraId="7C41A36B">
            <w:pPr>
              <w:spacing w:before="181" w:line="357" w:lineRule="auto"/>
              <w:ind w:left="109" w:right="16"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本项目位于淄博市淄川区西外环路将军路街道办事处河洼工业园北首（锦明陶瓷现有厂区内）</w:t>
            </w:r>
            <w:r>
              <w:rPr>
                <w:rFonts w:hint="default" w:ascii="Times New Roman" w:hAnsi="Times New Roman" w:eastAsia="宋体" w:cs="Times New Roman"/>
                <w:color w:val="auto"/>
                <w:spacing w:val="-3"/>
                <w:sz w:val="24"/>
                <w:szCs w:val="24"/>
              </w:rPr>
              <w:t>，厂区</w:t>
            </w:r>
            <w:r>
              <w:rPr>
                <w:rFonts w:hint="default" w:ascii="Times New Roman" w:hAnsi="Times New Roman" w:cs="Times New Roman"/>
                <w:color w:val="auto"/>
                <w:spacing w:val="-3"/>
                <w:sz w:val="24"/>
                <w:szCs w:val="24"/>
                <w:lang w:val="en-US" w:eastAsia="zh-CN"/>
              </w:rPr>
              <w:t>周边</w:t>
            </w:r>
            <w:r>
              <w:rPr>
                <w:rFonts w:hint="default" w:ascii="Times New Roman" w:hAnsi="Times New Roman" w:eastAsia="宋体" w:cs="Times New Roman"/>
                <w:color w:val="auto"/>
                <w:spacing w:val="-3"/>
                <w:sz w:val="24"/>
                <w:szCs w:val="24"/>
              </w:rPr>
              <w:t>无噪声</w:t>
            </w:r>
            <w:r>
              <w:rPr>
                <w:rFonts w:hint="default" w:ascii="Times New Roman" w:hAnsi="Times New Roman" w:eastAsia="宋体" w:cs="Times New Roman"/>
                <w:color w:val="auto"/>
                <w:spacing w:val="-14"/>
                <w:sz w:val="24"/>
                <w:szCs w:val="24"/>
              </w:rPr>
              <w:t>敏</w:t>
            </w:r>
            <w:r>
              <w:rPr>
                <w:rFonts w:hint="default" w:ascii="Times New Roman" w:hAnsi="Times New Roman" w:eastAsia="宋体" w:cs="Times New Roman"/>
                <w:color w:val="auto"/>
                <w:spacing w:val="-7"/>
                <w:sz w:val="24"/>
                <w:szCs w:val="24"/>
              </w:rPr>
              <w:t>感点，故本次噪声预测厂界以</w:t>
            </w:r>
            <w:r>
              <w:rPr>
                <w:rFonts w:hint="default" w:ascii="Times New Roman" w:hAnsi="Times New Roman" w:cs="Times New Roman"/>
                <w:color w:val="auto"/>
                <w:spacing w:val="-7"/>
                <w:sz w:val="24"/>
                <w:szCs w:val="24"/>
                <w:lang w:eastAsia="zh-CN"/>
              </w:rPr>
              <w:t>淄博锦明陶瓷材料有限公司</w:t>
            </w:r>
            <w:r>
              <w:rPr>
                <w:rFonts w:hint="default" w:ascii="Times New Roman" w:hAnsi="Times New Roman" w:eastAsia="宋体" w:cs="Times New Roman"/>
                <w:color w:val="auto"/>
                <w:spacing w:val="-7"/>
                <w:sz w:val="24"/>
                <w:szCs w:val="24"/>
              </w:rPr>
              <w:t>厂房边界为准。预测结果见下表。</w:t>
            </w:r>
          </w:p>
          <w:p w14:paraId="2CA4EC3C">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 xml:space="preserve">表4-8  </w:t>
            </w:r>
            <w:r>
              <w:rPr>
                <w:rFonts w:hint="eastAsia" w:eastAsia="黑体" w:cs="Times New Roman"/>
                <w:b w:val="0"/>
                <w:bCs w:val="0"/>
                <w:color w:val="auto"/>
                <w:kern w:val="0"/>
                <w:sz w:val="24"/>
                <w:szCs w:val="24"/>
                <w:lang w:val="en-US" w:eastAsia="zh-CN"/>
              </w:rPr>
              <w:t>本</w:t>
            </w:r>
            <w:r>
              <w:rPr>
                <w:rFonts w:hint="default" w:ascii="Times New Roman" w:hAnsi="Times New Roman" w:eastAsia="黑体" w:cs="Times New Roman"/>
                <w:b w:val="0"/>
                <w:bCs w:val="0"/>
                <w:color w:val="auto"/>
                <w:kern w:val="0"/>
                <w:sz w:val="24"/>
                <w:szCs w:val="24"/>
                <w:lang w:val="en-US" w:eastAsia="zh-CN"/>
              </w:rPr>
              <w:t>项目设备正常运转时厂界噪声预测值一览表(单位：dB(A))</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354"/>
              <w:gridCol w:w="1135"/>
              <w:gridCol w:w="1141"/>
              <w:gridCol w:w="1135"/>
              <w:gridCol w:w="1135"/>
              <w:gridCol w:w="1143"/>
            </w:tblGrid>
            <w:tr w14:paraId="7EE58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7" w:type="pct"/>
                  <w:vMerge w:val="restart"/>
                  <w:tcBorders>
                    <w:tl2br w:val="nil"/>
                    <w:tr2bl w:val="nil"/>
                  </w:tcBorders>
                  <w:noWrap w:val="0"/>
                  <w:vAlign w:val="center"/>
                </w:tcPr>
                <w:p w14:paraId="179366F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序</w:t>
                  </w:r>
                  <w:r>
                    <w:rPr>
                      <w:rStyle w:val="58"/>
                      <w:rFonts w:hint="default" w:ascii="Times New Roman" w:hAnsi="Times New Roman" w:cs="Times New Roman"/>
                      <w:snapToGrid w:val="0"/>
                      <w:color w:val="auto"/>
                      <w:sz w:val="21"/>
                      <w:szCs w:val="21"/>
                      <w:lang w:val="en-US" w:eastAsia="zh-CN" w:bidi="ar"/>
                    </w:rPr>
                    <w:t>号</w:t>
                  </w:r>
                </w:p>
              </w:tc>
              <w:tc>
                <w:tcPr>
                  <w:tcW w:w="852" w:type="pct"/>
                  <w:vMerge w:val="restart"/>
                  <w:tcBorders>
                    <w:tl2br w:val="nil"/>
                    <w:tr2bl w:val="nil"/>
                  </w:tcBorders>
                  <w:noWrap w:val="0"/>
                  <w:vAlign w:val="center"/>
                </w:tcPr>
                <w:p w14:paraId="4A4D1BF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声环</w:t>
                  </w:r>
                  <w:r>
                    <w:rPr>
                      <w:rStyle w:val="58"/>
                      <w:rFonts w:hint="default" w:ascii="Times New Roman" w:hAnsi="Times New Roman" w:cs="Times New Roman"/>
                      <w:snapToGrid w:val="0"/>
                      <w:color w:val="auto"/>
                      <w:sz w:val="21"/>
                      <w:szCs w:val="21"/>
                      <w:lang w:val="en-US" w:eastAsia="zh-CN" w:bidi="ar"/>
                    </w:rPr>
                    <w:t>境保护目标名称</w:t>
                  </w:r>
                </w:p>
              </w:tc>
              <w:tc>
                <w:tcPr>
                  <w:tcW w:w="3579" w:type="pct"/>
                  <w:gridSpan w:val="5"/>
                  <w:tcBorders>
                    <w:tl2br w:val="nil"/>
                    <w:tr2bl w:val="nil"/>
                  </w:tcBorders>
                  <w:noWrap w:val="0"/>
                  <w:vAlign w:val="center"/>
                </w:tcPr>
                <w:p w14:paraId="144C8C5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cs="Times New Roman"/>
                      <w:i w:val="0"/>
                      <w:iCs w:val="0"/>
                      <w:snapToGrid w:val="0"/>
                      <w:color w:val="auto"/>
                      <w:kern w:val="0"/>
                      <w:sz w:val="21"/>
                      <w:szCs w:val="21"/>
                      <w:u w:val="none"/>
                      <w:lang w:val="en-US" w:eastAsia="zh-CN" w:bidi="ar"/>
                    </w:rPr>
                    <w:t>昼间</w:t>
                  </w:r>
                </w:p>
              </w:tc>
            </w:tr>
            <w:tr w14:paraId="6F42C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7" w:type="pct"/>
                  <w:vMerge w:val="continue"/>
                  <w:tcBorders>
                    <w:tl2br w:val="nil"/>
                    <w:tr2bl w:val="nil"/>
                  </w:tcBorders>
                  <w:noWrap w:val="0"/>
                  <w:vAlign w:val="center"/>
                </w:tcPr>
                <w:p w14:paraId="721CADED">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852" w:type="pct"/>
                  <w:vMerge w:val="continue"/>
                  <w:tcBorders>
                    <w:tl2br w:val="nil"/>
                    <w:tr2bl w:val="nil"/>
                  </w:tcBorders>
                  <w:noWrap w:val="0"/>
                  <w:vAlign w:val="center"/>
                </w:tcPr>
                <w:p w14:paraId="4B4FB2FE">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auto"/>
                      <w:sz w:val="21"/>
                      <w:szCs w:val="21"/>
                      <w:u w:val="none"/>
                    </w:rPr>
                  </w:pPr>
                </w:p>
              </w:tc>
              <w:tc>
                <w:tcPr>
                  <w:tcW w:w="714" w:type="pct"/>
                  <w:tcBorders>
                    <w:right w:val="single" w:color="000000" w:sz="4" w:space="0"/>
                    <w:tl2br w:val="nil"/>
                    <w:tr2bl w:val="nil"/>
                  </w:tcBorders>
                  <w:noWrap w:val="0"/>
                  <w:vAlign w:val="center"/>
                </w:tcPr>
                <w:p w14:paraId="47F1EACB">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贡献值/dB(A)</w:t>
                  </w:r>
                </w:p>
              </w:tc>
              <w:tc>
                <w:tcPr>
                  <w:tcW w:w="718" w:type="pct"/>
                  <w:tcBorders>
                    <w:left w:val="single" w:color="000000" w:sz="4" w:space="0"/>
                    <w:tl2br w:val="nil"/>
                    <w:tr2bl w:val="nil"/>
                  </w:tcBorders>
                  <w:noWrap w:val="0"/>
                  <w:vAlign w:val="center"/>
                </w:tcPr>
                <w:p w14:paraId="4E8B845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snapToGrid w:val="0"/>
                      <w:color w:val="auto"/>
                      <w:kern w:val="0"/>
                      <w:sz w:val="21"/>
                      <w:szCs w:val="21"/>
                      <w:u w:val="none"/>
                      <w:lang w:val="en-US" w:eastAsia="zh-CN" w:bidi="ar"/>
                    </w:rPr>
                    <w:t>现状值</w:t>
                  </w:r>
                  <w:r>
                    <w:rPr>
                      <w:rStyle w:val="59"/>
                      <w:rFonts w:hint="default" w:ascii="Times New Roman" w:hAnsi="Times New Roman" w:eastAsia="宋体" w:cs="Times New Roman"/>
                      <w:snapToGrid w:val="0"/>
                      <w:color w:val="auto"/>
                      <w:sz w:val="21"/>
                      <w:szCs w:val="21"/>
                      <w:lang w:val="en-US" w:eastAsia="zh-CN" w:bidi="ar"/>
                    </w:rPr>
                    <w:t>/dB(A)</w:t>
                  </w:r>
                </w:p>
              </w:tc>
              <w:tc>
                <w:tcPr>
                  <w:tcW w:w="714" w:type="pct"/>
                  <w:tcBorders>
                    <w:right w:val="single" w:color="000000" w:sz="4" w:space="0"/>
                    <w:tl2br w:val="nil"/>
                    <w:tr2bl w:val="nil"/>
                  </w:tcBorders>
                  <w:noWrap w:val="0"/>
                  <w:vAlign w:val="center"/>
                </w:tcPr>
                <w:p w14:paraId="525909E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eastAsia" w:cs="Times New Roman"/>
                      <w:i w:val="0"/>
                      <w:iCs w:val="0"/>
                      <w:snapToGrid w:val="0"/>
                      <w:color w:val="auto"/>
                      <w:kern w:val="0"/>
                      <w:sz w:val="21"/>
                      <w:szCs w:val="21"/>
                      <w:u w:val="none"/>
                      <w:lang w:val="en-US" w:eastAsia="zh-CN" w:bidi="ar"/>
                    </w:rPr>
                    <w:t>叠加值</w:t>
                  </w:r>
                  <w:r>
                    <w:rPr>
                      <w:rStyle w:val="59"/>
                      <w:rFonts w:hint="default" w:ascii="Times New Roman" w:hAnsi="Times New Roman" w:eastAsia="宋体" w:cs="Times New Roman"/>
                      <w:snapToGrid w:val="0"/>
                      <w:color w:val="auto"/>
                      <w:sz w:val="21"/>
                      <w:szCs w:val="21"/>
                      <w:lang w:val="en-US" w:eastAsia="zh-CN" w:bidi="ar"/>
                    </w:rPr>
                    <w:t>/dB(A)</w:t>
                  </w:r>
                </w:p>
              </w:tc>
              <w:tc>
                <w:tcPr>
                  <w:tcW w:w="714" w:type="pct"/>
                  <w:tcBorders>
                    <w:left w:val="single" w:color="000000" w:sz="4" w:space="0"/>
                    <w:tl2br w:val="nil"/>
                    <w:tr2bl w:val="nil"/>
                  </w:tcBorders>
                  <w:shd w:val="clear" w:color="auto" w:fill="auto"/>
                  <w:noWrap w:val="0"/>
                  <w:vAlign w:val="center"/>
                </w:tcPr>
                <w:p w14:paraId="3DBEFEC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标准</w:t>
                  </w:r>
                  <w:r>
                    <w:rPr>
                      <w:rFonts w:hint="eastAsia" w:cs="Times New Roman"/>
                      <w:i w:val="0"/>
                      <w:iCs w:val="0"/>
                      <w:snapToGrid w:val="0"/>
                      <w:color w:val="auto"/>
                      <w:kern w:val="0"/>
                      <w:sz w:val="21"/>
                      <w:szCs w:val="21"/>
                      <w:u w:val="none"/>
                      <w:lang w:val="en-US" w:eastAsia="zh-CN" w:bidi="ar"/>
                    </w:rPr>
                    <w:t>值</w:t>
                  </w:r>
                  <w:r>
                    <w:rPr>
                      <w:rStyle w:val="59"/>
                      <w:rFonts w:hint="default" w:ascii="Times New Roman" w:hAnsi="Times New Roman" w:eastAsia="宋体" w:cs="Times New Roman"/>
                      <w:snapToGrid w:val="0"/>
                      <w:color w:val="auto"/>
                      <w:sz w:val="21"/>
                      <w:szCs w:val="21"/>
                      <w:lang w:val="en-US" w:eastAsia="zh-CN" w:bidi="ar"/>
                    </w:rPr>
                    <w:t>/dB(A)</w:t>
                  </w:r>
                </w:p>
              </w:tc>
              <w:tc>
                <w:tcPr>
                  <w:tcW w:w="718" w:type="pct"/>
                  <w:tcBorders>
                    <w:left w:val="single" w:color="000000" w:sz="4" w:space="0"/>
                    <w:tl2br w:val="nil"/>
                    <w:tr2bl w:val="nil"/>
                  </w:tcBorders>
                  <w:noWrap w:val="0"/>
                  <w:vAlign w:val="center"/>
                </w:tcPr>
                <w:p w14:paraId="3C0F54F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sz w:val="21"/>
                      <w:szCs w:val="21"/>
                      <w:u w:val="none"/>
                    </w:rPr>
                  </w:pPr>
                  <w:r>
                    <w:rPr>
                      <w:rFonts w:hint="eastAsia" w:cs="Times New Roman"/>
                      <w:i w:val="0"/>
                      <w:iCs w:val="0"/>
                      <w:snapToGrid w:val="0"/>
                      <w:color w:val="auto"/>
                      <w:kern w:val="0"/>
                      <w:sz w:val="21"/>
                      <w:szCs w:val="21"/>
                      <w:u w:val="none"/>
                      <w:lang w:val="en-US" w:eastAsia="zh-CN" w:bidi="ar"/>
                    </w:rPr>
                    <w:t>是否达标</w:t>
                  </w:r>
                </w:p>
              </w:tc>
            </w:tr>
            <w:tr w14:paraId="2FAB1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7" w:type="pct"/>
                  <w:tcBorders>
                    <w:tl2br w:val="nil"/>
                    <w:tr2bl w:val="nil"/>
                  </w:tcBorders>
                  <w:noWrap w:val="0"/>
                  <w:vAlign w:val="center"/>
                </w:tcPr>
                <w:p w14:paraId="4B7CABD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1</w:t>
                  </w:r>
                </w:p>
              </w:tc>
              <w:tc>
                <w:tcPr>
                  <w:tcW w:w="852" w:type="pct"/>
                  <w:tcBorders>
                    <w:tl2br w:val="nil"/>
                    <w:tr2bl w:val="nil"/>
                  </w:tcBorders>
                  <w:noWrap w:val="0"/>
                  <w:vAlign w:val="center"/>
                </w:tcPr>
                <w:p w14:paraId="7052988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东界外1m</w:t>
                  </w:r>
                </w:p>
              </w:tc>
              <w:tc>
                <w:tcPr>
                  <w:tcW w:w="714" w:type="pct"/>
                  <w:tcBorders>
                    <w:tl2br w:val="nil"/>
                    <w:tr2bl w:val="nil"/>
                  </w:tcBorders>
                  <w:noWrap w:val="0"/>
                  <w:vAlign w:val="center"/>
                </w:tcPr>
                <w:p w14:paraId="0A5BA49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45</w:t>
                  </w:r>
                </w:p>
              </w:tc>
              <w:tc>
                <w:tcPr>
                  <w:tcW w:w="718" w:type="pct"/>
                  <w:tcBorders>
                    <w:tl2br w:val="nil"/>
                    <w:tr2bl w:val="nil"/>
                  </w:tcBorders>
                  <w:noWrap w:val="0"/>
                  <w:vAlign w:val="center"/>
                </w:tcPr>
                <w:p w14:paraId="234568B3">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54.4</w:t>
                  </w:r>
                </w:p>
              </w:tc>
              <w:tc>
                <w:tcPr>
                  <w:tcW w:w="714" w:type="pct"/>
                  <w:tcBorders>
                    <w:tl2br w:val="nil"/>
                    <w:tr2bl w:val="nil"/>
                  </w:tcBorders>
                  <w:noWrap w:val="0"/>
                  <w:vAlign w:val="center"/>
                </w:tcPr>
                <w:p w14:paraId="0DE561B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54.87</w:t>
                  </w:r>
                </w:p>
              </w:tc>
              <w:tc>
                <w:tcPr>
                  <w:tcW w:w="714" w:type="pct"/>
                  <w:tcBorders>
                    <w:tl2br w:val="nil"/>
                    <w:tr2bl w:val="nil"/>
                  </w:tcBorders>
                  <w:shd w:val="clear" w:color="auto" w:fill="auto"/>
                  <w:noWrap w:val="0"/>
                  <w:vAlign w:val="center"/>
                </w:tcPr>
                <w:p w14:paraId="2EC0A895">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60</w:t>
                  </w:r>
                </w:p>
              </w:tc>
              <w:tc>
                <w:tcPr>
                  <w:tcW w:w="718" w:type="pct"/>
                  <w:tcBorders>
                    <w:tl2br w:val="nil"/>
                    <w:tr2bl w:val="nil"/>
                  </w:tcBorders>
                  <w:noWrap w:val="0"/>
                  <w:vAlign w:val="center"/>
                </w:tcPr>
                <w:p w14:paraId="08CC70B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14:paraId="1841C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7" w:type="pct"/>
                  <w:tcBorders>
                    <w:tl2br w:val="nil"/>
                    <w:tr2bl w:val="nil"/>
                  </w:tcBorders>
                  <w:noWrap w:val="0"/>
                  <w:vAlign w:val="center"/>
                </w:tcPr>
                <w:p w14:paraId="5097F65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2</w:t>
                  </w:r>
                </w:p>
              </w:tc>
              <w:tc>
                <w:tcPr>
                  <w:tcW w:w="852" w:type="pct"/>
                  <w:tcBorders>
                    <w:tl2br w:val="nil"/>
                    <w:tr2bl w:val="nil"/>
                  </w:tcBorders>
                  <w:noWrap w:val="0"/>
                  <w:vAlign w:val="center"/>
                </w:tcPr>
                <w:p w14:paraId="792FB95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南界外1m</w:t>
                  </w:r>
                </w:p>
              </w:tc>
              <w:tc>
                <w:tcPr>
                  <w:tcW w:w="714" w:type="pct"/>
                  <w:tcBorders>
                    <w:tl2br w:val="nil"/>
                    <w:tr2bl w:val="nil"/>
                  </w:tcBorders>
                  <w:noWrap w:val="0"/>
                  <w:vAlign w:val="center"/>
                </w:tcPr>
                <w:p w14:paraId="2F02BA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35</w:t>
                  </w:r>
                </w:p>
              </w:tc>
              <w:tc>
                <w:tcPr>
                  <w:tcW w:w="718" w:type="pct"/>
                  <w:tcBorders>
                    <w:tl2br w:val="nil"/>
                    <w:tr2bl w:val="nil"/>
                  </w:tcBorders>
                  <w:noWrap w:val="0"/>
                  <w:vAlign w:val="center"/>
                </w:tcPr>
                <w:p w14:paraId="5280E8A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w:t>
                  </w:r>
                </w:p>
              </w:tc>
              <w:tc>
                <w:tcPr>
                  <w:tcW w:w="714" w:type="pct"/>
                  <w:tcBorders>
                    <w:tl2br w:val="nil"/>
                    <w:tr2bl w:val="nil"/>
                  </w:tcBorders>
                  <w:noWrap w:val="0"/>
                  <w:vAlign w:val="center"/>
                </w:tcPr>
                <w:p w14:paraId="28A0CF2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w:t>
                  </w:r>
                </w:p>
              </w:tc>
              <w:tc>
                <w:tcPr>
                  <w:tcW w:w="714" w:type="pct"/>
                  <w:tcBorders>
                    <w:tl2br w:val="nil"/>
                    <w:tr2bl w:val="nil"/>
                  </w:tcBorders>
                  <w:shd w:val="clear" w:color="auto" w:fill="auto"/>
                  <w:noWrap w:val="0"/>
                  <w:vAlign w:val="center"/>
                </w:tcPr>
                <w:p w14:paraId="12B8E24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60</w:t>
                  </w:r>
                </w:p>
              </w:tc>
              <w:tc>
                <w:tcPr>
                  <w:tcW w:w="718" w:type="pct"/>
                  <w:tcBorders>
                    <w:tl2br w:val="nil"/>
                    <w:tr2bl w:val="nil"/>
                  </w:tcBorders>
                  <w:noWrap w:val="0"/>
                  <w:vAlign w:val="center"/>
                </w:tcPr>
                <w:p w14:paraId="6697B70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14:paraId="793A3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7" w:type="pct"/>
                  <w:tcBorders>
                    <w:tl2br w:val="nil"/>
                    <w:tr2bl w:val="nil"/>
                  </w:tcBorders>
                  <w:noWrap w:val="0"/>
                  <w:vAlign w:val="center"/>
                </w:tcPr>
                <w:p w14:paraId="4CFD051C">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w:t>
                  </w:r>
                </w:p>
              </w:tc>
              <w:tc>
                <w:tcPr>
                  <w:tcW w:w="852" w:type="pct"/>
                  <w:tcBorders>
                    <w:tl2br w:val="nil"/>
                    <w:tr2bl w:val="nil"/>
                  </w:tcBorders>
                  <w:noWrap w:val="0"/>
                  <w:vAlign w:val="center"/>
                </w:tcPr>
                <w:p w14:paraId="0D3DFAB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西界外1m</w:t>
                  </w:r>
                </w:p>
              </w:tc>
              <w:tc>
                <w:tcPr>
                  <w:tcW w:w="714" w:type="pct"/>
                  <w:tcBorders>
                    <w:tl2br w:val="nil"/>
                    <w:tr2bl w:val="nil"/>
                  </w:tcBorders>
                  <w:noWrap w:val="0"/>
                  <w:vAlign w:val="center"/>
                </w:tcPr>
                <w:p w14:paraId="56B379E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35</w:t>
                  </w:r>
                </w:p>
              </w:tc>
              <w:tc>
                <w:tcPr>
                  <w:tcW w:w="718" w:type="pct"/>
                  <w:tcBorders>
                    <w:tl2br w:val="nil"/>
                    <w:tr2bl w:val="nil"/>
                  </w:tcBorders>
                  <w:noWrap w:val="0"/>
                  <w:vAlign w:val="center"/>
                </w:tcPr>
                <w:p w14:paraId="0D3EE3F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51.6</w:t>
                  </w:r>
                </w:p>
              </w:tc>
              <w:tc>
                <w:tcPr>
                  <w:tcW w:w="714" w:type="pct"/>
                  <w:tcBorders>
                    <w:tl2br w:val="nil"/>
                    <w:tr2bl w:val="nil"/>
                  </w:tcBorders>
                  <w:noWrap w:val="0"/>
                  <w:vAlign w:val="center"/>
                </w:tcPr>
                <w:p w14:paraId="1B393B1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51.69</w:t>
                  </w:r>
                </w:p>
              </w:tc>
              <w:tc>
                <w:tcPr>
                  <w:tcW w:w="714" w:type="pct"/>
                  <w:tcBorders>
                    <w:tl2br w:val="nil"/>
                    <w:tr2bl w:val="nil"/>
                  </w:tcBorders>
                  <w:shd w:val="clear" w:color="auto" w:fill="auto"/>
                  <w:noWrap w:val="0"/>
                  <w:vAlign w:val="center"/>
                </w:tcPr>
                <w:p w14:paraId="1D3FDEE2">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60</w:t>
                  </w:r>
                </w:p>
              </w:tc>
              <w:tc>
                <w:tcPr>
                  <w:tcW w:w="718" w:type="pct"/>
                  <w:tcBorders>
                    <w:tl2br w:val="nil"/>
                    <w:tr2bl w:val="nil"/>
                  </w:tcBorders>
                  <w:noWrap w:val="0"/>
                  <w:vAlign w:val="center"/>
                </w:tcPr>
                <w:p w14:paraId="54B6791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r w14:paraId="1100DA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7" w:type="pct"/>
                  <w:tcBorders>
                    <w:tl2br w:val="nil"/>
                    <w:tr2bl w:val="nil"/>
                  </w:tcBorders>
                  <w:noWrap w:val="0"/>
                  <w:vAlign w:val="center"/>
                </w:tcPr>
                <w:p w14:paraId="44FA5C4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4</w:t>
                  </w:r>
                </w:p>
              </w:tc>
              <w:tc>
                <w:tcPr>
                  <w:tcW w:w="852" w:type="pct"/>
                  <w:tcBorders>
                    <w:tl2br w:val="nil"/>
                    <w:tr2bl w:val="nil"/>
                  </w:tcBorders>
                  <w:noWrap w:val="0"/>
                  <w:vAlign w:val="center"/>
                </w:tcPr>
                <w:p w14:paraId="2A24247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北界外1m</w:t>
                  </w:r>
                </w:p>
              </w:tc>
              <w:tc>
                <w:tcPr>
                  <w:tcW w:w="714" w:type="pct"/>
                  <w:tcBorders>
                    <w:tl2br w:val="nil"/>
                    <w:tr2bl w:val="nil"/>
                  </w:tcBorders>
                  <w:noWrap w:val="0"/>
                  <w:vAlign w:val="center"/>
                </w:tcPr>
                <w:p w14:paraId="0AFAE35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40</w:t>
                  </w:r>
                </w:p>
              </w:tc>
              <w:tc>
                <w:tcPr>
                  <w:tcW w:w="718" w:type="pct"/>
                  <w:tcBorders>
                    <w:tl2br w:val="nil"/>
                    <w:tr2bl w:val="nil"/>
                  </w:tcBorders>
                  <w:noWrap w:val="0"/>
                  <w:vAlign w:val="center"/>
                </w:tcPr>
                <w:p w14:paraId="47B18F0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55.0</w:t>
                  </w:r>
                </w:p>
              </w:tc>
              <w:tc>
                <w:tcPr>
                  <w:tcW w:w="714" w:type="pct"/>
                  <w:tcBorders>
                    <w:tl2br w:val="nil"/>
                    <w:tr2bl w:val="nil"/>
                  </w:tcBorders>
                  <w:noWrap w:val="0"/>
                  <w:vAlign w:val="center"/>
                </w:tcPr>
                <w:p w14:paraId="5251D89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55.14</w:t>
                  </w:r>
                </w:p>
              </w:tc>
              <w:tc>
                <w:tcPr>
                  <w:tcW w:w="714" w:type="pct"/>
                  <w:tcBorders>
                    <w:tl2br w:val="nil"/>
                    <w:tr2bl w:val="nil"/>
                  </w:tcBorders>
                  <w:shd w:val="clear" w:color="auto" w:fill="auto"/>
                  <w:noWrap w:val="0"/>
                  <w:vAlign w:val="center"/>
                </w:tcPr>
                <w:p w14:paraId="1DC946A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
                    </w:rPr>
                  </w:pPr>
                  <w:r>
                    <w:rPr>
                      <w:rFonts w:hint="default" w:ascii="Times New Roman" w:hAnsi="Times New Roman" w:eastAsia="宋体" w:cs="Times New Roman"/>
                      <w:i w:val="0"/>
                      <w:iCs w:val="0"/>
                      <w:snapToGrid w:val="0"/>
                      <w:color w:val="auto"/>
                      <w:kern w:val="0"/>
                      <w:sz w:val="21"/>
                      <w:szCs w:val="21"/>
                      <w:u w:val="none"/>
                      <w:lang w:val="en-US" w:eastAsia="zh-CN" w:bidi="ar"/>
                    </w:rPr>
                    <w:t>60</w:t>
                  </w:r>
                </w:p>
              </w:tc>
              <w:tc>
                <w:tcPr>
                  <w:tcW w:w="718" w:type="pct"/>
                  <w:tcBorders>
                    <w:tl2br w:val="nil"/>
                    <w:tr2bl w:val="nil"/>
                  </w:tcBorders>
                  <w:noWrap w:val="0"/>
                  <w:vAlign w:val="center"/>
                </w:tcPr>
                <w:p w14:paraId="583F403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ascii="Times New Roman" w:hAnsi="Times New Roman" w:eastAsia="宋体" w:cs="Times New Roman"/>
                      <w:i w:val="0"/>
                      <w:iCs w:val="0"/>
                      <w:snapToGrid w:val="0"/>
                      <w:color w:val="auto"/>
                      <w:kern w:val="0"/>
                      <w:sz w:val="21"/>
                      <w:szCs w:val="21"/>
                      <w:u w:val="none"/>
                      <w:lang w:val="en-US" w:eastAsia="zh-CN" w:bidi="ar"/>
                    </w:rPr>
                  </w:pPr>
                  <w:r>
                    <w:rPr>
                      <w:rFonts w:hint="eastAsia" w:ascii="Times New Roman" w:hAnsi="Times New Roman" w:eastAsia="宋体" w:cs="Times New Roman"/>
                      <w:i w:val="0"/>
                      <w:iCs w:val="0"/>
                      <w:snapToGrid w:val="0"/>
                      <w:color w:val="auto"/>
                      <w:kern w:val="0"/>
                      <w:sz w:val="21"/>
                      <w:szCs w:val="21"/>
                      <w:u w:val="none"/>
                      <w:lang w:val="en-US" w:eastAsia="zh-CN" w:bidi="ar"/>
                    </w:rPr>
                    <w:t>达标</w:t>
                  </w:r>
                </w:p>
              </w:tc>
            </w:tr>
          </w:tbl>
          <w:p w14:paraId="25FB25CF">
            <w:pPr>
              <w:spacing w:before="1" w:line="356" w:lineRule="auto"/>
              <w:ind w:left="110" w:right="102" w:firstLine="478"/>
              <w:rPr>
                <w:rFonts w:hint="eastAsia" w:ascii="Times New Roman" w:hAnsi="Times New Roman" w:eastAsia="宋体" w:cs="Times New Roman"/>
                <w:color w:val="auto"/>
                <w:spacing w:val="-1"/>
                <w:sz w:val="24"/>
                <w:szCs w:val="24"/>
              </w:rPr>
            </w:pPr>
            <w:r>
              <w:rPr>
                <w:rFonts w:hint="eastAsia" w:ascii="Times New Roman" w:hAnsi="Times New Roman" w:eastAsia="宋体" w:cs="Times New Roman"/>
                <w:color w:val="auto"/>
                <w:spacing w:val="-1"/>
                <w:sz w:val="24"/>
                <w:szCs w:val="24"/>
              </w:rPr>
              <w:t>根据预测结果可知，项目昼间、夜间边界噪声满足《工业企业厂界环境噪声排放标准》(GB12348-2008)中表1中</w:t>
            </w:r>
            <w:r>
              <w:rPr>
                <w:rFonts w:hint="eastAsia" w:ascii="Times New Roman" w:hAnsi="Times New Roman" w:eastAsia="宋体" w:cs="Times New Roman"/>
                <w:color w:val="auto"/>
                <w:spacing w:val="-1"/>
                <w:sz w:val="24"/>
                <w:szCs w:val="24"/>
                <w:lang w:val="en-US" w:eastAsia="zh-CN"/>
              </w:rPr>
              <w:t>2</w:t>
            </w:r>
            <w:r>
              <w:rPr>
                <w:rFonts w:hint="eastAsia" w:ascii="Times New Roman" w:hAnsi="Times New Roman" w:eastAsia="宋体" w:cs="Times New Roman"/>
                <w:color w:val="auto"/>
                <w:spacing w:val="-1"/>
                <w:sz w:val="24"/>
                <w:szCs w:val="24"/>
              </w:rPr>
              <w:t>类声环境功能区排放限值(昼间</w:t>
            </w:r>
            <w:r>
              <w:rPr>
                <w:rFonts w:hint="eastAsia" w:ascii="Times New Roman" w:hAnsi="Times New Roman" w:eastAsia="宋体" w:cs="Times New Roman"/>
                <w:color w:val="auto"/>
                <w:spacing w:val="-1"/>
                <w:sz w:val="24"/>
                <w:szCs w:val="24"/>
                <w:lang w:eastAsia="zh-CN"/>
              </w:rPr>
              <w:t>≤60</w:t>
            </w:r>
            <w:r>
              <w:rPr>
                <w:rFonts w:hint="eastAsia" w:ascii="Times New Roman" w:hAnsi="Times New Roman" w:eastAsia="宋体" w:cs="Times New Roman"/>
                <w:color w:val="auto"/>
                <w:spacing w:val="-1"/>
                <w:sz w:val="24"/>
                <w:szCs w:val="24"/>
              </w:rPr>
              <w:t>dB(A)</w:t>
            </w:r>
            <w:r>
              <w:rPr>
                <w:rFonts w:hint="eastAsia" w:ascii="Times New Roman" w:hAnsi="Times New Roman" w:eastAsia="宋体" w:cs="Times New Roman"/>
                <w:color w:val="auto"/>
                <w:spacing w:val="-1"/>
                <w:sz w:val="24"/>
                <w:szCs w:val="24"/>
                <w:lang w:eastAsia="zh-CN"/>
              </w:rPr>
              <w:t>，</w:t>
            </w:r>
            <w:r>
              <w:rPr>
                <w:rFonts w:hint="eastAsia" w:ascii="Times New Roman" w:hAnsi="Times New Roman" w:eastAsia="宋体" w:cs="Times New Roman"/>
                <w:color w:val="auto"/>
                <w:spacing w:val="-1"/>
                <w:sz w:val="24"/>
                <w:szCs w:val="24"/>
              </w:rPr>
              <w:t>(</w:t>
            </w:r>
            <w:r>
              <w:rPr>
                <w:rFonts w:hint="eastAsia" w:ascii="Times New Roman" w:hAnsi="Times New Roman" w:eastAsia="宋体" w:cs="Times New Roman"/>
                <w:color w:val="auto"/>
                <w:spacing w:val="-1"/>
                <w:sz w:val="24"/>
                <w:szCs w:val="24"/>
                <w:lang w:val="en-US" w:eastAsia="zh-CN"/>
              </w:rPr>
              <w:t>夜</w:t>
            </w:r>
            <w:r>
              <w:rPr>
                <w:rFonts w:hint="eastAsia" w:ascii="Times New Roman" w:hAnsi="Times New Roman" w:eastAsia="宋体" w:cs="Times New Roman"/>
                <w:color w:val="auto"/>
                <w:spacing w:val="-1"/>
                <w:sz w:val="24"/>
                <w:szCs w:val="24"/>
              </w:rPr>
              <w:t>间</w:t>
            </w:r>
            <w:r>
              <w:rPr>
                <w:rFonts w:hint="eastAsia" w:ascii="Times New Roman" w:hAnsi="Times New Roman" w:eastAsia="宋体" w:cs="Times New Roman"/>
                <w:color w:val="auto"/>
                <w:spacing w:val="-1"/>
                <w:sz w:val="24"/>
                <w:szCs w:val="24"/>
                <w:lang w:eastAsia="zh-CN"/>
              </w:rPr>
              <w:t>≤50</w:t>
            </w:r>
            <w:r>
              <w:rPr>
                <w:rFonts w:hint="eastAsia" w:ascii="Times New Roman" w:hAnsi="Times New Roman" w:eastAsia="宋体" w:cs="Times New Roman"/>
                <w:color w:val="auto"/>
                <w:spacing w:val="-1"/>
                <w:sz w:val="24"/>
                <w:szCs w:val="24"/>
              </w:rPr>
              <w:t>(A))。</w:t>
            </w:r>
          </w:p>
          <w:p w14:paraId="2420C26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4、噪声防治措施</w:t>
            </w:r>
          </w:p>
          <w:p w14:paraId="6475F635">
            <w:pPr>
              <w:keepNext w:val="0"/>
              <w:keepLines w:val="0"/>
              <w:pageBreakBefore w:val="0"/>
              <w:widowControl w:val="0"/>
              <w:kinsoku/>
              <w:wordWrap/>
              <w:overflowPunct/>
              <w:topLinePunct w:val="0"/>
              <w:autoSpaceDE/>
              <w:autoSpaceDN/>
              <w:bidi w:val="0"/>
              <w:adjustRightInd/>
              <w:snapToGrid/>
              <w:spacing w:line="360" w:lineRule="auto"/>
              <w:ind w:left="0" w:right="0" w:firstLine="478"/>
              <w:textAlignment w:val="auto"/>
              <w:rPr>
                <w:rFonts w:hint="eastAsia" w:ascii="Times New Roman" w:hAnsi="Times New Roman" w:eastAsia="宋体" w:cs="Times New Roman"/>
                <w:color w:val="auto"/>
                <w:spacing w:val="-1"/>
                <w:sz w:val="24"/>
                <w:szCs w:val="24"/>
              </w:rPr>
            </w:pPr>
            <w:r>
              <w:rPr>
                <w:rFonts w:hint="eastAsia" w:ascii="Times New Roman" w:hAnsi="Times New Roman" w:eastAsia="宋体" w:cs="Times New Roman"/>
                <w:color w:val="auto"/>
                <w:spacing w:val="-1"/>
                <w:sz w:val="24"/>
                <w:szCs w:val="24"/>
                <w:lang w:eastAsia="zh-CN"/>
              </w:rPr>
              <w:t>（</w:t>
            </w:r>
            <w:r>
              <w:rPr>
                <w:rFonts w:hint="eastAsia" w:ascii="Times New Roman" w:hAnsi="Times New Roman" w:eastAsia="宋体" w:cs="Times New Roman"/>
                <w:color w:val="auto"/>
                <w:spacing w:val="-1"/>
                <w:sz w:val="24"/>
                <w:szCs w:val="24"/>
                <w:lang w:val="en-US" w:eastAsia="zh-CN"/>
              </w:rPr>
              <w:t>1</w:t>
            </w:r>
            <w:r>
              <w:rPr>
                <w:rFonts w:hint="eastAsia" w:ascii="Times New Roman" w:hAnsi="Times New Roman" w:eastAsia="宋体" w:cs="Times New Roman"/>
                <w:color w:val="auto"/>
                <w:spacing w:val="-1"/>
                <w:sz w:val="24"/>
                <w:szCs w:val="24"/>
                <w:lang w:eastAsia="zh-CN"/>
              </w:rPr>
              <w:t>）</w:t>
            </w:r>
            <w:r>
              <w:rPr>
                <w:rFonts w:hint="eastAsia" w:ascii="Times New Roman" w:hAnsi="Times New Roman" w:eastAsia="宋体" w:cs="Times New Roman"/>
                <w:color w:val="auto"/>
                <w:spacing w:val="-1"/>
                <w:sz w:val="24"/>
                <w:szCs w:val="24"/>
              </w:rPr>
              <w:t>规划防治措施</w:t>
            </w:r>
          </w:p>
          <w:p w14:paraId="725C2CDC">
            <w:pPr>
              <w:keepNext w:val="0"/>
              <w:keepLines w:val="0"/>
              <w:pageBreakBefore w:val="0"/>
              <w:widowControl w:val="0"/>
              <w:kinsoku/>
              <w:wordWrap/>
              <w:overflowPunct/>
              <w:topLinePunct w:val="0"/>
              <w:autoSpaceDE/>
              <w:autoSpaceDN/>
              <w:bidi w:val="0"/>
              <w:adjustRightInd/>
              <w:snapToGrid/>
              <w:spacing w:line="360" w:lineRule="auto"/>
              <w:ind w:left="0" w:right="0" w:firstLine="478"/>
              <w:textAlignment w:val="auto"/>
              <w:rPr>
                <w:rFonts w:hint="eastAsia" w:ascii="Times New Roman" w:hAnsi="Times New Roman" w:eastAsia="宋体" w:cs="Times New Roman"/>
                <w:color w:val="auto"/>
                <w:spacing w:val="-1"/>
                <w:sz w:val="24"/>
                <w:szCs w:val="24"/>
              </w:rPr>
            </w:pPr>
            <w:r>
              <w:rPr>
                <w:rFonts w:hint="eastAsia" w:ascii="Times New Roman" w:hAnsi="Times New Roman" w:eastAsia="宋体" w:cs="Times New Roman"/>
                <w:color w:val="auto"/>
                <w:spacing w:val="-1"/>
                <w:sz w:val="24"/>
                <w:szCs w:val="24"/>
              </w:rPr>
              <w:t>本项目所在区域声环境不敏感，在规划布局、总图布置和设备布局中采用合理布局的设计原则，主要噪声源集中布置在车间内，使高噪声设备尽可能远离噪声敏感区及办公区。</w:t>
            </w:r>
          </w:p>
          <w:p w14:paraId="1CDE77E3">
            <w:pPr>
              <w:keepNext w:val="0"/>
              <w:keepLines w:val="0"/>
              <w:pageBreakBefore w:val="0"/>
              <w:widowControl w:val="0"/>
              <w:kinsoku/>
              <w:wordWrap/>
              <w:overflowPunct/>
              <w:topLinePunct w:val="0"/>
              <w:autoSpaceDE/>
              <w:autoSpaceDN/>
              <w:bidi w:val="0"/>
              <w:adjustRightInd/>
              <w:snapToGrid/>
              <w:spacing w:line="360" w:lineRule="auto"/>
              <w:ind w:left="0" w:right="0" w:firstLine="478"/>
              <w:textAlignment w:val="auto"/>
              <w:rPr>
                <w:rFonts w:hint="eastAsia" w:ascii="Times New Roman" w:hAnsi="Times New Roman" w:eastAsia="宋体" w:cs="Times New Roman"/>
                <w:color w:val="auto"/>
                <w:spacing w:val="-1"/>
                <w:sz w:val="24"/>
                <w:szCs w:val="24"/>
              </w:rPr>
            </w:pPr>
            <w:r>
              <w:rPr>
                <w:rFonts w:hint="eastAsia" w:ascii="Times New Roman" w:hAnsi="Times New Roman" w:eastAsia="宋体" w:cs="Times New Roman"/>
                <w:color w:val="auto"/>
                <w:spacing w:val="-1"/>
                <w:sz w:val="24"/>
                <w:szCs w:val="24"/>
                <w:lang w:eastAsia="zh-CN"/>
              </w:rPr>
              <w:t>（</w:t>
            </w:r>
            <w:r>
              <w:rPr>
                <w:rFonts w:hint="eastAsia" w:ascii="Times New Roman" w:hAnsi="Times New Roman" w:eastAsia="宋体" w:cs="Times New Roman"/>
                <w:color w:val="auto"/>
                <w:spacing w:val="-1"/>
                <w:sz w:val="24"/>
                <w:szCs w:val="24"/>
                <w:lang w:val="en-US" w:eastAsia="zh-CN"/>
              </w:rPr>
              <w:t>2</w:t>
            </w:r>
            <w:r>
              <w:rPr>
                <w:rFonts w:hint="eastAsia" w:ascii="Times New Roman" w:hAnsi="Times New Roman" w:eastAsia="宋体" w:cs="Times New Roman"/>
                <w:color w:val="auto"/>
                <w:spacing w:val="-1"/>
                <w:sz w:val="24"/>
                <w:szCs w:val="24"/>
                <w:lang w:eastAsia="zh-CN"/>
              </w:rPr>
              <w:t>）</w:t>
            </w:r>
            <w:r>
              <w:rPr>
                <w:rFonts w:hint="eastAsia" w:ascii="Times New Roman" w:hAnsi="Times New Roman" w:eastAsia="宋体" w:cs="Times New Roman"/>
                <w:color w:val="auto"/>
                <w:spacing w:val="-1"/>
                <w:sz w:val="24"/>
                <w:szCs w:val="24"/>
              </w:rPr>
              <w:t>技术防治措施</w:t>
            </w:r>
          </w:p>
          <w:p w14:paraId="60AD711D">
            <w:pPr>
              <w:keepNext w:val="0"/>
              <w:keepLines w:val="0"/>
              <w:pageBreakBefore w:val="0"/>
              <w:widowControl w:val="0"/>
              <w:kinsoku/>
              <w:wordWrap/>
              <w:overflowPunct/>
              <w:topLinePunct w:val="0"/>
              <w:autoSpaceDE/>
              <w:autoSpaceDN/>
              <w:bidi w:val="0"/>
              <w:adjustRightInd/>
              <w:snapToGrid/>
              <w:spacing w:line="360" w:lineRule="auto"/>
              <w:ind w:left="0" w:right="0" w:firstLine="478"/>
              <w:textAlignment w:val="auto"/>
              <w:rPr>
                <w:rFonts w:hint="eastAsia" w:ascii="Times New Roman" w:hAnsi="Times New Roman" w:eastAsia="宋体" w:cs="Times New Roman"/>
                <w:color w:val="auto"/>
                <w:spacing w:val="-1"/>
                <w:sz w:val="24"/>
                <w:szCs w:val="24"/>
              </w:rPr>
            </w:pPr>
            <w:r>
              <w:rPr>
                <w:rFonts w:hint="eastAsia" w:ascii="Times New Roman" w:hAnsi="Times New Roman" w:eastAsia="宋体" w:cs="Times New Roman"/>
                <w:color w:val="auto"/>
                <w:spacing w:val="-1"/>
                <w:sz w:val="24"/>
                <w:szCs w:val="24"/>
              </w:rPr>
              <w:t>为确保本项目厂界噪声能稳定达标，同时尽可能减轻噪声源对厂界噪声的影响，建议企业在工程的建设过程中严格落实好以下措施：</w:t>
            </w:r>
          </w:p>
          <w:p w14:paraId="066DF4D9">
            <w:pPr>
              <w:keepNext w:val="0"/>
              <w:keepLines w:val="0"/>
              <w:pageBreakBefore w:val="0"/>
              <w:widowControl w:val="0"/>
              <w:kinsoku/>
              <w:wordWrap/>
              <w:overflowPunct/>
              <w:topLinePunct w:val="0"/>
              <w:autoSpaceDE/>
              <w:autoSpaceDN/>
              <w:bidi w:val="0"/>
              <w:adjustRightInd/>
              <w:snapToGrid/>
              <w:spacing w:line="360" w:lineRule="auto"/>
              <w:ind w:left="0" w:right="0" w:firstLine="478"/>
              <w:textAlignment w:val="auto"/>
              <w:rPr>
                <w:rFonts w:hint="eastAsia" w:ascii="Times New Roman" w:hAnsi="Times New Roman" w:eastAsia="宋体" w:cs="Times New Roman"/>
                <w:color w:val="auto"/>
                <w:spacing w:val="-1"/>
                <w:sz w:val="24"/>
                <w:szCs w:val="24"/>
              </w:rPr>
            </w:pPr>
            <w:r>
              <w:rPr>
                <w:rFonts w:hint="eastAsia" w:ascii="Times New Roman" w:hAnsi="Times New Roman" w:eastAsia="宋体" w:cs="Times New Roman"/>
                <w:color w:val="auto"/>
                <w:spacing w:val="-1"/>
                <w:sz w:val="24"/>
                <w:szCs w:val="24"/>
              </w:rPr>
              <w:t>①声源上降低噪声的措施</w:t>
            </w:r>
          </w:p>
          <w:p w14:paraId="08074B46">
            <w:pPr>
              <w:keepNext w:val="0"/>
              <w:keepLines w:val="0"/>
              <w:pageBreakBefore w:val="0"/>
              <w:widowControl w:val="0"/>
              <w:kinsoku/>
              <w:wordWrap/>
              <w:overflowPunct/>
              <w:topLinePunct w:val="0"/>
              <w:autoSpaceDE/>
              <w:autoSpaceDN/>
              <w:bidi w:val="0"/>
              <w:adjustRightInd/>
              <w:snapToGrid/>
              <w:spacing w:line="360" w:lineRule="auto"/>
              <w:ind w:left="0" w:right="0" w:firstLine="478"/>
              <w:textAlignment w:val="auto"/>
              <w:rPr>
                <w:rFonts w:hint="eastAsia" w:ascii="Times New Roman" w:hAnsi="Times New Roman" w:eastAsia="宋体" w:cs="Times New Roman"/>
                <w:color w:val="auto"/>
                <w:spacing w:val="-1"/>
                <w:sz w:val="24"/>
                <w:szCs w:val="24"/>
              </w:rPr>
            </w:pPr>
            <w:r>
              <w:rPr>
                <w:rFonts w:hint="eastAsia" w:ascii="Times New Roman" w:hAnsi="Times New Roman" w:eastAsia="宋体" w:cs="Times New Roman"/>
                <w:color w:val="auto"/>
                <w:spacing w:val="-1"/>
                <w:sz w:val="24"/>
                <w:szCs w:val="24"/>
              </w:rPr>
              <w:t>a.首先从设备选型入手，从声源上控制噪声。</w:t>
            </w:r>
          </w:p>
          <w:p w14:paraId="102F6E09">
            <w:pPr>
              <w:keepNext w:val="0"/>
              <w:keepLines w:val="0"/>
              <w:pageBreakBefore w:val="0"/>
              <w:widowControl w:val="0"/>
              <w:kinsoku/>
              <w:wordWrap/>
              <w:overflowPunct/>
              <w:topLinePunct w:val="0"/>
              <w:autoSpaceDE/>
              <w:autoSpaceDN/>
              <w:bidi w:val="0"/>
              <w:adjustRightInd/>
              <w:snapToGrid/>
              <w:spacing w:line="360" w:lineRule="auto"/>
              <w:ind w:left="0" w:right="0" w:firstLine="480"/>
              <w:textAlignment w:val="auto"/>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7"/>
                <w:sz w:val="24"/>
                <w:szCs w:val="24"/>
              </w:rPr>
              <w:t>b.安装高噪声设备时，设备底部加装减振</w:t>
            </w:r>
            <w:r>
              <w:rPr>
                <w:rFonts w:hint="default" w:ascii="Times New Roman" w:hAnsi="Times New Roman" w:eastAsia="宋体" w:cs="Times New Roman"/>
                <w:color w:val="auto"/>
                <w:spacing w:val="-2"/>
                <w:sz w:val="24"/>
                <w:szCs w:val="24"/>
              </w:rPr>
              <w:t>装置，减轻振动引起的噪声；混凝土基础设置隔振垫，拧紧并填实地脚螺栓，管道支架作弹性支承连接。</w:t>
            </w:r>
          </w:p>
          <w:p w14:paraId="789964AD">
            <w:pPr>
              <w:keepNext w:val="0"/>
              <w:keepLines w:val="0"/>
              <w:pageBreakBefore w:val="0"/>
              <w:widowControl w:val="0"/>
              <w:kinsoku/>
              <w:wordWrap/>
              <w:overflowPunct/>
              <w:topLinePunct w:val="0"/>
              <w:autoSpaceDE/>
              <w:autoSpaceDN/>
              <w:bidi w:val="0"/>
              <w:adjustRightInd/>
              <w:snapToGrid/>
              <w:spacing w:line="360" w:lineRule="auto"/>
              <w:ind w:left="0" w:right="0" w:firstLine="463"/>
              <w:textAlignment w:val="auto"/>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c.风机应设置进、出口消声器，控制风机的固体声传导，通过基础和管道隔振来实现，基础设置减振垫。风机与进、排风管要采用柔性接头。</w:t>
            </w:r>
          </w:p>
          <w:p w14:paraId="2A0B825B">
            <w:pPr>
              <w:spacing w:line="359" w:lineRule="auto"/>
              <w:ind w:left="114" w:right="104" w:firstLine="463"/>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d.对于各种机械设备，应安装平衡，尽量减少因装置安装而引发的振动。</w:t>
            </w:r>
          </w:p>
          <w:p w14:paraId="0BC86692">
            <w:pPr>
              <w:spacing w:line="359" w:lineRule="auto"/>
              <w:ind w:left="114" w:right="104" w:firstLine="463"/>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e.采取声学控制措施，如对声源采用消声、隔声、隔振和减振等措施。</w:t>
            </w:r>
          </w:p>
          <w:p w14:paraId="6E73E7CB">
            <w:pPr>
              <w:spacing w:line="359" w:lineRule="auto"/>
              <w:ind w:left="114" w:right="104" w:firstLine="463"/>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f.维持设备处于良好的运转状态。</w:t>
            </w:r>
          </w:p>
          <w:p w14:paraId="4B40093A">
            <w:pPr>
              <w:spacing w:line="359" w:lineRule="auto"/>
              <w:ind w:left="114" w:right="104" w:firstLine="463"/>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②噪声传播途径上降低噪声措施</w:t>
            </w:r>
          </w:p>
          <w:p w14:paraId="42DB7B2A">
            <w:pPr>
              <w:spacing w:line="359" w:lineRule="auto"/>
              <w:ind w:left="114" w:right="104" w:firstLine="463"/>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a.高强度噪声设备安装在密闭车间内，并增设隔声、吸声等措施。</w:t>
            </w:r>
          </w:p>
          <w:p w14:paraId="7B2247D2">
            <w:pPr>
              <w:spacing w:line="359" w:lineRule="auto"/>
              <w:ind w:left="114" w:right="104" w:firstLine="463"/>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b.加强厂区绿化，在厂区、厂前区及厂界围墙内外广泛建立绿化带，以减弱噪声对外部环境的影响。</w:t>
            </w:r>
          </w:p>
          <w:p w14:paraId="7D4A45A6">
            <w:pPr>
              <w:spacing w:line="359" w:lineRule="auto"/>
              <w:ind w:left="114" w:right="104" w:firstLine="463"/>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③敏感目标防护措施</w:t>
            </w:r>
          </w:p>
          <w:p w14:paraId="1C03052C">
            <w:pPr>
              <w:spacing w:line="359" w:lineRule="auto"/>
              <w:ind w:left="114" w:right="104" w:firstLine="463"/>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本项目周边无声环境敏感目标，敏感目标主要为工作人员。</w:t>
            </w:r>
          </w:p>
          <w:p w14:paraId="6FD425ED">
            <w:pPr>
              <w:spacing w:line="359" w:lineRule="auto"/>
              <w:ind w:left="114" w:right="104" w:firstLine="463"/>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a.车间内噪声属于车间劳动保护，厂方应参照车间内允许噪声级标准调整工人作业时间，以确保工人身心健康不受损害。</w:t>
            </w:r>
          </w:p>
          <w:p w14:paraId="45C21721">
            <w:pPr>
              <w:spacing w:line="359" w:lineRule="auto"/>
              <w:ind w:left="114" w:right="104" w:firstLine="463"/>
              <w:rPr>
                <w:rFonts w:hint="default" w:ascii="Times New Roman" w:hAnsi="Times New Roman" w:eastAsia="宋体" w:cs="Times New Roman"/>
                <w:color w:val="auto"/>
                <w:spacing w:val="-2"/>
                <w:sz w:val="24"/>
                <w:szCs w:val="24"/>
              </w:rPr>
            </w:pPr>
            <w:r>
              <w:rPr>
                <w:rFonts w:hint="default" w:ascii="Times New Roman" w:hAnsi="Times New Roman" w:eastAsia="宋体" w:cs="Times New Roman"/>
                <w:color w:val="auto"/>
                <w:spacing w:val="-2"/>
                <w:sz w:val="24"/>
                <w:szCs w:val="24"/>
              </w:rPr>
              <w:t>b.对无法采取降噪措施的各作业场所，操作工人采取个人卫生防护措施，如工作时佩带耳塞、耳罩和其它劳保用品。</w:t>
            </w:r>
          </w:p>
          <w:p w14:paraId="07EFE80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5、噪声达标分析</w:t>
            </w:r>
          </w:p>
          <w:p w14:paraId="533D747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拟建</w:t>
            </w:r>
            <w:r>
              <w:rPr>
                <w:rFonts w:hint="default" w:ascii="Times New Roman" w:hAnsi="Times New Roman" w:cs="Times New Roman"/>
                <w:color w:val="auto"/>
                <w:sz w:val="24"/>
                <w:szCs w:val="24"/>
                <w:highlight w:val="none"/>
              </w:rPr>
              <w:t>项目各产噪设备从噪声源和噪声传播途径采取相应的治理措施，采取降噪措施是通用的、成熟的、效果显著的。</w:t>
            </w:r>
            <w:r>
              <w:rPr>
                <w:rFonts w:hint="default" w:ascii="Times New Roman" w:hAnsi="Times New Roman" w:cs="Times New Roman"/>
                <w:color w:val="auto"/>
                <w:sz w:val="24"/>
                <w:szCs w:val="24"/>
                <w:highlight w:val="none"/>
                <w:lang w:eastAsia="zh-CN"/>
              </w:rPr>
              <w:t>经过预测，设备噪声采用上述隔声、减振措施后，经过厂区距离衰减，到达厂界噪声最大值昼间为</w:t>
            </w:r>
            <w:r>
              <w:rPr>
                <w:rFonts w:hint="default" w:ascii="Times New Roman" w:hAnsi="Times New Roman" w:cs="Times New Roman"/>
                <w:color w:val="auto"/>
                <w:sz w:val="24"/>
                <w:szCs w:val="24"/>
                <w:highlight w:val="none"/>
                <w:lang w:val="en-US" w:eastAsia="zh-CN"/>
              </w:rPr>
              <w:t>45</w:t>
            </w:r>
            <w:r>
              <w:rPr>
                <w:rFonts w:hint="default" w:ascii="Times New Roman" w:hAnsi="Times New Roman" w:cs="Times New Roman"/>
                <w:color w:val="auto"/>
                <w:sz w:val="24"/>
                <w:szCs w:val="24"/>
                <w:highlight w:val="none"/>
                <w:lang w:eastAsia="zh-CN"/>
              </w:rPr>
              <w:t>dB(A)，夜间为</w:t>
            </w:r>
            <w:r>
              <w:rPr>
                <w:rFonts w:hint="default" w:ascii="Times New Roman" w:hAnsi="Times New Roman" w:cs="Times New Roman"/>
                <w:color w:val="auto"/>
                <w:sz w:val="24"/>
                <w:szCs w:val="24"/>
                <w:highlight w:val="none"/>
                <w:lang w:val="en-US" w:eastAsia="zh-CN"/>
              </w:rPr>
              <w:t>45</w:t>
            </w:r>
            <w:r>
              <w:rPr>
                <w:rFonts w:hint="default" w:ascii="Times New Roman" w:hAnsi="Times New Roman" w:cs="Times New Roman"/>
                <w:color w:val="auto"/>
                <w:sz w:val="24"/>
                <w:szCs w:val="24"/>
                <w:highlight w:val="none"/>
                <w:lang w:eastAsia="zh-CN"/>
              </w:rPr>
              <w:t>dB(A)。因此满足《工业企业厂界环境噪声排放标准》（GB12348-2008）</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eastAsia="zh-CN"/>
              </w:rPr>
              <w:t>类标准（昼间≤60dB(A)，夜间≤50(A)）。本项目在做好噪声治理措施后，设备噪声对周围环境不会造成太大影响。</w:t>
            </w:r>
          </w:p>
          <w:p w14:paraId="1485797D">
            <w:pPr>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6、监测要求</w:t>
            </w:r>
          </w:p>
          <w:p w14:paraId="7586AC93">
            <w:pPr>
              <w:pStyle w:val="21"/>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firstLine="480" w:firstLineChars="200"/>
              <w:jc w:val="both"/>
              <w:textAlignment w:val="auto"/>
              <w:rPr>
                <w:rFonts w:hint="default" w:ascii="Times New Roman" w:hAnsi="Times New Roman" w:cs="Times New Roman"/>
                <w:snapToGrid w:val="0"/>
                <w:color w:val="auto"/>
                <w:sz w:val="24"/>
                <w:szCs w:val="24"/>
                <w:highlight w:val="none"/>
              </w:rPr>
            </w:pPr>
            <w:r>
              <w:rPr>
                <w:rFonts w:hint="default" w:ascii="Times New Roman" w:hAnsi="Times New Roman" w:cs="Times New Roman"/>
                <w:snapToGrid w:val="0"/>
                <w:color w:val="auto"/>
                <w:sz w:val="24"/>
                <w:szCs w:val="24"/>
                <w:highlight w:val="none"/>
              </w:rPr>
              <w:t>《排污许可证申请与核发技术规范</w:t>
            </w:r>
            <w:r>
              <w:rPr>
                <w:rFonts w:hint="eastAsia" w:ascii="Times New Roman" w:hAnsi="Times New Roman" w:cs="Times New Roman"/>
                <w:snapToGrid w:val="0"/>
                <w:color w:val="auto"/>
                <w:sz w:val="24"/>
                <w:szCs w:val="24"/>
                <w:highlight w:val="none"/>
                <w:lang w:val="en-US" w:eastAsia="zh-CN"/>
              </w:rPr>
              <w:t xml:space="preserve"> </w:t>
            </w:r>
            <w:r>
              <w:rPr>
                <w:rFonts w:hint="default" w:ascii="Times New Roman" w:hAnsi="Times New Roman" w:cs="Times New Roman"/>
                <w:snapToGrid w:val="0"/>
                <w:color w:val="auto"/>
                <w:sz w:val="24"/>
                <w:szCs w:val="24"/>
                <w:highlight w:val="none"/>
              </w:rPr>
              <w:t>工业噪声》（HJ 1301—2023）要求及本项目实际情况中，制定监测计划。</w:t>
            </w:r>
          </w:p>
          <w:p w14:paraId="0870ACED">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1"/>
                <w:szCs w:val="21"/>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表4-9 改项目噪声监测要求信息表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8"/>
              <w:gridCol w:w="2987"/>
              <w:gridCol w:w="2505"/>
              <w:gridCol w:w="1316"/>
            </w:tblGrid>
            <w:tr w14:paraId="6C50D1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6" w:type="pct"/>
                  <w:tcBorders>
                    <w:tl2br w:val="nil"/>
                    <w:tr2bl w:val="nil"/>
                  </w:tcBorders>
                  <w:noWrap w:val="0"/>
                  <w:vAlign w:val="center"/>
                </w:tcPr>
                <w:p w14:paraId="34DEDA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污染源类别</w:t>
                  </w:r>
                </w:p>
              </w:tc>
              <w:tc>
                <w:tcPr>
                  <w:tcW w:w="1879" w:type="pct"/>
                  <w:tcBorders>
                    <w:tl2br w:val="nil"/>
                    <w:tr2bl w:val="nil"/>
                  </w:tcBorders>
                  <w:noWrap w:val="0"/>
                  <w:vAlign w:val="center"/>
                </w:tcPr>
                <w:p w14:paraId="68FBB0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排放口编号/监测点位</w:t>
                  </w:r>
                </w:p>
              </w:tc>
              <w:tc>
                <w:tcPr>
                  <w:tcW w:w="1576" w:type="pct"/>
                  <w:tcBorders>
                    <w:tl2br w:val="nil"/>
                    <w:tr2bl w:val="nil"/>
                  </w:tcBorders>
                  <w:noWrap w:val="0"/>
                  <w:vAlign w:val="center"/>
                </w:tcPr>
                <w:p w14:paraId="2B8508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监测因子</w:t>
                  </w:r>
                </w:p>
              </w:tc>
              <w:tc>
                <w:tcPr>
                  <w:tcW w:w="828" w:type="pct"/>
                  <w:tcBorders>
                    <w:tl2br w:val="nil"/>
                    <w:tr2bl w:val="nil"/>
                  </w:tcBorders>
                  <w:noWrap w:val="0"/>
                  <w:vAlign w:val="center"/>
                </w:tcPr>
                <w:p w14:paraId="1B8A70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监测频次</w:t>
                  </w:r>
                </w:p>
              </w:tc>
            </w:tr>
            <w:tr w14:paraId="21E2BA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6" w:type="pct"/>
                  <w:tcBorders>
                    <w:tl2br w:val="nil"/>
                    <w:tr2bl w:val="nil"/>
                  </w:tcBorders>
                  <w:noWrap w:val="0"/>
                  <w:vAlign w:val="center"/>
                </w:tcPr>
                <w:p w14:paraId="33FA92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879" w:type="pct"/>
                  <w:tcBorders>
                    <w:tl2br w:val="nil"/>
                    <w:tr2bl w:val="nil"/>
                  </w:tcBorders>
                  <w:noWrap w:val="0"/>
                  <w:vAlign w:val="center"/>
                </w:tcPr>
                <w:p w14:paraId="35265C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厂界四周</w:t>
                  </w:r>
                </w:p>
              </w:tc>
              <w:tc>
                <w:tcPr>
                  <w:tcW w:w="1576" w:type="pct"/>
                  <w:tcBorders>
                    <w:tl2br w:val="nil"/>
                    <w:tr2bl w:val="nil"/>
                  </w:tcBorders>
                  <w:noWrap w:val="0"/>
                  <w:vAlign w:val="center"/>
                </w:tcPr>
                <w:p w14:paraId="4A23A1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828" w:type="pct"/>
                  <w:tcBorders>
                    <w:tl2br w:val="nil"/>
                    <w:tr2bl w:val="nil"/>
                  </w:tcBorders>
                  <w:noWrap w:val="0"/>
                  <w:vAlign w:val="center"/>
                </w:tcPr>
                <w:p w14:paraId="03B1B1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1次/季度</w:t>
                  </w:r>
                </w:p>
              </w:tc>
            </w:tr>
          </w:tbl>
          <w:p w14:paraId="21F38EB1">
            <w:pPr>
              <w:snapToGrid w:val="0"/>
              <w:spacing w:line="360" w:lineRule="auto"/>
              <w:jc w:val="left"/>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四、固体废物</w:t>
            </w:r>
          </w:p>
          <w:p w14:paraId="6402B124">
            <w:pPr>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1、固废产生、排放情况简述</w:t>
            </w:r>
          </w:p>
          <w:p w14:paraId="758161A5">
            <w:pPr>
              <w:widowControl/>
              <w:adjustRightInd/>
              <w:snapToGrid w:val="0"/>
              <w:spacing w:line="360" w:lineRule="auto"/>
              <w:ind w:firstLine="480"/>
              <w:jc w:val="left"/>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项目产生的固体废物包括一般固废、危险废物、生活垃圾。一般固废：袋式除尘粉尘作为原料回用于</w:t>
            </w:r>
            <w:r>
              <w:rPr>
                <w:rFonts w:hint="default" w:ascii="Times New Roman" w:hAnsi="Times New Roman" w:cs="Times New Roman"/>
                <w:color w:val="auto"/>
                <w:kern w:val="0"/>
                <w:sz w:val="24"/>
                <w:szCs w:val="24"/>
                <w:highlight w:val="none"/>
                <w:lang w:val="en-US" w:eastAsia="zh-CN"/>
              </w:rPr>
              <w:t>生产</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lang w:val="en-US" w:eastAsia="zh-CN"/>
              </w:rPr>
              <w:t>废包装袋外售综合利用。</w:t>
            </w:r>
            <w:r>
              <w:rPr>
                <w:rFonts w:hint="default" w:ascii="Times New Roman" w:hAnsi="Times New Roman" w:eastAsia="宋体" w:cs="Times New Roman"/>
                <w:color w:val="auto"/>
                <w:kern w:val="0"/>
                <w:sz w:val="24"/>
                <w:szCs w:val="24"/>
                <w:highlight w:val="none"/>
                <w:lang w:val="en-US" w:eastAsia="zh-CN"/>
              </w:rPr>
              <w:t>危险废物：</w:t>
            </w:r>
            <w:r>
              <w:rPr>
                <w:rFonts w:hint="default" w:ascii="Times New Roman" w:hAnsi="Times New Roman" w:cs="Times New Roman"/>
                <w:color w:val="auto"/>
                <w:kern w:val="0"/>
                <w:sz w:val="24"/>
                <w:szCs w:val="24"/>
                <w:highlight w:val="none"/>
                <w:lang w:val="en-US" w:eastAsia="zh-CN"/>
              </w:rPr>
              <w:t>废包装桶、废滤芯、废活性炭、</w:t>
            </w:r>
            <w:r>
              <w:rPr>
                <w:rFonts w:hint="default" w:ascii="Times New Roman" w:hAnsi="Times New Roman" w:eastAsia="宋体" w:cs="Times New Roman"/>
                <w:color w:val="auto"/>
                <w:kern w:val="0"/>
                <w:sz w:val="24"/>
                <w:szCs w:val="24"/>
                <w:highlight w:val="none"/>
                <w:lang w:val="en-US" w:eastAsia="zh-CN"/>
              </w:rPr>
              <w:t>废润滑油、废油桶委托资质单位处置。</w:t>
            </w:r>
          </w:p>
          <w:p w14:paraId="07F184D0">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2、排放源信息表</w:t>
            </w:r>
          </w:p>
          <w:p w14:paraId="6781977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1"/>
                <w:szCs w:val="21"/>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表4-10  固体废物排放源信息表</w:t>
            </w:r>
          </w:p>
          <w:tbl>
            <w:tblPr>
              <w:tblStyle w:val="24"/>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324"/>
              <w:gridCol w:w="773"/>
              <w:gridCol w:w="614"/>
              <w:gridCol w:w="1094"/>
              <w:gridCol w:w="498"/>
              <w:gridCol w:w="889"/>
              <w:gridCol w:w="704"/>
              <w:gridCol w:w="628"/>
              <w:gridCol w:w="555"/>
              <w:gridCol w:w="482"/>
              <w:gridCol w:w="660"/>
              <w:gridCol w:w="722"/>
            </w:tblGrid>
            <w:tr w14:paraId="4D59E2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6" w:type="pct"/>
                  <w:vMerge w:val="restart"/>
                  <w:tcBorders>
                    <w:tl2br w:val="nil"/>
                    <w:tr2bl w:val="nil"/>
                  </w:tcBorders>
                  <w:noWrap w:val="0"/>
                  <w:vAlign w:val="center"/>
                </w:tcPr>
                <w:p w14:paraId="436B162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产生环节</w:t>
                  </w:r>
                </w:p>
              </w:tc>
              <w:tc>
                <w:tcPr>
                  <w:tcW w:w="495" w:type="pct"/>
                  <w:vMerge w:val="restart"/>
                  <w:tcBorders>
                    <w:tl2br w:val="nil"/>
                    <w:tr2bl w:val="nil"/>
                  </w:tcBorders>
                  <w:noWrap w:val="0"/>
                  <w:vAlign w:val="center"/>
                </w:tcPr>
                <w:p w14:paraId="177907B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固体废物名称</w:t>
                  </w:r>
                </w:p>
              </w:tc>
              <w:tc>
                <w:tcPr>
                  <w:tcW w:w="391" w:type="pct"/>
                  <w:vMerge w:val="restart"/>
                  <w:tcBorders>
                    <w:tl2br w:val="nil"/>
                    <w:tr2bl w:val="nil"/>
                  </w:tcBorders>
                  <w:noWrap w:val="0"/>
                  <w:vAlign w:val="center"/>
                </w:tcPr>
                <w:p w14:paraId="5218128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固废属性</w:t>
                  </w:r>
                </w:p>
              </w:tc>
              <w:tc>
                <w:tcPr>
                  <w:tcW w:w="633" w:type="pct"/>
                  <w:vMerge w:val="restart"/>
                  <w:tcBorders>
                    <w:tl2br w:val="nil"/>
                    <w:tr2bl w:val="nil"/>
                  </w:tcBorders>
                  <w:noWrap w:val="0"/>
                  <w:vAlign w:val="center"/>
                </w:tcPr>
                <w:p w14:paraId="78B3DC1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p w14:paraId="4D75C29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代码</w:t>
                  </w:r>
                </w:p>
              </w:tc>
              <w:tc>
                <w:tcPr>
                  <w:tcW w:w="1730" w:type="pct"/>
                  <w:gridSpan w:val="4"/>
                  <w:tcBorders>
                    <w:tl2br w:val="nil"/>
                    <w:tr2bl w:val="nil"/>
                  </w:tcBorders>
                  <w:noWrap w:val="0"/>
                  <w:vAlign w:val="center"/>
                </w:tcPr>
                <w:p w14:paraId="4C28A93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w:t>
                  </w:r>
                </w:p>
              </w:tc>
              <w:tc>
                <w:tcPr>
                  <w:tcW w:w="354" w:type="pct"/>
                  <w:vMerge w:val="restart"/>
                  <w:tcBorders>
                    <w:tl2br w:val="nil"/>
                    <w:tr2bl w:val="nil"/>
                  </w:tcBorders>
                  <w:noWrap w:val="0"/>
                  <w:vAlign w:val="center"/>
                </w:tcPr>
                <w:p w14:paraId="41F8CB4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贮存方式</w:t>
                  </w:r>
                </w:p>
              </w:tc>
              <w:tc>
                <w:tcPr>
                  <w:tcW w:w="728" w:type="pct"/>
                  <w:gridSpan w:val="2"/>
                  <w:tcBorders>
                    <w:tl2br w:val="nil"/>
                    <w:tr2bl w:val="nil"/>
                  </w:tcBorders>
                  <w:noWrap w:val="0"/>
                  <w:vAlign w:val="center"/>
                </w:tcPr>
                <w:p w14:paraId="4FE4951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利用或处置</w:t>
                  </w:r>
                </w:p>
              </w:tc>
              <w:tc>
                <w:tcPr>
                  <w:tcW w:w="459" w:type="pct"/>
                  <w:vMerge w:val="restart"/>
                  <w:tcBorders>
                    <w:tl2br w:val="nil"/>
                    <w:tr2bl w:val="nil"/>
                  </w:tcBorders>
                  <w:noWrap w:val="0"/>
                  <w:vAlign w:val="center"/>
                </w:tcPr>
                <w:p w14:paraId="3C53654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最终去向</w:t>
                  </w:r>
                </w:p>
              </w:tc>
            </w:tr>
            <w:tr w14:paraId="56AEF2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6" w:type="pct"/>
                  <w:vMerge w:val="continue"/>
                  <w:tcBorders>
                    <w:tl2br w:val="nil"/>
                    <w:tr2bl w:val="nil"/>
                  </w:tcBorders>
                  <w:noWrap w:val="0"/>
                  <w:vAlign w:val="center"/>
                </w:tcPr>
                <w:p w14:paraId="7AD532E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p>
              </w:tc>
              <w:tc>
                <w:tcPr>
                  <w:tcW w:w="495" w:type="pct"/>
                  <w:vMerge w:val="continue"/>
                  <w:tcBorders>
                    <w:tl2br w:val="nil"/>
                    <w:tr2bl w:val="nil"/>
                  </w:tcBorders>
                  <w:noWrap w:val="0"/>
                  <w:vAlign w:val="center"/>
                </w:tcPr>
                <w:p w14:paraId="3D21E3C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p>
              </w:tc>
              <w:tc>
                <w:tcPr>
                  <w:tcW w:w="391" w:type="pct"/>
                  <w:vMerge w:val="continue"/>
                  <w:tcBorders>
                    <w:tl2br w:val="nil"/>
                    <w:tr2bl w:val="nil"/>
                  </w:tcBorders>
                  <w:noWrap w:val="0"/>
                  <w:vAlign w:val="center"/>
                </w:tcPr>
                <w:p w14:paraId="6943CF8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p>
              </w:tc>
              <w:tc>
                <w:tcPr>
                  <w:tcW w:w="633" w:type="pct"/>
                  <w:vMerge w:val="continue"/>
                  <w:tcBorders>
                    <w:tl2br w:val="nil"/>
                    <w:tr2bl w:val="nil"/>
                  </w:tcBorders>
                  <w:noWrap w:val="0"/>
                  <w:vAlign w:val="center"/>
                </w:tcPr>
                <w:p w14:paraId="05F9901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p>
              </w:tc>
              <w:tc>
                <w:tcPr>
                  <w:tcW w:w="318" w:type="pct"/>
                  <w:tcBorders>
                    <w:tl2br w:val="nil"/>
                    <w:tr2bl w:val="nil"/>
                  </w:tcBorders>
                  <w:noWrap w:val="0"/>
                  <w:vAlign w:val="center"/>
                </w:tcPr>
                <w:p w14:paraId="73995DD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物理性状</w:t>
                  </w:r>
                </w:p>
              </w:tc>
              <w:tc>
                <w:tcPr>
                  <w:tcW w:w="564" w:type="pct"/>
                  <w:tcBorders>
                    <w:tl2br w:val="nil"/>
                    <w:tr2bl w:val="nil"/>
                  </w:tcBorders>
                  <w:noWrap w:val="0"/>
                  <w:vAlign w:val="center"/>
                </w:tcPr>
                <w:p w14:paraId="6B96524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主要有毒</w:t>
                  </w:r>
                  <w:r>
                    <w:rPr>
                      <w:rFonts w:hint="default" w:ascii="Times New Roman" w:hAnsi="Times New Roman" w:eastAsia="宋体" w:cs="Times New Roman"/>
                      <w:color w:val="auto"/>
                      <w:sz w:val="21"/>
                      <w:szCs w:val="21"/>
                      <w:highlight w:val="none"/>
                    </w:rPr>
                    <w:t>有害</w:t>
                  </w:r>
                  <w:r>
                    <w:rPr>
                      <w:rFonts w:hint="default" w:ascii="Times New Roman" w:hAnsi="Times New Roman" w:eastAsia="宋体" w:cs="Times New Roman"/>
                      <w:color w:val="auto"/>
                      <w:sz w:val="21"/>
                      <w:szCs w:val="21"/>
                      <w:highlight w:val="none"/>
                      <w:lang w:val="en-US" w:eastAsia="zh-CN"/>
                    </w:rPr>
                    <w:t>物质名称</w:t>
                  </w:r>
                </w:p>
              </w:tc>
              <w:tc>
                <w:tcPr>
                  <w:tcW w:w="448" w:type="pct"/>
                  <w:tcBorders>
                    <w:tl2br w:val="nil"/>
                    <w:tr2bl w:val="nil"/>
                  </w:tcBorders>
                  <w:noWrap w:val="0"/>
                  <w:vAlign w:val="center"/>
                </w:tcPr>
                <w:p w14:paraId="4B1A3EE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环境危险</w:t>
                  </w:r>
                </w:p>
                <w:p w14:paraId="43EC9B7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特性</w:t>
                  </w:r>
                </w:p>
              </w:tc>
              <w:tc>
                <w:tcPr>
                  <w:tcW w:w="399" w:type="pct"/>
                  <w:tcBorders>
                    <w:tl2br w:val="nil"/>
                    <w:tr2bl w:val="nil"/>
                  </w:tcBorders>
                  <w:noWrap w:val="0"/>
                  <w:vAlign w:val="center"/>
                </w:tcPr>
                <w:p w14:paraId="4A5B2E6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年度产生量(t/a)</w:t>
                  </w:r>
                </w:p>
              </w:tc>
              <w:tc>
                <w:tcPr>
                  <w:tcW w:w="354" w:type="pct"/>
                  <w:vMerge w:val="continue"/>
                  <w:tcBorders>
                    <w:tl2br w:val="nil"/>
                    <w:tr2bl w:val="nil"/>
                  </w:tcBorders>
                  <w:noWrap w:val="0"/>
                  <w:vAlign w:val="center"/>
                </w:tcPr>
                <w:p w14:paraId="013D7F7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p>
              </w:tc>
              <w:tc>
                <w:tcPr>
                  <w:tcW w:w="308" w:type="pct"/>
                  <w:tcBorders>
                    <w:tl2br w:val="nil"/>
                    <w:tr2bl w:val="nil"/>
                  </w:tcBorders>
                  <w:noWrap w:val="0"/>
                  <w:vAlign w:val="center"/>
                </w:tcPr>
                <w:p w14:paraId="0BB1AF1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方式</w:t>
                  </w:r>
                </w:p>
              </w:tc>
              <w:tc>
                <w:tcPr>
                  <w:tcW w:w="419" w:type="pct"/>
                  <w:tcBorders>
                    <w:tl2br w:val="nil"/>
                    <w:tr2bl w:val="nil"/>
                  </w:tcBorders>
                  <w:noWrap w:val="0"/>
                  <w:vAlign w:val="center"/>
                </w:tcPr>
                <w:p w14:paraId="2DE593F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数量(t/a)</w:t>
                  </w:r>
                </w:p>
              </w:tc>
              <w:tc>
                <w:tcPr>
                  <w:tcW w:w="459" w:type="pct"/>
                  <w:vMerge w:val="continue"/>
                  <w:tcBorders>
                    <w:tl2br w:val="nil"/>
                    <w:tr2bl w:val="nil"/>
                  </w:tcBorders>
                  <w:noWrap w:val="0"/>
                  <w:vAlign w:val="center"/>
                </w:tcPr>
                <w:p w14:paraId="393B7B6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p>
              </w:tc>
            </w:tr>
            <w:tr w14:paraId="144E20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26" w:hRule="atLeast"/>
              </w:trPr>
              <w:tc>
                <w:tcPr>
                  <w:tcW w:w="206" w:type="pct"/>
                  <w:vMerge w:val="restart"/>
                  <w:tcBorders>
                    <w:tl2br w:val="nil"/>
                    <w:tr2bl w:val="nil"/>
                  </w:tcBorders>
                  <w:noWrap w:val="0"/>
                  <w:vAlign w:val="center"/>
                </w:tcPr>
                <w:p w14:paraId="1728299C">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生产</w:t>
                  </w:r>
                </w:p>
              </w:tc>
              <w:tc>
                <w:tcPr>
                  <w:tcW w:w="495" w:type="pct"/>
                  <w:tcBorders>
                    <w:tl2br w:val="nil"/>
                    <w:tr2bl w:val="nil"/>
                  </w:tcBorders>
                  <w:noWrap w:val="0"/>
                  <w:vAlign w:val="center"/>
                </w:tcPr>
                <w:p w14:paraId="668B9EC0">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袋式除尘粉尘</w:t>
                  </w:r>
                </w:p>
              </w:tc>
              <w:tc>
                <w:tcPr>
                  <w:tcW w:w="391" w:type="pct"/>
                  <w:vMerge w:val="restart"/>
                  <w:tcBorders>
                    <w:tl2br w:val="nil"/>
                    <w:tr2bl w:val="nil"/>
                  </w:tcBorders>
                  <w:noWrap w:val="0"/>
                  <w:vAlign w:val="center"/>
                </w:tcPr>
                <w:p w14:paraId="12DE50B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一般工业固体废物</w:t>
                  </w:r>
                </w:p>
              </w:tc>
              <w:tc>
                <w:tcPr>
                  <w:tcW w:w="633" w:type="pct"/>
                  <w:tcBorders>
                    <w:tl2br w:val="nil"/>
                    <w:tr2bl w:val="nil"/>
                  </w:tcBorders>
                  <w:noWrap w:val="0"/>
                  <w:vAlign w:val="center"/>
                </w:tcPr>
                <w:p w14:paraId="7CBF2129">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18" w:type="pct"/>
                  <w:tcBorders>
                    <w:tl2br w:val="nil"/>
                    <w:tr2bl w:val="nil"/>
                  </w:tcBorders>
                  <w:noWrap w:val="0"/>
                  <w:vAlign w:val="center"/>
                </w:tcPr>
                <w:p w14:paraId="69574A9C">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r>
                    <w:rPr>
                      <w:rFonts w:hint="default" w:ascii="Times New Roman" w:hAnsi="Times New Roman" w:cs="Times New Roman"/>
                      <w:color w:val="auto"/>
                      <w:sz w:val="21"/>
                      <w:szCs w:val="21"/>
                      <w:highlight w:val="none"/>
                    </w:rPr>
                    <w:t>固态</w:t>
                  </w:r>
                </w:p>
              </w:tc>
              <w:tc>
                <w:tcPr>
                  <w:tcW w:w="564" w:type="pct"/>
                  <w:tcBorders>
                    <w:tl2br w:val="nil"/>
                    <w:tr2bl w:val="nil"/>
                  </w:tcBorders>
                  <w:noWrap w:val="0"/>
                  <w:vAlign w:val="center"/>
                </w:tcPr>
                <w:p w14:paraId="21219E7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448" w:type="pct"/>
                  <w:tcBorders>
                    <w:tl2br w:val="nil"/>
                    <w:tr2bl w:val="nil"/>
                  </w:tcBorders>
                  <w:noWrap w:val="0"/>
                  <w:vAlign w:val="center"/>
                </w:tcPr>
                <w:p w14:paraId="4056BE4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24"/>
                      <w:sz w:val="21"/>
                      <w:szCs w:val="21"/>
                      <w:highlight w:val="none"/>
                    </w:rPr>
                    <w:t>/</w:t>
                  </w:r>
                </w:p>
              </w:tc>
              <w:tc>
                <w:tcPr>
                  <w:tcW w:w="399" w:type="pct"/>
                  <w:tcBorders>
                    <w:tl2br w:val="nil"/>
                    <w:tr2bl w:val="nil"/>
                  </w:tcBorders>
                  <w:noWrap w:val="0"/>
                  <w:vAlign w:val="center"/>
                </w:tcPr>
                <w:p w14:paraId="55C4762A">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r>
                    <w:rPr>
                      <w:rFonts w:hint="eastAsia" w:cs="Times New Roman"/>
                      <w:color w:val="auto"/>
                      <w:kern w:val="24"/>
                      <w:sz w:val="21"/>
                      <w:szCs w:val="21"/>
                      <w:highlight w:val="none"/>
                      <w:lang w:val="en-US" w:eastAsia="zh-CN" w:bidi="ar-SA"/>
                    </w:rPr>
                    <w:t>2.392</w:t>
                  </w:r>
                </w:p>
              </w:tc>
              <w:tc>
                <w:tcPr>
                  <w:tcW w:w="354" w:type="pct"/>
                  <w:tcBorders>
                    <w:tl2br w:val="nil"/>
                    <w:tr2bl w:val="nil"/>
                  </w:tcBorders>
                  <w:noWrap w:val="0"/>
                  <w:vAlign w:val="center"/>
                </w:tcPr>
                <w:p w14:paraId="0D0A321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8" w:type="pct"/>
                  <w:vMerge w:val="restart"/>
                  <w:tcBorders>
                    <w:tl2br w:val="nil"/>
                    <w:tr2bl w:val="nil"/>
                  </w:tcBorders>
                  <w:noWrap w:val="0"/>
                  <w:vAlign w:val="center"/>
                </w:tcPr>
                <w:p w14:paraId="132B735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资源化利用</w:t>
                  </w:r>
                </w:p>
              </w:tc>
              <w:tc>
                <w:tcPr>
                  <w:tcW w:w="419" w:type="pct"/>
                  <w:tcBorders>
                    <w:tl2br w:val="nil"/>
                    <w:tr2bl w:val="nil"/>
                  </w:tcBorders>
                  <w:noWrap w:val="0"/>
                  <w:vAlign w:val="center"/>
                </w:tcPr>
                <w:p w14:paraId="134EDD5F">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1.764</w:t>
                  </w:r>
                </w:p>
              </w:tc>
              <w:tc>
                <w:tcPr>
                  <w:tcW w:w="459" w:type="pct"/>
                  <w:tcBorders>
                    <w:tl2br w:val="nil"/>
                    <w:tr2bl w:val="nil"/>
                  </w:tcBorders>
                  <w:noWrap w:val="0"/>
                  <w:vAlign w:val="center"/>
                </w:tcPr>
                <w:p w14:paraId="516A2FB0">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回用</w:t>
                  </w:r>
                </w:p>
              </w:tc>
            </w:tr>
            <w:tr w14:paraId="232022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5" w:hRule="atLeast"/>
              </w:trPr>
              <w:tc>
                <w:tcPr>
                  <w:tcW w:w="206" w:type="pct"/>
                  <w:vMerge w:val="continue"/>
                  <w:tcBorders>
                    <w:tl2br w:val="nil"/>
                    <w:tr2bl w:val="nil"/>
                  </w:tcBorders>
                  <w:noWrap w:val="0"/>
                  <w:vAlign w:val="center"/>
                </w:tcPr>
                <w:p w14:paraId="5BBDB47C">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p>
              </w:tc>
              <w:tc>
                <w:tcPr>
                  <w:tcW w:w="495" w:type="pct"/>
                  <w:tcBorders>
                    <w:tl2br w:val="nil"/>
                    <w:tr2bl w:val="nil"/>
                  </w:tcBorders>
                  <w:noWrap w:val="0"/>
                  <w:vAlign w:val="center"/>
                </w:tcPr>
                <w:p w14:paraId="1FC96812">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废包装袋</w:t>
                  </w:r>
                </w:p>
              </w:tc>
              <w:tc>
                <w:tcPr>
                  <w:tcW w:w="391" w:type="pct"/>
                  <w:vMerge w:val="continue"/>
                  <w:tcBorders>
                    <w:tl2br w:val="nil"/>
                    <w:tr2bl w:val="nil"/>
                  </w:tcBorders>
                  <w:noWrap w:val="0"/>
                  <w:vAlign w:val="center"/>
                </w:tcPr>
                <w:p w14:paraId="2729930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633" w:type="pct"/>
                  <w:tcBorders>
                    <w:tl2br w:val="nil"/>
                    <w:tr2bl w:val="nil"/>
                  </w:tcBorders>
                  <w:noWrap w:val="0"/>
                  <w:vAlign w:val="center"/>
                </w:tcPr>
                <w:p w14:paraId="0EF5E54B">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318" w:type="pct"/>
                  <w:tcBorders>
                    <w:tl2br w:val="nil"/>
                    <w:tr2bl w:val="nil"/>
                  </w:tcBorders>
                  <w:noWrap w:val="0"/>
                  <w:vAlign w:val="center"/>
                </w:tcPr>
                <w:p w14:paraId="101F6237">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固态</w:t>
                  </w:r>
                </w:p>
              </w:tc>
              <w:tc>
                <w:tcPr>
                  <w:tcW w:w="564" w:type="pct"/>
                  <w:tcBorders>
                    <w:tl2br w:val="nil"/>
                    <w:tr2bl w:val="nil"/>
                  </w:tcBorders>
                  <w:noWrap w:val="0"/>
                  <w:vAlign w:val="center"/>
                </w:tcPr>
                <w:p w14:paraId="6CDD8A1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448" w:type="pct"/>
                  <w:tcBorders>
                    <w:tl2br w:val="nil"/>
                    <w:tr2bl w:val="nil"/>
                  </w:tcBorders>
                  <w:noWrap w:val="0"/>
                  <w:vAlign w:val="center"/>
                </w:tcPr>
                <w:p w14:paraId="7CAD693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w:t>
                  </w:r>
                </w:p>
              </w:tc>
              <w:tc>
                <w:tcPr>
                  <w:tcW w:w="399" w:type="pct"/>
                  <w:tcBorders>
                    <w:tl2br w:val="nil"/>
                    <w:tr2bl w:val="nil"/>
                  </w:tcBorders>
                  <w:noWrap w:val="0"/>
                  <w:vAlign w:val="center"/>
                </w:tcPr>
                <w:p w14:paraId="3F8633C1">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0.008</w:t>
                  </w:r>
                </w:p>
              </w:tc>
              <w:tc>
                <w:tcPr>
                  <w:tcW w:w="354" w:type="pct"/>
                  <w:tcBorders>
                    <w:tl2br w:val="nil"/>
                    <w:tr2bl w:val="nil"/>
                  </w:tcBorders>
                  <w:noWrap w:val="0"/>
                  <w:vAlign w:val="center"/>
                </w:tcPr>
                <w:p w14:paraId="17B5CF1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308" w:type="pct"/>
                  <w:vMerge w:val="continue"/>
                  <w:tcBorders>
                    <w:tl2br w:val="nil"/>
                    <w:tr2bl w:val="nil"/>
                  </w:tcBorders>
                  <w:noWrap w:val="0"/>
                  <w:vAlign w:val="center"/>
                </w:tcPr>
                <w:p w14:paraId="6686A6E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p>
              </w:tc>
              <w:tc>
                <w:tcPr>
                  <w:tcW w:w="419" w:type="pct"/>
                  <w:tcBorders>
                    <w:tl2br w:val="nil"/>
                    <w:tr2bl w:val="nil"/>
                  </w:tcBorders>
                  <w:noWrap w:val="0"/>
                  <w:vAlign w:val="center"/>
                </w:tcPr>
                <w:p w14:paraId="2E0B3F32">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0.008</w:t>
                  </w:r>
                </w:p>
              </w:tc>
              <w:tc>
                <w:tcPr>
                  <w:tcW w:w="459" w:type="pct"/>
                  <w:tcBorders>
                    <w:tl2br w:val="nil"/>
                    <w:tr2bl w:val="nil"/>
                  </w:tcBorders>
                  <w:noWrap w:val="0"/>
                  <w:vAlign w:val="center"/>
                </w:tcPr>
                <w:p w14:paraId="041718FE">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外售</w:t>
                  </w:r>
                </w:p>
              </w:tc>
            </w:tr>
            <w:tr w14:paraId="5BD8DF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6" w:type="pct"/>
                  <w:vMerge w:val="restart"/>
                  <w:tcBorders>
                    <w:tl2br w:val="nil"/>
                    <w:tr2bl w:val="nil"/>
                  </w:tcBorders>
                  <w:noWrap w:val="0"/>
                  <w:vAlign w:val="center"/>
                </w:tcPr>
                <w:p w14:paraId="4F8319B9">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设备</w:t>
                  </w:r>
                </w:p>
                <w:p w14:paraId="60208252">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rPr>
                    <w:t>维护</w:t>
                  </w:r>
                </w:p>
              </w:tc>
              <w:tc>
                <w:tcPr>
                  <w:tcW w:w="495" w:type="pct"/>
                  <w:tcBorders>
                    <w:tl2br w:val="nil"/>
                    <w:tr2bl w:val="nil"/>
                  </w:tcBorders>
                  <w:noWrap w:val="0"/>
                  <w:vAlign w:val="center"/>
                </w:tcPr>
                <w:p w14:paraId="488D8201">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废包装桶</w:t>
                  </w:r>
                </w:p>
              </w:tc>
              <w:tc>
                <w:tcPr>
                  <w:tcW w:w="391" w:type="pct"/>
                  <w:vMerge w:val="restart"/>
                  <w:tcBorders>
                    <w:tl2br w:val="nil"/>
                    <w:tr2bl w:val="nil"/>
                  </w:tcBorders>
                  <w:noWrap w:val="0"/>
                  <w:vAlign w:val="center"/>
                </w:tcPr>
                <w:p w14:paraId="4FD9A896">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危险</w:t>
                  </w:r>
                </w:p>
                <w:p w14:paraId="4880A1E5">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废物</w:t>
                  </w:r>
                </w:p>
              </w:tc>
              <w:tc>
                <w:tcPr>
                  <w:tcW w:w="633" w:type="pct"/>
                  <w:tcBorders>
                    <w:tl2br w:val="nil"/>
                    <w:tr2bl w:val="nil"/>
                  </w:tcBorders>
                  <w:noWrap w:val="0"/>
                  <w:vAlign w:val="center"/>
                </w:tcPr>
                <w:p w14:paraId="03C3A9D9">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HW</w:t>
                  </w:r>
                  <w:r>
                    <w:rPr>
                      <w:rFonts w:hint="default" w:ascii="Times New Roman" w:hAnsi="Times New Roman" w:cs="Times New Roman"/>
                      <w:color w:val="auto"/>
                      <w:kern w:val="24"/>
                      <w:sz w:val="21"/>
                      <w:szCs w:val="21"/>
                      <w:highlight w:val="none"/>
                      <w:lang w:val="en-US" w:eastAsia="zh-CN" w:bidi="ar-SA"/>
                    </w:rPr>
                    <w:t>49</w:t>
                  </w:r>
                  <w:r>
                    <w:rPr>
                      <w:rFonts w:hint="default" w:ascii="Times New Roman" w:hAnsi="Times New Roman" w:eastAsia="宋体" w:cs="Times New Roman"/>
                      <w:color w:val="auto"/>
                      <w:kern w:val="24"/>
                      <w:sz w:val="21"/>
                      <w:szCs w:val="21"/>
                      <w:highlight w:val="none"/>
                      <w:lang w:val="en-US" w:eastAsia="zh-CN" w:bidi="ar-SA"/>
                    </w:rPr>
                    <w:t>，900-</w:t>
                  </w:r>
                  <w:r>
                    <w:rPr>
                      <w:rFonts w:hint="default" w:ascii="Times New Roman" w:hAnsi="Times New Roman" w:cs="Times New Roman"/>
                      <w:color w:val="auto"/>
                      <w:kern w:val="24"/>
                      <w:sz w:val="21"/>
                      <w:szCs w:val="21"/>
                      <w:highlight w:val="none"/>
                      <w:lang w:val="en-US" w:eastAsia="zh-CN" w:bidi="ar-SA"/>
                    </w:rPr>
                    <w:t>041</w:t>
                  </w:r>
                  <w:r>
                    <w:rPr>
                      <w:rFonts w:hint="default" w:ascii="Times New Roman" w:hAnsi="Times New Roman" w:eastAsia="宋体" w:cs="Times New Roman"/>
                      <w:color w:val="auto"/>
                      <w:kern w:val="24"/>
                      <w:sz w:val="21"/>
                      <w:szCs w:val="21"/>
                      <w:highlight w:val="none"/>
                      <w:lang w:val="en-US" w:eastAsia="zh-CN" w:bidi="ar-SA"/>
                    </w:rPr>
                    <w:t>-</w:t>
                  </w:r>
                  <w:r>
                    <w:rPr>
                      <w:rFonts w:hint="default" w:ascii="Times New Roman" w:hAnsi="Times New Roman" w:cs="Times New Roman"/>
                      <w:color w:val="auto"/>
                      <w:kern w:val="24"/>
                      <w:sz w:val="21"/>
                      <w:szCs w:val="21"/>
                      <w:highlight w:val="none"/>
                      <w:lang w:val="en-US" w:eastAsia="zh-CN" w:bidi="ar-SA"/>
                    </w:rPr>
                    <w:t>49</w:t>
                  </w:r>
                </w:p>
              </w:tc>
              <w:tc>
                <w:tcPr>
                  <w:tcW w:w="318" w:type="pct"/>
                  <w:tcBorders>
                    <w:tl2br w:val="nil"/>
                    <w:tr2bl w:val="nil"/>
                  </w:tcBorders>
                  <w:noWrap w:val="0"/>
                  <w:vAlign w:val="center"/>
                </w:tcPr>
                <w:p w14:paraId="6B0379EB">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cs="Times New Roman"/>
                      <w:color w:val="auto"/>
                      <w:sz w:val="21"/>
                      <w:szCs w:val="21"/>
                      <w:highlight w:val="none"/>
                    </w:rPr>
                    <w:t>固态</w:t>
                  </w:r>
                </w:p>
              </w:tc>
              <w:tc>
                <w:tcPr>
                  <w:tcW w:w="564" w:type="pct"/>
                  <w:tcBorders>
                    <w:tl2br w:val="nil"/>
                    <w:tr2bl w:val="nil"/>
                  </w:tcBorders>
                  <w:noWrap w:val="0"/>
                  <w:vAlign w:val="center"/>
                </w:tcPr>
                <w:p w14:paraId="12B83BEA">
                  <w:pPr>
                    <w:keepNext w:val="0"/>
                    <w:keepLines w:val="0"/>
                    <w:pageBreakBefore w:val="0"/>
                    <w:widowControl w:val="0"/>
                    <w:kinsoku/>
                    <w:wordWrap/>
                    <w:overflowPunct/>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废原料</w:t>
                  </w:r>
                </w:p>
              </w:tc>
              <w:tc>
                <w:tcPr>
                  <w:tcW w:w="448" w:type="pct"/>
                  <w:tcBorders>
                    <w:tl2br w:val="nil"/>
                    <w:tr2bl w:val="nil"/>
                  </w:tcBorders>
                  <w:noWrap w:val="0"/>
                  <w:vAlign w:val="center"/>
                </w:tcPr>
                <w:p w14:paraId="71EBC2E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T</w:t>
                  </w:r>
                </w:p>
              </w:tc>
              <w:tc>
                <w:tcPr>
                  <w:tcW w:w="399" w:type="pct"/>
                  <w:tcBorders>
                    <w:tl2br w:val="nil"/>
                    <w:tr2bl w:val="nil"/>
                  </w:tcBorders>
                  <w:noWrap w:val="0"/>
                  <w:vAlign w:val="center"/>
                </w:tcPr>
                <w:p w14:paraId="31A4AD81">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1</w:t>
                  </w:r>
                </w:p>
              </w:tc>
              <w:tc>
                <w:tcPr>
                  <w:tcW w:w="354" w:type="pct"/>
                  <w:tcBorders>
                    <w:tl2br w:val="nil"/>
                    <w:tr2bl w:val="nil"/>
                  </w:tcBorders>
                  <w:noWrap w:val="0"/>
                  <w:vAlign w:val="center"/>
                </w:tcPr>
                <w:p w14:paraId="583BED4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桶装</w:t>
                  </w:r>
                </w:p>
              </w:tc>
              <w:tc>
                <w:tcPr>
                  <w:tcW w:w="308" w:type="pct"/>
                  <w:vMerge w:val="restart"/>
                  <w:tcBorders>
                    <w:tl2br w:val="nil"/>
                    <w:tr2bl w:val="nil"/>
                  </w:tcBorders>
                  <w:noWrap w:val="0"/>
                  <w:vAlign w:val="center"/>
                </w:tcPr>
                <w:p w14:paraId="59F221E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委托处置</w:t>
                  </w:r>
                </w:p>
              </w:tc>
              <w:tc>
                <w:tcPr>
                  <w:tcW w:w="419" w:type="pct"/>
                  <w:tcBorders>
                    <w:tl2br w:val="nil"/>
                    <w:tr2bl w:val="nil"/>
                  </w:tcBorders>
                  <w:noWrap w:val="0"/>
                  <w:vAlign w:val="center"/>
                </w:tcPr>
                <w:p w14:paraId="78779B5E">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1</w:t>
                  </w:r>
                </w:p>
              </w:tc>
              <w:tc>
                <w:tcPr>
                  <w:tcW w:w="459" w:type="pct"/>
                  <w:vMerge w:val="restart"/>
                  <w:tcBorders>
                    <w:tl2br w:val="nil"/>
                    <w:tr2bl w:val="nil"/>
                  </w:tcBorders>
                  <w:noWrap w:val="0"/>
                  <w:vAlign w:val="center"/>
                </w:tcPr>
                <w:p w14:paraId="5AA0204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24"/>
                      <w:sz w:val="21"/>
                      <w:szCs w:val="21"/>
                      <w:highlight w:val="none"/>
                    </w:rPr>
                    <w:t>委托资质单位处置</w:t>
                  </w:r>
                </w:p>
              </w:tc>
            </w:tr>
            <w:tr w14:paraId="24A7AC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6" w:type="pct"/>
                  <w:vMerge w:val="continue"/>
                  <w:tcBorders>
                    <w:tl2br w:val="nil"/>
                    <w:tr2bl w:val="nil"/>
                  </w:tcBorders>
                  <w:noWrap w:val="0"/>
                  <w:vAlign w:val="center"/>
                </w:tcPr>
                <w:p w14:paraId="37835E0C">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rPr>
                  </w:pPr>
                </w:p>
              </w:tc>
              <w:tc>
                <w:tcPr>
                  <w:tcW w:w="495" w:type="pct"/>
                  <w:tcBorders>
                    <w:tl2br w:val="nil"/>
                    <w:tr2bl w:val="nil"/>
                  </w:tcBorders>
                  <w:noWrap w:val="0"/>
                  <w:vAlign w:val="center"/>
                </w:tcPr>
                <w:p w14:paraId="7B3DF36F">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废润滑油</w:t>
                  </w:r>
                </w:p>
              </w:tc>
              <w:tc>
                <w:tcPr>
                  <w:tcW w:w="391" w:type="pct"/>
                  <w:vMerge w:val="continue"/>
                  <w:tcBorders>
                    <w:tl2br w:val="nil"/>
                    <w:tr2bl w:val="nil"/>
                  </w:tcBorders>
                  <w:noWrap w:val="0"/>
                  <w:vAlign w:val="center"/>
                </w:tcPr>
                <w:p w14:paraId="5DE2B288">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p>
              </w:tc>
              <w:tc>
                <w:tcPr>
                  <w:tcW w:w="633" w:type="pct"/>
                  <w:tcBorders>
                    <w:tl2br w:val="nil"/>
                    <w:tr2bl w:val="nil"/>
                  </w:tcBorders>
                  <w:noWrap w:val="0"/>
                  <w:vAlign w:val="center"/>
                </w:tcPr>
                <w:p w14:paraId="5BDA4537">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HW08，900-21</w:t>
                  </w:r>
                  <w:r>
                    <w:rPr>
                      <w:rFonts w:hint="default" w:ascii="Times New Roman" w:hAnsi="Times New Roman" w:cs="Times New Roman"/>
                      <w:color w:val="auto"/>
                      <w:kern w:val="24"/>
                      <w:sz w:val="21"/>
                      <w:szCs w:val="21"/>
                      <w:highlight w:val="none"/>
                      <w:lang w:val="en-US" w:eastAsia="zh-CN" w:bidi="ar-SA"/>
                    </w:rPr>
                    <w:t>7</w:t>
                  </w:r>
                  <w:r>
                    <w:rPr>
                      <w:rFonts w:hint="default" w:ascii="Times New Roman" w:hAnsi="Times New Roman" w:eastAsia="宋体" w:cs="Times New Roman"/>
                      <w:color w:val="auto"/>
                      <w:kern w:val="24"/>
                      <w:sz w:val="21"/>
                      <w:szCs w:val="21"/>
                      <w:highlight w:val="none"/>
                      <w:lang w:val="en-US" w:eastAsia="zh-CN" w:bidi="ar-SA"/>
                    </w:rPr>
                    <w:t>-08</w:t>
                  </w:r>
                </w:p>
              </w:tc>
              <w:tc>
                <w:tcPr>
                  <w:tcW w:w="318" w:type="pct"/>
                  <w:tcBorders>
                    <w:tl2br w:val="nil"/>
                    <w:tr2bl w:val="nil"/>
                  </w:tcBorders>
                  <w:noWrap w:val="0"/>
                  <w:vAlign w:val="center"/>
                </w:tcPr>
                <w:p w14:paraId="6FF7C71F">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液态</w:t>
                  </w:r>
                </w:p>
              </w:tc>
              <w:tc>
                <w:tcPr>
                  <w:tcW w:w="564" w:type="pct"/>
                  <w:tcBorders>
                    <w:tl2br w:val="nil"/>
                    <w:tr2bl w:val="nil"/>
                  </w:tcBorders>
                  <w:noWrap w:val="0"/>
                  <w:vAlign w:val="center"/>
                </w:tcPr>
                <w:p w14:paraId="5C125ED1">
                  <w:pPr>
                    <w:keepNext w:val="0"/>
                    <w:keepLines w:val="0"/>
                    <w:pageBreakBefore w:val="0"/>
                    <w:widowControl w:val="0"/>
                    <w:kinsoku/>
                    <w:wordWrap/>
                    <w:overflowPunct/>
                    <w:autoSpaceDE/>
                    <w:autoSpaceDN/>
                    <w:bidi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废油</w:t>
                  </w:r>
                </w:p>
              </w:tc>
              <w:tc>
                <w:tcPr>
                  <w:tcW w:w="448" w:type="pct"/>
                  <w:tcBorders>
                    <w:tl2br w:val="nil"/>
                    <w:tr2bl w:val="nil"/>
                  </w:tcBorders>
                  <w:noWrap w:val="0"/>
                  <w:vAlign w:val="center"/>
                </w:tcPr>
                <w:p w14:paraId="4100F4C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T</w:t>
                  </w:r>
                </w:p>
              </w:tc>
              <w:tc>
                <w:tcPr>
                  <w:tcW w:w="399" w:type="pct"/>
                  <w:tcBorders>
                    <w:tl2br w:val="nil"/>
                    <w:tr2bl w:val="nil"/>
                  </w:tcBorders>
                  <w:noWrap w:val="0"/>
                  <w:vAlign w:val="center"/>
                </w:tcPr>
                <w:p w14:paraId="1FB9202E">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0.0</w:t>
                  </w:r>
                  <w:r>
                    <w:rPr>
                      <w:rFonts w:hint="default" w:ascii="Times New Roman" w:hAnsi="Times New Roman" w:cs="Times New Roman"/>
                      <w:color w:val="auto"/>
                      <w:kern w:val="24"/>
                      <w:sz w:val="21"/>
                      <w:szCs w:val="21"/>
                      <w:highlight w:val="none"/>
                      <w:lang w:val="en-US" w:eastAsia="zh-CN" w:bidi="ar-SA"/>
                    </w:rPr>
                    <w:t>2</w:t>
                  </w:r>
                </w:p>
              </w:tc>
              <w:tc>
                <w:tcPr>
                  <w:tcW w:w="354" w:type="pct"/>
                  <w:tcBorders>
                    <w:tl2br w:val="nil"/>
                    <w:tr2bl w:val="nil"/>
                  </w:tcBorders>
                  <w:noWrap w:val="0"/>
                  <w:vAlign w:val="center"/>
                </w:tcPr>
                <w:p w14:paraId="6E9C279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桶装</w:t>
                  </w:r>
                </w:p>
              </w:tc>
              <w:tc>
                <w:tcPr>
                  <w:tcW w:w="308" w:type="pct"/>
                  <w:vMerge w:val="continue"/>
                  <w:tcBorders>
                    <w:tl2br w:val="nil"/>
                    <w:tr2bl w:val="nil"/>
                  </w:tcBorders>
                  <w:noWrap w:val="0"/>
                  <w:vAlign w:val="center"/>
                </w:tcPr>
                <w:p w14:paraId="2EF4EE5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419" w:type="pct"/>
                  <w:tcBorders>
                    <w:tl2br w:val="nil"/>
                    <w:tr2bl w:val="nil"/>
                  </w:tcBorders>
                  <w:noWrap w:val="0"/>
                  <w:vAlign w:val="center"/>
                </w:tcPr>
                <w:p w14:paraId="54DB7CC7">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0.0</w:t>
                  </w:r>
                  <w:r>
                    <w:rPr>
                      <w:rFonts w:hint="default" w:ascii="Times New Roman" w:hAnsi="Times New Roman" w:cs="Times New Roman"/>
                      <w:color w:val="auto"/>
                      <w:kern w:val="24"/>
                      <w:sz w:val="21"/>
                      <w:szCs w:val="21"/>
                      <w:highlight w:val="none"/>
                      <w:lang w:val="en-US" w:eastAsia="zh-CN" w:bidi="ar-SA"/>
                    </w:rPr>
                    <w:t>2</w:t>
                  </w:r>
                </w:p>
              </w:tc>
              <w:tc>
                <w:tcPr>
                  <w:tcW w:w="459" w:type="pct"/>
                  <w:vMerge w:val="continue"/>
                  <w:tcBorders>
                    <w:tl2br w:val="nil"/>
                    <w:tr2bl w:val="nil"/>
                  </w:tcBorders>
                  <w:noWrap w:val="0"/>
                  <w:vAlign w:val="center"/>
                </w:tcPr>
                <w:p w14:paraId="7950DBE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kern w:val="24"/>
                      <w:sz w:val="21"/>
                      <w:szCs w:val="21"/>
                      <w:highlight w:val="none"/>
                    </w:rPr>
                  </w:pPr>
                </w:p>
              </w:tc>
            </w:tr>
            <w:tr w14:paraId="7B8086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38" w:hRule="atLeast"/>
              </w:trPr>
              <w:tc>
                <w:tcPr>
                  <w:tcW w:w="206" w:type="pct"/>
                  <w:vMerge w:val="continue"/>
                  <w:tcBorders>
                    <w:tl2br w:val="nil"/>
                    <w:tr2bl w:val="nil"/>
                  </w:tcBorders>
                  <w:noWrap w:val="0"/>
                  <w:vAlign w:val="center"/>
                </w:tcPr>
                <w:p w14:paraId="5F7C7FCE">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rPr>
                  </w:pPr>
                </w:p>
              </w:tc>
              <w:tc>
                <w:tcPr>
                  <w:tcW w:w="495" w:type="pct"/>
                  <w:tcBorders>
                    <w:tl2br w:val="nil"/>
                    <w:tr2bl w:val="nil"/>
                  </w:tcBorders>
                  <w:noWrap w:val="0"/>
                  <w:vAlign w:val="center"/>
                </w:tcPr>
                <w:p w14:paraId="2BC415B7">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废油桶</w:t>
                  </w:r>
                </w:p>
              </w:tc>
              <w:tc>
                <w:tcPr>
                  <w:tcW w:w="391" w:type="pct"/>
                  <w:vMerge w:val="continue"/>
                  <w:tcBorders>
                    <w:tl2br w:val="nil"/>
                    <w:tr2bl w:val="nil"/>
                  </w:tcBorders>
                  <w:noWrap w:val="0"/>
                  <w:vAlign w:val="center"/>
                </w:tcPr>
                <w:p w14:paraId="37A1AA1A">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p>
              </w:tc>
              <w:tc>
                <w:tcPr>
                  <w:tcW w:w="633" w:type="pct"/>
                  <w:tcBorders>
                    <w:tl2br w:val="nil"/>
                    <w:tr2bl w:val="nil"/>
                  </w:tcBorders>
                  <w:noWrap w:val="0"/>
                  <w:vAlign w:val="center"/>
                </w:tcPr>
                <w:p w14:paraId="57C85A7C">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HW08，900-249-08</w:t>
                  </w:r>
                </w:p>
              </w:tc>
              <w:tc>
                <w:tcPr>
                  <w:tcW w:w="318" w:type="pct"/>
                  <w:tcBorders>
                    <w:tl2br w:val="nil"/>
                    <w:tr2bl w:val="nil"/>
                  </w:tcBorders>
                  <w:noWrap w:val="0"/>
                  <w:vAlign w:val="center"/>
                </w:tcPr>
                <w:p w14:paraId="3C9F0E19">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固态</w:t>
                  </w:r>
                </w:p>
              </w:tc>
              <w:tc>
                <w:tcPr>
                  <w:tcW w:w="564" w:type="pct"/>
                  <w:tcBorders>
                    <w:tl2br w:val="nil"/>
                    <w:tr2bl w:val="nil"/>
                  </w:tcBorders>
                  <w:noWrap w:val="0"/>
                  <w:vAlign w:val="center"/>
                </w:tcPr>
                <w:p w14:paraId="484CC21F">
                  <w:pPr>
                    <w:keepNext w:val="0"/>
                    <w:keepLines w:val="0"/>
                    <w:pageBreakBefore w:val="0"/>
                    <w:widowControl w:val="0"/>
                    <w:kinsoku/>
                    <w:wordWrap/>
                    <w:overflowPunct/>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废油</w:t>
                  </w:r>
                </w:p>
              </w:tc>
              <w:tc>
                <w:tcPr>
                  <w:tcW w:w="448" w:type="pct"/>
                  <w:tcBorders>
                    <w:tl2br w:val="nil"/>
                    <w:tr2bl w:val="nil"/>
                  </w:tcBorders>
                  <w:noWrap w:val="0"/>
                  <w:vAlign w:val="center"/>
                </w:tcPr>
                <w:p w14:paraId="78F024C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w:t>
                  </w:r>
                </w:p>
              </w:tc>
              <w:tc>
                <w:tcPr>
                  <w:tcW w:w="399" w:type="pct"/>
                  <w:tcBorders>
                    <w:tl2br w:val="nil"/>
                    <w:tr2bl w:val="nil"/>
                  </w:tcBorders>
                  <w:noWrap w:val="0"/>
                  <w:vAlign w:val="center"/>
                </w:tcPr>
                <w:p w14:paraId="036443A3">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eastAsia="宋体" w:cs="Times New Roman"/>
                      <w:color w:val="auto"/>
                      <w:kern w:val="24"/>
                      <w:sz w:val="21"/>
                      <w:szCs w:val="21"/>
                      <w:highlight w:val="none"/>
                      <w:lang w:val="en-US" w:eastAsia="zh-CN"/>
                    </w:rPr>
                    <w:t>0.0</w:t>
                  </w:r>
                  <w:r>
                    <w:rPr>
                      <w:rFonts w:hint="default" w:ascii="Times New Roman" w:hAnsi="Times New Roman" w:cs="Times New Roman"/>
                      <w:color w:val="auto"/>
                      <w:kern w:val="24"/>
                      <w:sz w:val="21"/>
                      <w:szCs w:val="21"/>
                      <w:highlight w:val="none"/>
                      <w:lang w:val="en-US" w:eastAsia="zh-CN"/>
                    </w:rPr>
                    <w:t>05</w:t>
                  </w:r>
                </w:p>
              </w:tc>
              <w:tc>
                <w:tcPr>
                  <w:tcW w:w="354" w:type="pct"/>
                  <w:tcBorders>
                    <w:tl2br w:val="nil"/>
                    <w:tr2bl w:val="nil"/>
                  </w:tcBorders>
                  <w:noWrap w:val="0"/>
                  <w:vAlign w:val="center"/>
                </w:tcPr>
                <w:p w14:paraId="0045149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桶装</w:t>
                  </w:r>
                </w:p>
              </w:tc>
              <w:tc>
                <w:tcPr>
                  <w:tcW w:w="308" w:type="pct"/>
                  <w:vMerge w:val="continue"/>
                  <w:tcBorders>
                    <w:tl2br w:val="nil"/>
                    <w:tr2bl w:val="nil"/>
                  </w:tcBorders>
                  <w:noWrap w:val="0"/>
                  <w:vAlign w:val="center"/>
                </w:tcPr>
                <w:p w14:paraId="34B3531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419" w:type="pct"/>
                  <w:tcBorders>
                    <w:tl2br w:val="nil"/>
                    <w:tr2bl w:val="nil"/>
                  </w:tcBorders>
                  <w:noWrap w:val="0"/>
                  <w:vAlign w:val="center"/>
                </w:tcPr>
                <w:p w14:paraId="4181AC25">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rPr>
                    <w:t>0.0</w:t>
                  </w:r>
                  <w:r>
                    <w:rPr>
                      <w:rFonts w:hint="default" w:ascii="Times New Roman" w:hAnsi="Times New Roman" w:cs="Times New Roman"/>
                      <w:color w:val="auto"/>
                      <w:kern w:val="24"/>
                      <w:sz w:val="21"/>
                      <w:szCs w:val="21"/>
                      <w:highlight w:val="none"/>
                      <w:lang w:val="en-US" w:eastAsia="zh-CN"/>
                    </w:rPr>
                    <w:t>05</w:t>
                  </w:r>
                </w:p>
              </w:tc>
              <w:tc>
                <w:tcPr>
                  <w:tcW w:w="459" w:type="pct"/>
                  <w:vMerge w:val="continue"/>
                  <w:tcBorders>
                    <w:tl2br w:val="nil"/>
                    <w:tr2bl w:val="nil"/>
                  </w:tcBorders>
                  <w:noWrap w:val="0"/>
                  <w:vAlign w:val="center"/>
                </w:tcPr>
                <w:p w14:paraId="0F2B0D7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kern w:val="24"/>
                      <w:sz w:val="21"/>
                      <w:szCs w:val="21"/>
                      <w:highlight w:val="none"/>
                    </w:rPr>
                  </w:pPr>
                </w:p>
              </w:tc>
            </w:tr>
            <w:tr w14:paraId="18E2C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63" w:hRule="atLeast"/>
              </w:trPr>
              <w:tc>
                <w:tcPr>
                  <w:tcW w:w="206" w:type="pct"/>
                  <w:vMerge w:val="continue"/>
                  <w:tcBorders>
                    <w:tl2br w:val="nil"/>
                    <w:tr2bl w:val="nil"/>
                  </w:tcBorders>
                  <w:noWrap w:val="0"/>
                  <w:vAlign w:val="center"/>
                </w:tcPr>
                <w:p w14:paraId="78A953EF">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rPr>
                  </w:pPr>
                </w:p>
              </w:tc>
              <w:tc>
                <w:tcPr>
                  <w:tcW w:w="495" w:type="pct"/>
                  <w:tcBorders>
                    <w:tl2br w:val="nil"/>
                    <w:tr2bl w:val="nil"/>
                  </w:tcBorders>
                  <w:noWrap w:val="0"/>
                  <w:vAlign w:val="center"/>
                </w:tcPr>
                <w:p w14:paraId="77485EF4">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废滤芯</w:t>
                  </w:r>
                </w:p>
              </w:tc>
              <w:tc>
                <w:tcPr>
                  <w:tcW w:w="391" w:type="pct"/>
                  <w:vMerge w:val="continue"/>
                  <w:tcBorders>
                    <w:tl2br w:val="nil"/>
                    <w:tr2bl w:val="nil"/>
                  </w:tcBorders>
                  <w:noWrap w:val="0"/>
                  <w:vAlign w:val="center"/>
                </w:tcPr>
                <w:p w14:paraId="32E285FC">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p>
              </w:tc>
              <w:tc>
                <w:tcPr>
                  <w:tcW w:w="633" w:type="pct"/>
                  <w:tcBorders>
                    <w:tl2br w:val="nil"/>
                    <w:tr2bl w:val="nil"/>
                  </w:tcBorders>
                  <w:noWrap w:val="0"/>
                  <w:vAlign w:val="center"/>
                </w:tcPr>
                <w:p w14:paraId="0E864D02">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HW</w:t>
                  </w:r>
                  <w:r>
                    <w:rPr>
                      <w:rFonts w:hint="default" w:ascii="Times New Roman" w:hAnsi="Times New Roman" w:cs="Times New Roman"/>
                      <w:color w:val="auto"/>
                      <w:kern w:val="24"/>
                      <w:sz w:val="21"/>
                      <w:szCs w:val="21"/>
                      <w:highlight w:val="none"/>
                      <w:lang w:val="en-US" w:eastAsia="zh-CN" w:bidi="ar-SA"/>
                    </w:rPr>
                    <w:t>49</w:t>
                  </w:r>
                  <w:r>
                    <w:rPr>
                      <w:rFonts w:hint="default" w:ascii="Times New Roman" w:hAnsi="Times New Roman" w:eastAsia="宋体" w:cs="Times New Roman"/>
                      <w:color w:val="auto"/>
                      <w:kern w:val="24"/>
                      <w:sz w:val="21"/>
                      <w:szCs w:val="21"/>
                      <w:highlight w:val="none"/>
                      <w:lang w:val="en-US" w:eastAsia="zh-CN" w:bidi="ar-SA"/>
                    </w:rPr>
                    <w:t>，900-</w:t>
                  </w:r>
                  <w:r>
                    <w:rPr>
                      <w:rFonts w:hint="default" w:ascii="Times New Roman" w:hAnsi="Times New Roman" w:cs="Times New Roman"/>
                      <w:color w:val="auto"/>
                      <w:kern w:val="24"/>
                      <w:sz w:val="21"/>
                      <w:szCs w:val="21"/>
                      <w:highlight w:val="none"/>
                      <w:lang w:val="en-US" w:eastAsia="zh-CN" w:bidi="ar-SA"/>
                    </w:rPr>
                    <w:t>041</w:t>
                  </w:r>
                  <w:r>
                    <w:rPr>
                      <w:rFonts w:hint="default" w:ascii="Times New Roman" w:hAnsi="Times New Roman" w:eastAsia="宋体" w:cs="Times New Roman"/>
                      <w:color w:val="auto"/>
                      <w:kern w:val="24"/>
                      <w:sz w:val="21"/>
                      <w:szCs w:val="21"/>
                      <w:highlight w:val="none"/>
                      <w:lang w:val="en-US" w:eastAsia="zh-CN" w:bidi="ar-SA"/>
                    </w:rPr>
                    <w:t>-</w:t>
                  </w:r>
                  <w:r>
                    <w:rPr>
                      <w:rFonts w:hint="default" w:ascii="Times New Roman" w:hAnsi="Times New Roman" w:cs="Times New Roman"/>
                      <w:color w:val="auto"/>
                      <w:kern w:val="24"/>
                      <w:sz w:val="21"/>
                      <w:szCs w:val="21"/>
                      <w:highlight w:val="none"/>
                      <w:lang w:val="en-US" w:eastAsia="zh-CN" w:bidi="ar-SA"/>
                    </w:rPr>
                    <w:t>49</w:t>
                  </w:r>
                </w:p>
              </w:tc>
              <w:tc>
                <w:tcPr>
                  <w:tcW w:w="318" w:type="pct"/>
                  <w:tcBorders>
                    <w:tl2br w:val="nil"/>
                    <w:tr2bl w:val="nil"/>
                  </w:tcBorders>
                  <w:noWrap w:val="0"/>
                  <w:vAlign w:val="center"/>
                </w:tcPr>
                <w:p w14:paraId="32729AFC">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固态</w:t>
                  </w:r>
                </w:p>
              </w:tc>
              <w:tc>
                <w:tcPr>
                  <w:tcW w:w="564" w:type="pct"/>
                  <w:tcBorders>
                    <w:tl2br w:val="nil"/>
                    <w:tr2bl w:val="nil"/>
                  </w:tcBorders>
                  <w:noWrap w:val="0"/>
                  <w:vAlign w:val="center"/>
                </w:tcPr>
                <w:p w14:paraId="6CDD6685">
                  <w:pPr>
                    <w:keepNext w:val="0"/>
                    <w:keepLines w:val="0"/>
                    <w:pageBreakBefore w:val="0"/>
                    <w:widowControl w:val="0"/>
                    <w:kinsoku/>
                    <w:wordWrap/>
                    <w:overflowPunct/>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废墨水</w:t>
                  </w:r>
                </w:p>
              </w:tc>
              <w:tc>
                <w:tcPr>
                  <w:tcW w:w="448" w:type="pct"/>
                  <w:tcBorders>
                    <w:tl2br w:val="nil"/>
                    <w:tr2bl w:val="nil"/>
                  </w:tcBorders>
                  <w:noWrap w:val="0"/>
                  <w:vAlign w:val="center"/>
                </w:tcPr>
                <w:p w14:paraId="760B55A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w:t>
                  </w:r>
                </w:p>
              </w:tc>
              <w:tc>
                <w:tcPr>
                  <w:tcW w:w="399" w:type="pct"/>
                  <w:tcBorders>
                    <w:tl2br w:val="nil"/>
                    <w:tr2bl w:val="nil"/>
                  </w:tcBorders>
                  <w:noWrap w:val="0"/>
                  <w:vAlign w:val="center"/>
                </w:tcPr>
                <w:p w14:paraId="0BBEACBD">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0.5</w:t>
                  </w:r>
                </w:p>
              </w:tc>
              <w:tc>
                <w:tcPr>
                  <w:tcW w:w="354" w:type="pct"/>
                  <w:tcBorders>
                    <w:tl2br w:val="nil"/>
                    <w:tr2bl w:val="nil"/>
                  </w:tcBorders>
                  <w:noWrap w:val="0"/>
                  <w:vAlign w:val="center"/>
                </w:tcPr>
                <w:p w14:paraId="696110F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桶装</w:t>
                  </w:r>
                </w:p>
              </w:tc>
              <w:tc>
                <w:tcPr>
                  <w:tcW w:w="308" w:type="pct"/>
                  <w:vMerge w:val="continue"/>
                  <w:tcBorders>
                    <w:tl2br w:val="nil"/>
                    <w:tr2bl w:val="nil"/>
                  </w:tcBorders>
                  <w:noWrap w:val="0"/>
                  <w:vAlign w:val="center"/>
                </w:tcPr>
                <w:p w14:paraId="14714B1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419" w:type="pct"/>
                  <w:tcBorders>
                    <w:tl2br w:val="nil"/>
                    <w:tr2bl w:val="nil"/>
                  </w:tcBorders>
                  <w:noWrap w:val="0"/>
                  <w:vAlign w:val="center"/>
                </w:tcPr>
                <w:p w14:paraId="3AF48939">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0.5</w:t>
                  </w:r>
                </w:p>
              </w:tc>
              <w:tc>
                <w:tcPr>
                  <w:tcW w:w="459" w:type="pct"/>
                  <w:vMerge w:val="continue"/>
                  <w:tcBorders>
                    <w:tl2br w:val="nil"/>
                    <w:tr2bl w:val="nil"/>
                  </w:tcBorders>
                  <w:noWrap w:val="0"/>
                  <w:vAlign w:val="center"/>
                </w:tcPr>
                <w:p w14:paraId="161D7BA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kern w:val="24"/>
                      <w:sz w:val="21"/>
                      <w:szCs w:val="21"/>
                      <w:highlight w:val="none"/>
                    </w:rPr>
                  </w:pPr>
                </w:p>
              </w:tc>
            </w:tr>
            <w:tr w14:paraId="419F12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38" w:hRule="atLeast"/>
              </w:trPr>
              <w:tc>
                <w:tcPr>
                  <w:tcW w:w="206" w:type="pct"/>
                  <w:vMerge w:val="continue"/>
                  <w:tcBorders>
                    <w:tl2br w:val="nil"/>
                    <w:tr2bl w:val="nil"/>
                  </w:tcBorders>
                  <w:noWrap w:val="0"/>
                  <w:vAlign w:val="center"/>
                </w:tcPr>
                <w:p w14:paraId="7EABD680">
                  <w:pPr>
                    <w:keepNext w:val="0"/>
                    <w:keepLines w:val="0"/>
                    <w:pageBreakBefore w:val="0"/>
                    <w:widowControl w:val="0"/>
                    <w:kinsoku/>
                    <w:wordWrap/>
                    <w:overflowPunct/>
                    <w:topLine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rPr>
                  </w:pPr>
                </w:p>
              </w:tc>
              <w:tc>
                <w:tcPr>
                  <w:tcW w:w="495" w:type="pct"/>
                  <w:tcBorders>
                    <w:tl2br w:val="nil"/>
                    <w:tr2bl w:val="nil"/>
                  </w:tcBorders>
                  <w:noWrap w:val="0"/>
                  <w:vAlign w:val="center"/>
                </w:tcPr>
                <w:p w14:paraId="58D4AEFF">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废活性炭</w:t>
                  </w:r>
                </w:p>
              </w:tc>
              <w:tc>
                <w:tcPr>
                  <w:tcW w:w="391" w:type="pct"/>
                  <w:vMerge w:val="continue"/>
                  <w:tcBorders>
                    <w:tl2br w:val="nil"/>
                    <w:tr2bl w:val="nil"/>
                  </w:tcBorders>
                  <w:noWrap w:val="0"/>
                  <w:vAlign w:val="center"/>
                </w:tcPr>
                <w:p w14:paraId="54FDCA13">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p>
              </w:tc>
              <w:tc>
                <w:tcPr>
                  <w:tcW w:w="633" w:type="pct"/>
                  <w:tcBorders>
                    <w:tl2br w:val="nil"/>
                    <w:tr2bl w:val="nil"/>
                  </w:tcBorders>
                  <w:noWrap w:val="0"/>
                  <w:vAlign w:val="center"/>
                </w:tcPr>
                <w:p w14:paraId="6E342DA0">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4"/>
                      <w:sz w:val="21"/>
                      <w:szCs w:val="21"/>
                      <w:highlight w:val="none"/>
                      <w:lang w:val="en-US" w:eastAsia="zh-CN" w:bidi="ar-SA"/>
                    </w:rPr>
                    <w:t>HW</w:t>
                  </w:r>
                  <w:r>
                    <w:rPr>
                      <w:rFonts w:hint="default" w:ascii="Times New Roman" w:hAnsi="Times New Roman" w:cs="Times New Roman"/>
                      <w:color w:val="auto"/>
                      <w:kern w:val="24"/>
                      <w:sz w:val="21"/>
                      <w:szCs w:val="21"/>
                      <w:highlight w:val="none"/>
                      <w:lang w:val="en-US" w:eastAsia="zh-CN" w:bidi="ar-SA"/>
                    </w:rPr>
                    <w:t>49</w:t>
                  </w:r>
                  <w:r>
                    <w:rPr>
                      <w:rFonts w:hint="default" w:ascii="Times New Roman" w:hAnsi="Times New Roman" w:eastAsia="宋体" w:cs="Times New Roman"/>
                      <w:color w:val="auto"/>
                      <w:kern w:val="24"/>
                      <w:sz w:val="21"/>
                      <w:szCs w:val="21"/>
                      <w:highlight w:val="none"/>
                      <w:lang w:val="en-US" w:eastAsia="zh-CN" w:bidi="ar-SA"/>
                    </w:rPr>
                    <w:t>，900-</w:t>
                  </w:r>
                  <w:r>
                    <w:rPr>
                      <w:rFonts w:hint="default" w:ascii="Times New Roman" w:hAnsi="Times New Roman" w:cs="Times New Roman"/>
                      <w:color w:val="auto"/>
                      <w:kern w:val="24"/>
                      <w:sz w:val="21"/>
                      <w:szCs w:val="21"/>
                      <w:highlight w:val="none"/>
                      <w:lang w:val="en-US" w:eastAsia="zh-CN" w:bidi="ar-SA"/>
                    </w:rPr>
                    <w:t>041</w:t>
                  </w:r>
                  <w:r>
                    <w:rPr>
                      <w:rFonts w:hint="default" w:ascii="Times New Roman" w:hAnsi="Times New Roman" w:eastAsia="宋体" w:cs="Times New Roman"/>
                      <w:color w:val="auto"/>
                      <w:kern w:val="24"/>
                      <w:sz w:val="21"/>
                      <w:szCs w:val="21"/>
                      <w:highlight w:val="none"/>
                      <w:lang w:val="en-US" w:eastAsia="zh-CN" w:bidi="ar-SA"/>
                    </w:rPr>
                    <w:t>-</w:t>
                  </w:r>
                  <w:r>
                    <w:rPr>
                      <w:rFonts w:hint="default" w:ascii="Times New Roman" w:hAnsi="Times New Roman" w:cs="Times New Roman"/>
                      <w:color w:val="auto"/>
                      <w:kern w:val="24"/>
                      <w:sz w:val="21"/>
                      <w:szCs w:val="21"/>
                      <w:highlight w:val="none"/>
                      <w:lang w:val="en-US" w:eastAsia="zh-CN" w:bidi="ar-SA"/>
                    </w:rPr>
                    <w:t>49</w:t>
                  </w:r>
                </w:p>
              </w:tc>
              <w:tc>
                <w:tcPr>
                  <w:tcW w:w="318" w:type="pct"/>
                  <w:tcBorders>
                    <w:tl2br w:val="nil"/>
                    <w:tr2bl w:val="nil"/>
                  </w:tcBorders>
                  <w:noWrap w:val="0"/>
                  <w:vAlign w:val="center"/>
                </w:tcPr>
                <w:p w14:paraId="7CFD7454">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cs="Times New Roman"/>
                      <w:color w:val="auto"/>
                      <w:kern w:val="24"/>
                      <w:sz w:val="21"/>
                      <w:szCs w:val="21"/>
                      <w:highlight w:val="none"/>
                      <w:lang w:val="en-US" w:eastAsia="zh-CN" w:bidi="ar-SA"/>
                    </w:rPr>
                    <w:t>固态</w:t>
                  </w:r>
                </w:p>
              </w:tc>
              <w:tc>
                <w:tcPr>
                  <w:tcW w:w="564" w:type="pct"/>
                  <w:tcBorders>
                    <w:tl2br w:val="nil"/>
                    <w:tr2bl w:val="nil"/>
                  </w:tcBorders>
                  <w:noWrap w:val="0"/>
                  <w:vAlign w:val="center"/>
                </w:tcPr>
                <w:p w14:paraId="01F030C7">
                  <w:pPr>
                    <w:keepNext w:val="0"/>
                    <w:keepLines w:val="0"/>
                    <w:pageBreakBefore w:val="0"/>
                    <w:widowControl w:val="0"/>
                    <w:kinsoku/>
                    <w:wordWrap/>
                    <w:overflowPunct/>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VOCs</w:t>
                  </w:r>
                </w:p>
              </w:tc>
              <w:tc>
                <w:tcPr>
                  <w:tcW w:w="448" w:type="pct"/>
                  <w:tcBorders>
                    <w:tl2br w:val="nil"/>
                    <w:tr2bl w:val="nil"/>
                  </w:tcBorders>
                  <w:noWrap w:val="0"/>
                  <w:vAlign w:val="center"/>
                </w:tcPr>
                <w:p w14:paraId="6BD0974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w:t>
                  </w:r>
                </w:p>
              </w:tc>
              <w:tc>
                <w:tcPr>
                  <w:tcW w:w="399" w:type="pct"/>
                  <w:tcBorders>
                    <w:tl2br w:val="nil"/>
                    <w:tr2bl w:val="nil"/>
                  </w:tcBorders>
                  <w:noWrap w:val="0"/>
                  <w:vAlign w:val="center"/>
                </w:tcPr>
                <w:p w14:paraId="1F7E2A47">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eastAsia="宋体"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0.513</w:t>
                  </w:r>
                </w:p>
              </w:tc>
              <w:tc>
                <w:tcPr>
                  <w:tcW w:w="354" w:type="pct"/>
                  <w:tcBorders>
                    <w:tl2br w:val="nil"/>
                    <w:tr2bl w:val="nil"/>
                  </w:tcBorders>
                  <w:noWrap w:val="0"/>
                  <w:vAlign w:val="center"/>
                </w:tcPr>
                <w:p w14:paraId="1BD60E1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袋装</w:t>
                  </w:r>
                </w:p>
              </w:tc>
              <w:tc>
                <w:tcPr>
                  <w:tcW w:w="308" w:type="pct"/>
                  <w:vMerge w:val="continue"/>
                  <w:tcBorders>
                    <w:tl2br w:val="nil"/>
                    <w:tr2bl w:val="nil"/>
                  </w:tcBorders>
                  <w:noWrap w:val="0"/>
                  <w:vAlign w:val="center"/>
                </w:tcPr>
                <w:p w14:paraId="3701C9A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419" w:type="pct"/>
                  <w:tcBorders>
                    <w:tl2br w:val="nil"/>
                    <w:tr2bl w:val="nil"/>
                  </w:tcBorders>
                  <w:noWrap w:val="0"/>
                  <w:vAlign w:val="center"/>
                </w:tcPr>
                <w:p w14:paraId="2E9526E9">
                  <w:pPr>
                    <w:keepNext w:val="0"/>
                    <w:keepLines w:val="0"/>
                    <w:pageBreakBefore w:val="0"/>
                    <w:widowControl w:val="0"/>
                    <w:kinsoku/>
                    <w:wordWrap/>
                    <w:overflowPunct/>
                    <w:autoSpaceDE/>
                    <w:autoSpaceDN/>
                    <w:bidi w:val="0"/>
                    <w:snapToGrid w:val="0"/>
                    <w:spacing w:line="240" w:lineRule="auto"/>
                    <w:jc w:val="center"/>
                    <w:textAlignment w:val="auto"/>
                    <w:rPr>
                      <w:rFonts w:hint="default" w:ascii="Times New Roman" w:hAnsi="Times New Roman" w:cs="Times New Roman"/>
                      <w:color w:val="auto"/>
                      <w:kern w:val="24"/>
                      <w:sz w:val="21"/>
                      <w:szCs w:val="21"/>
                      <w:highlight w:val="none"/>
                      <w:lang w:val="en-US" w:eastAsia="zh-CN"/>
                    </w:rPr>
                  </w:pPr>
                  <w:r>
                    <w:rPr>
                      <w:rFonts w:hint="default" w:ascii="Times New Roman" w:hAnsi="Times New Roman" w:cs="Times New Roman"/>
                      <w:color w:val="auto"/>
                      <w:kern w:val="24"/>
                      <w:sz w:val="21"/>
                      <w:szCs w:val="21"/>
                      <w:highlight w:val="none"/>
                      <w:lang w:val="en-US" w:eastAsia="zh-CN"/>
                    </w:rPr>
                    <w:t>0.513</w:t>
                  </w:r>
                </w:p>
              </w:tc>
              <w:tc>
                <w:tcPr>
                  <w:tcW w:w="459" w:type="pct"/>
                  <w:vMerge w:val="continue"/>
                  <w:tcBorders>
                    <w:tl2br w:val="nil"/>
                    <w:tr2bl w:val="nil"/>
                  </w:tcBorders>
                  <w:noWrap w:val="0"/>
                  <w:vAlign w:val="center"/>
                </w:tcPr>
                <w:p w14:paraId="2B8309A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kern w:val="24"/>
                      <w:sz w:val="21"/>
                      <w:szCs w:val="21"/>
                      <w:highlight w:val="none"/>
                    </w:rPr>
                  </w:pPr>
                </w:p>
              </w:tc>
            </w:tr>
          </w:tbl>
          <w:p w14:paraId="2F57FD2B">
            <w:pPr>
              <w:adjustRightInd w:val="0"/>
              <w:snapToGrid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cs="Times New Roman"/>
                <w:b w:val="0"/>
                <w:bCs w:val="0"/>
                <w:color w:val="auto"/>
                <w:sz w:val="24"/>
                <w:szCs w:val="24"/>
                <w:highlight w:val="none"/>
              </w:rPr>
              <w:t>源强确定依据：</w:t>
            </w:r>
          </w:p>
          <w:p w14:paraId="16CD1197">
            <w:pPr>
              <w:adjustRightInd w:val="0"/>
              <w:snapToGrid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（1）一般工业固废</w:t>
            </w:r>
          </w:p>
          <w:p w14:paraId="5B0DD7F7">
            <w:pPr>
              <w:adjustRightInd w:val="0"/>
              <w:snapToGrid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t>袋式除尘粉尘</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根据核算，</w:t>
            </w:r>
            <w:r>
              <w:rPr>
                <w:rFonts w:hint="default" w:ascii="Times New Roman" w:hAnsi="Times New Roman" w:eastAsia="宋体" w:cs="Times New Roman"/>
                <w:color w:val="auto"/>
                <w:sz w:val="24"/>
                <w:szCs w:val="24"/>
                <w:highlight w:val="none"/>
                <w:lang w:val="en-US" w:eastAsia="zh-CN"/>
              </w:rPr>
              <w:t>本项目袋式除尘器年收集粉尘</w:t>
            </w:r>
            <w:r>
              <w:rPr>
                <w:rFonts w:hint="eastAsia" w:cs="Times New Roman"/>
                <w:color w:val="auto"/>
                <w:sz w:val="24"/>
                <w:szCs w:val="24"/>
                <w:highlight w:val="none"/>
                <w:lang w:val="en-US" w:eastAsia="zh-CN"/>
              </w:rPr>
              <w:t>2.392</w:t>
            </w:r>
            <w:r>
              <w:rPr>
                <w:rFonts w:hint="default" w:ascii="Times New Roman" w:hAnsi="Times New Roman" w:eastAsia="宋体" w:cs="Times New Roman"/>
                <w:color w:val="auto"/>
                <w:sz w:val="24"/>
                <w:szCs w:val="24"/>
                <w:highlight w:val="none"/>
                <w:lang w:val="en-US" w:eastAsia="zh-CN"/>
              </w:rPr>
              <w:t>t，作为原料回用于</w:t>
            </w:r>
            <w:r>
              <w:rPr>
                <w:rFonts w:hint="default" w:ascii="Times New Roman" w:hAnsi="Times New Roman" w:cs="Times New Roman"/>
                <w:color w:val="auto"/>
                <w:sz w:val="24"/>
                <w:szCs w:val="24"/>
                <w:highlight w:val="none"/>
                <w:lang w:val="en-US" w:eastAsia="zh-CN"/>
              </w:rPr>
              <w:t>生产</w:t>
            </w:r>
            <w:r>
              <w:rPr>
                <w:rFonts w:hint="default" w:ascii="Times New Roman" w:hAnsi="Times New Roman" w:eastAsia="宋体" w:cs="Times New Roman"/>
                <w:color w:val="auto"/>
                <w:sz w:val="24"/>
                <w:szCs w:val="24"/>
                <w:highlight w:val="none"/>
                <w:lang w:val="en-US" w:eastAsia="zh-CN"/>
              </w:rPr>
              <w:t>。</w:t>
            </w:r>
          </w:p>
          <w:p w14:paraId="0F8A31FA">
            <w:pPr>
              <w:adjustRightInd w:val="0"/>
              <w:snapToGrid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val="en-US" w:eastAsia="zh-CN"/>
              </w:rPr>
              <w:t>废包装袋</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铝铁红生产过程中废包装袋产生量约为0.01t/a，产量降至420t/a后，废包装袋产生量降至0.008t/a，外售综合利用</w:t>
            </w:r>
            <w:r>
              <w:rPr>
                <w:rFonts w:hint="eastAsia" w:cs="Times New Roman"/>
                <w:color w:val="auto"/>
                <w:sz w:val="24"/>
                <w:szCs w:val="24"/>
                <w:highlight w:val="none"/>
                <w:lang w:val="en-US" w:eastAsia="zh-CN"/>
              </w:rPr>
              <w:t>。</w:t>
            </w:r>
          </w:p>
          <w:p w14:paraId="06932D85">
            <w:pPr>
              <w:adjustRightInd w:val="0"/>
              <w:snapToGrid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（2）危险废物</w:t>
            </w:r>
          </w:p>
          <w:p w14:paraId="7B9459B9">
            <w:pPr>
              <w:pStyle w:val="30"/>
              <w:snapToGrid w:val="0"/>
              <w:spacing w:line="360" w:lineRule="auto"/>
              <w:ind w:firstLine="480" w:firstLineChars="200"/>
              <w:jc w:val="left"/>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lang w:eastAsia="zh-CN"/>
              </w:rPr>
              <w:t>废包</w:t>
            </w:r>
            <w:r>
              <w:rPr>
                <w:rFonts w:hint="default" w:ascii="Times New Roman" w:hAnsi="Times New Roman" w:eastAsia="宋体" w:cs="Times New Roman"/>
                <w:color w:val="auto"/>
                <w:sz w:val="24"/>
                <w:szCs w:val="24"/>
                <w:highlight w:val="none"/>
                <w:lang w:val="en-US" w:eastAsia="zh-CN"/>
              </w:rPr>
              <w:t>装桶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项目生产过程中产生废原料包装桶，产生量约为1t/a，属于</w:t>
            </w:r>
            <w:r>
              <w:rPr>
                <w:rFonts w:hint="eastAsia" w:ascii="Times New Roman" w:eastAsia="宋体" w:cs="Times New Roman"/>
                <w:color w:val="auto"/>
                <w:kern w:val="2"/>
                <w:sz w:val="24"/>
                <w:szCs w:val="24"/>
                <w:highlight w:val="none"/>
                <w:lang w:val="en-US" w:eastAsia="zh-CN" w:bidi="ar-SA"/>
              </w:rPr>
              <w:t>危险</w:t>
            </w:r>
            <w:r>
              <w:rPr>
                <w:rFonts w:hint="default" w:ascii="Times New Roman" w:hAnsi="Times New Roman" w:eastAsia="宋体" w:cs="Times New Roman"/>
                <w:color w:val="auto"/>
                <w:kern w:val="2"/>
                <w:sz w:val="24"/>
                <w:szCs w:val="24"/>
                <w:highlight w:val="none"/>
                <w:lang w:val="en-US" w:eastAsia="zh-CN" w:bidi="ar-SA"/>
              </w:rPr>
              <w:t>废物，危废代码</w:t>
            </w:r>
            <w:r>
              <w:rPr>
                <w:rFonts w:hint="eastAsia" w:asci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HW49</w:t>
            </w:r>
            <w:r>
              <w:rPr>
                <w:rFonts w:hint="eastAsia" w:asci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900-041-49</w:t>
            </w:r>
            <w:r>
              <w:rPr>
                <w:rFonts w:hint="eastAsia" w:asci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，委托资质单位处置。</w:t>
            </w:r>
          </w:p>
          <w:p w14:paraId="3DE96506">
            <w:pPr>
              <w:adjustRightInd w:val="0"/>
              <w:snapToGrid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val="en-US" w:eastAsia="zh-CN"/>
              </w:rPr>
              <w:t>废润滑油</w:t>
            </w:r>
            <w:r>
              <w:rPr>
                <w:rFonts w:hint="default" w:ascii="Times New Roman" w:hAnsi="Times New Roman" w:eastAsia="宋体" w:cs="Times New Roman"/>
                <w:color w:val="auto"/>
                <w:sz w:val="24"/>
                <w:szCs w:val="24"/>
                <w:highlight w:val="none"/>
              </w:rPr>
              <w:t>：本项目设备维护过程中会产生</w:t>
            </w:r>
            <w:r>
              <w:rPr>
                <w:rFonts w:hint="default" w:ascii="Times New Roman" w:hAnsi="Times New Roman" w:eastAsia="宋体" w:cs="Times New Roman"/>
                <w:color w:val="auto"/>
                <w:sz w:val="24"/>
                <w:szCs w:val="24"/>
                <w:highlight w:val="none"/>
                <w:lang w:eastAsia="zh-CN"/>
              </w:rPr>
              <w:t>废润滑油</w:t>
            </w:r>
            <w:r>
              <w:rPr>
                <w:rFonts w:hint="default" w:ascii="Times New Roman" w:hAnsi="Times New Roman" w:eastAsia="宋体" w:cs="Times New Roman"/>
                <w:color w:val="auto"/>
                <w:sz w:val="24"/>
                <w:szCs w:val="24"/>
                <w:highlight w:val="none"/>
              </w:rPr>
              <w:t>，根据建设单位提供数据，本项目</w:t>
            </w:r>
            <w:r>
              <w:rPr>
                <w:rFonts w:hint="default" w:ascii="Times New Roman" w:hAnsi="Times New Roman" w:eastAsia="宋体" w:cs="Times New Roman"/>
                <w:color w:val="auto"/>
                <w:sz w:val="24"/>
                <w:szCs w:val="24"/>
                <w:highlight w:val="none"/>
                <w:lang w:eastAsia="zh-CN"/>
              </w:rPr>
              <w:t>废润滑油</w:t>
            </w:r>
            <w:r>
              <w:rPr>
                <w:rFonts w:hint="default" w:ascii="Times New Roman" w:hAnsi="Times New Roman" w:eastAsia="宋体" w:cs="Times New Roman"/>
                <w:color w:val="auto"/>
                <w:sz w:val="24"/>
                <w:szCs w:val="24"/>
                <w:highlight w:val="none"/>
              </w:rPr>
              <w:t>产生量为0.02t/a。</w:t>
            </w:r>
            <w:r>
              <w:rPr>
                <w:rFonts w:hint="default" w:ascii="Times New Roman" w:hAnsi="Times New Roman" w:eastAsia="宋体" w:cs="Times New Roman"/>
                <w:color w:val="auto"/>
                <w:sz w:val="24"/>
                <w:szCs w:val="24"/>
                <w:highlight w:val="none"/>
                <w:lang w:eastAsia="zh-CN"/>
              </w:rPr>
              <w:t>废润滑油</w:t>
            </w:r>
            <w:r>
              <w:rPr>
                <w:rFonts w:hint="default" w:ascii="Times New Roman" w:hAnsi="Times New Roman" w:eastAsia="宋体" w:cs="Times New Roman"/>
                <w:color w:val="auto"/>
                <w:sz w:val="24"/>
                <w:szCs w:val="24"/>
                <w:highlight w:val="none"/>
              </w:rPr>
              <w:t>属于危险废物，危废代码(HW08，900-217-08)，暂存于</w:t>
            </w:r>
            <w:r>
              <w:rPr>
                <w:rFonts w:hint="default" w:ascii="Times New Roman" w:hAnsi="Times New Roman" w:eastAsia="宋体" w:cs="Times New Roman"/>
                <w:color w:val="auto"/>
                <w:sz w:val="24"/>
                <w:szCs w:val="24"/>
                <w:highlight w:val="none"/>
                <w:lang w:eastAsia="zh-CN"/>
              </w:rPr>
              <w:t>危废暂存间</w:t>
            </w:r>
            <w:r>
              <w:rPr>
                <w:rFonts w:hint="default" w:ascii="Times New Roman" w:hAnsi="Times New Roman" w:eastAsia="宋体" w:cs="Times New Roman"/>
                <w:color w:val="auto"/>
                <w:sz w:val="24"/>
                <w:szCs w:val="24"/>
                <w:highlight w:val="none"/>
              </w:rPr>
              <w:t>，委托有资质的单位处理。</w:t>
            </w:r>
          </w:p>
          <w:p w14:paraId="7423F03D">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w:t>
            </w:r>
            <w:r>
              <w:rPr>
                <w:rFonts w:hint="default" w:ascii="Times New Roman" w:hAnsi="Times New Roman" w:eastAsia="宋体" w:cs="Times New Roman"/>
                <w:color w:val="auto"/>
                <w:sz w:val="24"/>
                <w:szCs w:val="24"/>
                <w:highlight w:val="none"/>
                <w:lang w:val="en-US" w:eastAsia="zh-CN"/>
              </w:rPr>
              <w:t>废油桶</w:t>
            </w:r>
            <w:r>
              <w:rPr>
                <w:rFonts w:hint="default" w:ascii="Times New Roman" w:hAnsi="Times New Roman" w:eastAsia="宋体" w:cs="Times New Roman"/>
                <w:color w:val="auto"/>
                <w:sz w:val="24"/>
                <w:szCs w:val="24"/>
                <w:highlight w:val="none"/>
              </w:rPr>
              <w:t>：本项目设备维护过程中会产生</w:t>
            </w:r>
            <w:r>
              <w:rPr>
                <w:rFonts w:hint="default" w:ascii="Times New Roman" w:hAnsi="Times New Roman" w:cs="Times New Roman"/>
                <w:color w:val="auto"/>
                <w:sz w:val="24"/>
                <w:szCs w:val="24"/>
                <w:highlight w:val="none"/>
                <w:lang w:val="en-US" w:eastAsia="zh-CN"/>
              </w:rPr>
              <w:t>废油桶</w:t>
            </w:r>
            <w:r>
              <w:rPr>
                <w:rFonts w:hint="default" w:ascii="Times New Roman" w:hAnsi="Times New Roman" w:eastAsia="宋体" w:cs="Times New Roman"/>
                <w:color w:val="auto"/>
                <w:sz w:val="24"/>
                <w:szCs w:val="24"/>
                <w:highlight w:val="none"/>
              </w:rPr>
              <w:t>，废油桶产生量为</w:t>
            </w:r>
            <w:r>
              <w:rPr>
                <w:rFonts w:hint="default" w:ascii="Times New Roman" w:hAnsi="Times New Roman" w:eastAsia="宋体" w:cs="Times New Roman"/>
                <w:color w:val="auto"/>
                <w:sz w:val="24"/>
                <w:szCs w:val="24"/>
                <w:highlight w:val="none"/>
                <w:lang w:eastAsia="zh-CN"/>
              </w:rPr>
              <w:t>0.0</w:t>
            </w:r>
            <w:r>
              <w:rPr>
                <w:rFonts w:hint="default" w:ascii="Times New Roman" w:hAnsi="Times New Roman" w:cs="Times New Roman"/>
                <w:color w:val="auto"/>
                <w:sz w:val="24"/>
                <w:szCs w:val="24"/>
                <w:highlight w:val="none"/>
                <w:lang w:val="en-US" w:eastAsia="zh-CN"/>
              </w:rPr>
              <w:t>05</w:t>
            </w:r>
            <w:r>
              <w:rPr>
                <w:rFonts w:hint="default" w:ascii="Times New Roman" w:hAnsi="Times New Roman" w:eastAsia="宋体" w:cs="Times New Roman"/>
                <w:color w:val="auto"/>
                <w:sz w:val="24"/>
                <w:szCs w:val="24"/>
                <w:highlight w:val="none"/>
              </w:rPr>
              <w:t>t/a，属于危险废物，危废代码(HW08，900-249-08)，暂存于</w:t>
            </w:r>
            <w:r>
              <w:rPr>
                <w:rFonts w:hint="default" w:ascii="Times New Roman" w:hAnsi="Times New Roman" w:eastAsia="宋体" w:cs="Times New Roman"/>
                <w:color w:val="auto"/>
                <w:sz w:val="24"/>
                <w:szCs w:val="24"/>
                <w:highlight w:val="none"/>
                <w:lang w:eastAsia="zh-CN"/>
              </w:rPr>
              <w:t>危废暂存间</w:t>
            </w:r>
            <w:r>
              <w:rPr>
                <w:rFonts w:hint="default" w:ascii="Times New Roman" w:hAnsi="Times New Roman" w:eastAsia="宋体" w:cs="Times New Roman"/>
                <w:color w:val="auto"/>
                <w:sz w:val="24"/>
                <w:szCs w:val="24"/>
                <w:highlight w:val="none"/>
              </w:rPr>
              <w:t>，委托有资质的单位处理。</w:t>
            </w:r>
          </w:p>
          <w:p w14:paraId="34ACC6ED">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④</w:t>
            </w:r>
            <w:r>
              <w:rPr>
                <w:rFonts w:hint="default" w:ascii="Times New Roman" w:hAnsi="Times New Roman" w:cs="Times New Roman"/>
                <w:color w:val="auto"/>
                <w:sz w:val="24"/>
                <w:szCs w:val="24"/>
                <w:highlight w:val="none"/>
                <w:lang w:val="en-US" w:eastAsia="zh-CN"/>
              </w:rPr>
              <w:t>废活性炭</w:t>
            </w:r>
          </w:p>
          <w:p w14:paraId="05CDBB79">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1kg的活性炭可以吸附0.3kg的有机废气。根据核算，本项目活性炭吸附装置（</w:t>
            </w:r>
            <w:r>
              <w:rPr>
                <w:rFonts w:hint="eastAsia" w:cs="Times New Roman"/>
                <w:color w:val="auto"/>
                <w:sz w:val="24"/>
                <w:szCs w:val="24"/>
                <w:highlight w:val="none"/>
                <w:lang w:eastAsia="zh-CN"/>
              </w:rPr>
              <w:t>TA005</w:t>
            </w:r>
            <w:r>
              <w:rPr>
                <w:rFonts w:hint="default" w:ascii="Times New Roman" w:hAnsi="Times New Roman" w:eastAsia="宋体" w:cs="Times New Roman"/>
                <w:color w:val="auto"/>
                <w:sz w:val="24"/>
                <w:szCs w:val="24"/>
                <w:highlight w:val="none"/>
              </w:rPr>
              <w:t>）吸附VOCs量约为</w:t>
            </w:r>
            <w:r>
              <w:rPr>
                <w:rFonts w:hint="default" w:ascii="Times New Roman" w:hAnsi="Times New Roman" w:cs="Times New Roman"/>
                <w:color w:val="auto"/>
                <w:sz w:val="24"/>
                <w:szCs w:val="24"/>
                <w:highlight w:val="none"/>
                <w:lang w:val="en-US" w:eastAsia="zh-CN"/>
              </w:rPr>
              <w:t>0.113</w:t>
            </w:r>
            <w:r>
              <w:rPr>
                <w:rFonts w:hint="default" w:ascii="Times New Roman" w:hAnsi="Times New Roman" w:eastAsia="宋体" w:cs="Times New Roman"/>
                <w:color w:val="auto"/>
                <w:sz w:val="24"/>
                <w:szCs w:val="24"/>
                <w:highlight w:val="none"/>
              </w:rPr>
              <w:t>t/a，活性炭填充量为</w:t>
            </w:r>
            <w:r>
              <w:rPr>
                <w:rFonts w:hint="default" w:ascii="Times New Roman" w:hAnsi="Times New Roman" w:cs="Times New Roman"/>
                <w:color w:val="auto"/>
                <w:sz w:val="24"/>
                <w:szCs w:val="24"/>
                <w:highlight w:val="none"/>
                <w:lang w:val="en-US" w:eastAsia="zh-CN"/>
              </w:rPr>
              <w:t>0.377</w:t>
            </w:r>
            <w:r>
              <w:rPr>
                <w:rFonts w:hint="default" w:ascii="Times New Roman" w:hAnsi="Times New Roman" w:eastAsia="宋体" w:cs="Times New Roman"/>
                <w:color w:val="auto"/>
                <w:sz w:val="24"/>
                <w:szCs w:val="24"/>
                <w:highlight w:val="none"/>
              </w:rPr>
              <w:t>t/a。本项目活性炭吸附箱填充量约为</w:t>
            </w:r>
            <w:r>
              <w:rPr>
                <w:rFonts w:hint="default"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，活性炭填充比重为0.2g/cm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，则活性炭吸附箱一次性活性炭填充量为</w:t>
            </w:r>
            <w:r>
              <w:rPr>
                <w:rFonts w:hint="default" w:ascii="Times New Roman" w:hAnsi="Times New Roman" w:cs="Times New Roman"/>
                <w:color w:val="auto"/>
                <w:sz w:val="24"/>
                <w:szCs w:val="24"/>
                <w:highlight w:val="none"/>
                <w:lang w:val="en-US" w:eastAsia="zh-CN"/>
              </w:rPr>
              <w:t>0.2</w:t>
            </w:r>
            <w:r>
              <w:rPr>
                <w:rFonts w:hint="default" w:ascii="Times New Roman" w:hAnsi="Times New Roman" w:eastAsia="宋体" w:cs="Times New Roman"/>
                <w:color w:val="auto"/>
                <w:sz w:val="24"/>
                <w:szCs w:val="24"/>
                <w:highlight w:val="none"/>
              </w:rPr>
              <w:t>t。根据废气处理情况，本项目活性炭吸附箱一年更换</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次活性炭。则废活性炭产生量约为</w:t>
            </w:r>
            <w:r>
              <w:rPr>
                <w:rFonts w:hint="default" w:ascii="Times New Roman" w:hAnsi="Times New Roman" w:cs="Times New Roman"/>
                <w:color w:val="auto"/>
                <w:sz w:val="24"/>
                <w:szCs w:val="24"/>
                <w:highlight w:val="none"/>
                <w:lang w:val="en-US" w:eastAsia="zh-CN"/>
              </w:rPr>
              <w:t>0.513</w:t>
            </w:r>
            <w:r>
              <w:rPr>
                <w:rFonts w:hint="default" w:ascii="Times New Roman" w:hAnsi="Times New Roman" w:eastAsia="宋体" w:cs="Times New Roman"/>
                <w:color w:val="auto"/>
                <w:sz w:val="24"/>
                <w:szCs w:val="24"/>
                <w:highlight w:val="none"/>
              </w:rPr>
              <w:t>t/a。属于危险废物，危废代码</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HW49</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900-039-49</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，委托资质单位处置。</w:t>
            </w:r>
          </w:p>
          <w:p w14:paraId="089810DD">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⑤废滤芯</w:t>
            </w:r>
          </w:p>
          <w:p w14:paraId="5A25B1DE">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项目过滤工序将产生少量滤渣附着在滤芯内，过滤芯将定期更换，产生量约为</w:t>
            </w:r>
            <w:r>
              <w:rPr>
                <w:rFonts w:hint="default" w:ascii="Times New Roman" w:hAnsi="Times New Roman" w:cs="Times New Roman"/>
                <w:color w:val="auto"/>
                <w:sz w:val="24"/>
                <w:szCs w:val="24"/>
                <w:highlight w:val="none"/>
                <w:lang w:val="en-US" w:eastAsia="zh-CN"/>
              </w:rPr>
              <w:t>0.5</w:t>
            </w:r>
            <w:r>
              <w:rPr>
                <w:rFonts w:hint="default" w:ascii="Times New Roman" w:hAnsi="Times New Roman" w:eastAsia="宋体" w:cs="Times New Roman"/>
                <w:color w:val="auto"/>
                <w:sz w:val="24"/>
                <w:szCs w:val="24"/>
                <w:highlight w:val="none"/>
                <w:lang w:val="en-US" w:eastAsia="zh-CN"/>
              </w:rPr>
              <w:t>t/a，属危险废物，</w:t>
            </w:r>
            <w:r>
              <w:rPr>
                <w:rFonts w:hint="default" w:ascii="Times New Roman" w:hAnsi="Times New Roman" w:eastAsia="宋体" w:cs="Times New Roman"/>
                <w:color w:val="auto"/>
                <w:sz w:val="24"/>
                <w:szCs w:val="24"/>
                <w:highlight w:val="none"/>
              </w:rPr>
              <w:t>危废代码</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HW49</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900-041-49</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，委托资质单位处置。</w:t>
            </w:r>
          </w:p>
          <w:p w14:paraId="67C76911">
            <w:pPr>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3、环境管理要求</w:t>
            </w:r>
          </w:p>
          <w:p w14:paraId="3EF0CF38">
            <w:pPr>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t>项目固体废物管理要求如下：</w:t>
            </w:r>
          </w:p>
          <w:p w14:paraId="0B75D014">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应记录固体废物产生量和去向（处理、处置、综合利用或外运）及相应量。</w:t>
            </w:r>
          </w:p>
          <w:p w14:paraId="3E6BC592">
            <w:pPr>
              <w:adjustRightInd w:val="0"/>
              <w:snapToGrid w:val="0"/>
              <w:spacing w:line="360" w:lineRule="auto"/>
              <w:ind w:firstLine="480" w:firstLineChars="200"/>
              <w:rPr>
                <w:rFonts w:hint="default" w:ascii="Times New Roman" w:hAnsi="Times New Roman" w:cs="Times New Roman"/>
                <w:snapToGrid w:val="0"/>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危险废物应按规定严格执行危险废物转移联单制度。危险废物产生、收集、贮存、利用、处置过程应满足危险废物有关法律法规、标准规范相关规定要求，并通过全国固体废物管理信息系统报送危险废物产生、贮存、转移、利用和处置等情况。</w:t>
            </w:r>
          </w:p>
          <w:p w14:paraId="6334A035">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此外，</w:t>
            </w:r>
            <w:r>
              <w:rPr>
                <w:rFonts w:hint="default" w:ascii="Times New Roman" w:hAnsi="Times New Roman" w:cs="Times New Roman"/>
                <w:color w:val="auto"/>
                <w:sz w:val="24"/>
                <w:szCs w:val="24"/>
                <w:highlight w:val="none"/>
                <w:lang w:val="en-US" w:eastAsia="zh-CN"/>
              </w:rPr>
              <w:t>企业</w:t>
            </w:r>
            <w:r>
              <w:rPr>
                <w:rFonts w:hint="default" w:ascii="Times New Roman" w:hAnsi="Times New Roman" w:cs="Times New Roman"/>
                <w:color w:val="auto"/>
                <w:sz w:val="24"/>
                <w:szCs w:val="24"/>
                <w:highlight w:val="none"/>
              </w:rPr>
              <w:t>还应积极采用先进技术，注重清洁生产，在生产过程中尽量降低固废的产生量。项目产生的固体废物要及时运走，不要积存，尽可能减轻对周围环境的影响。</w:t>
            </w:r>
          </w:p>
          <w:p w14:paraId="5A738BD9">
            <w:pPr>
              <w:adjustRightInd w:val="0"/>
              <w:snapToGrid w:val="0"/>
              <w:spacing w:line="360" w:lineRule="auto"/>
              <w:rPr>
                <w:rFonts w:hint="default" w:ascii="Times New Roman" w:hAnsi="Times New Roman" w:eastAsia="黑体" w:cs="Times New Roman"/>
                <w:b w:val="0"/>
                <w:bCs/>
                <w:color w:val="auto"/>
                <w:spacing w:val="-10"/>
                <w:sz w:val="24"/>
                <w:szCs w:val="24"/>
                <w:highlight w:val="none"/>
              </w:rPr>
            </w:pPr>
            <w:r>
              <w:rPr>
                <w:rFonts w:hint="default" w:ascii="Times New Roman" w:hAnsi="Times New Roman" w:eastAsia="黑体" w:cs="Times New Roman"/>
                <w:b w:val="0"/>
                <w:bCs/>
                <w:color w:val="auto"/>
                <w:spacing w:val="-10"/>
                <w:sz w:val="24"/>
                <w:szCs w:val="24"/>
                <w:highlight w:val="none"/>
              </w:rPr>
              <w:t>五、地下水、土壤</w:t>
            </w:r>
          </w:p>
          <w:p w14:paraId="2E60883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color w:val="auto"/>
                <w:sz w:val="24"/>
                <w:szCs w:val="24"/>
                <w:highlight w:val="none"/>
              </w:rPr>
            </w:pPr>
            <w:r>
              <w:rPr>
                <w:rFonts w:hint="default" w:ascii="Times New Roman" w:hAnsi="Times New Roman" w:cs="Times New Roman"/>
                <w:bCs/>
                <w:color w:val="auto"/>
                <w:sz w:val="24"/>
                <w:szCs w:val="24"/>
                <w:highlight w:val="none"/>
              </w:rPr>
              <w:t>本项目地下水、土壤污染源、污染物类型及污染途径见下表。</w:t>
            </w:r>
          </w:p>
          <w:p w14:paraId="2A40C42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表4-11  项目地下水、土壤环境影响源及影响因子识别表</w:t>
            </w:r>
          </w:p>
          <w:tbl>
            <w:tblPr>
              <w:tblStyle w:val="24"/>
              <w:tblW w:w="4996"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7"/>
              <w:gridCol w:w="1467"/>
              <w:gridCol w:w="1031"/>
              <w:gridCol w:w="1629"/>
              <w:gridCol w:w="1352"/>
              <w:gridCol w:w="944"/>
            </w:tblGrid>
            <w:tr w14:paraId="13B1A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78" w:type="pct"/>
                  <w:gridSpan w:val="2"/>
                  <w:tcBorders>
                    <w:tl2br w:val="nil"/>
                    <w:tr2bl w:val="nil"/>
                  </w:tcBorders>
                  <w:noWrap w:val="0"/>
                  <w:vAlign w:val="center"/>
                </w:tcPr>
                <w:p w14:paraId="13FA06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污染源</w:t>
                  </w:r>
                </w:p>
              </w:tc>
              <w:tc>
                <w:tcPr>
                  <w:tcW w:w="649" w:type="pct"/>
                  <w:vMerge w:val="restart"/>
                  <w:tcBorders>
                    <w:tl2br w:val="nil"/>
                    <w:tr2bl w:val="nil"/>
                  </w:tcBorders>
                  <w:noWrap w:val="0"/>
                  <w:vAlign w:val="center"/>
                </w:tcPr>
                <w:p w14:paraId="41A24E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污染途径</w:t>
                  </w:r>
                </w:p>
              </w:tc>
              <w:tc>
                <w:tcPr>
                  <w:tcW w:w="1025" w:type="pct"/>
                  <w:vMerge w:val="restart"/>
                  <w:tcBorders>
                    <w:tl2br w:val="nil"/>
                    <w:tr2bl w:val="nil"/>
                  </w:tcBorders>
                  <w:noWrap w:val="0"/>
                  <w:vAlign w:val="center"/>
                </w:tcPr>
                <w:p w14:paraId="4D3AC7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全部污染物指标</w:t>
                  </w:r>
                </w:p>
              </w:tc>
              <w:tc>
                <w:tcPr>
                  <w:tcW w:w="851" w:type="pct"/>
                  <w:vMerge w:val="restart"/>
                  <w:tcBorders>
                    <w:tl2br w:val="nil"/>
                    <w:tr2bl w:val="nil"/>
                  </w:tcBorders>
                  <w:noWrap w:val="0"/>
                  <w:vAlign w:val="center"/>
                </w:tcPr>
                <w:p w14:paraId="7628CC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地下水</w:t>
                  </w:r>
                </w:p>
                <w:p w14:paraId="4E8727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特征因子</w:t>
                  </w:r>
                </w:p>
              </w:tc>
              <w:tc>
                <w:tcPr>
                  <w:tcW w:w="594" w:type="pct"/>
                  <w:vMerge w:val="restart"/>
                  <w:tcBorders>
                    <w:tl2br w:val="nil"/>
                    <w:tr2bl w:val="nil"/>
                  </w:tcBorders>
                  <w:noWrap w:val="0"/>
                  <w:vAlign w:val="center"/>
                </w:tcPr>
                <w:p w14:paraId="239E26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土壤</w:t>
                  </w:r>
                </w:p>
                <w:p w14:paraId="521DED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4"/>
                      <w:sz w:val="21"/>
                      <w:szCs w:val="21"/>
                      <w:highlight w:val="none"/>
                    </w:rPr>
                  </w:pPr>
                  <w:r>
                    <w:rPr>
                      <w:rFonts w:hint="default" w:ascii="Times New Roman" w:hAnsi="Times New Roman" w:cs="Times New Roman"/>
                      <w:color w:val="auto"/>
                      <w:kern w:val="24"/>
                      <w:sz w:val="21"/>
                      <w:szCs w:val="21"/>
                      <w:highlight w:val="none"/>
                    </w:rPr>
                    <w:t>特征因子</w:t>
                  </w:r>
                </w:p>
              </w:tc>
            </w:tr>
            <w:tr w14:paraId="731283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5" w:type="pct"/>
                  <w:tcBorders>
                    <w:tl2br w:val="nil"/>
                    <w:tr2bl w:val="nil"/>
                  </w:tcBorders>
                  <w:noWrap w:val="0"/>
                  <w:vAlign w:val="center"/>
                </w:tcPr>
                <w:p w14:paraId="2706CC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装置</w:t>
                  </w:r>
                </w:p>
              </w:tc>
              <w:tc>
                <w:tcPr>
                  <w:tcW w:w="923" w:type="pct"/>
                  <w:tcBorders>
                    <w:tl2br w:val="nil"/>
                    <w:tr2bl w:val="nil"/>
                  </w:tcBorders>
                  <w:noWrap w:val="0"/>
                  <w:vAlign w:val="center"/>
                </w:tcPr>
                <w:p w14:paraId="758520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节点</w:t>
                  </w:r>
                </w:p>
              </w:tc>
              <w:tc>
                <w:tcPr>
                  <w:tcW w:w="649" w:type="pct"/>
                  <w:vMerge w:val="continue"/>
                  <w:tcBorders>
                    <w:tl2br w:val="nil"/>
                    <w:tr2bl w:val="nil"/>
                  </w:tcBorders>
                  <w:noWrap w:val="0"/>
                  <w:vAlign w:val="center"/>
                </w:tcPr>
                <w:p w14:paraId="556B41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p>
              </w:tc>
              <w:tc>
                <w:tcPr>
                  <w:tcW w:w="1025" w:type="pct"/>
                  <w:vMerge w:val="continue"/>
                  <w:tcBorders>
                    <w:tl2br w:val="nil"/>
                    <w:tr2bl w:val="nil"/>
                  </w:tcBorders>
                  <w:noWrap w:val="0"/>
                  <w:vAlign w:val="center"/>
                </w:tcPr>
                <w:p w14:paraId="463C7C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p>
              </w:tc>
              <w:tc>
                <w:tcPr>
                  <w:tcW w:w="851" w:type="pct"/>
                  <w:vMerge w:val="continue"/>
                  <w:tcBorders>
                    <w:tl2br w:val="nil"/>
                    <w:tr2bl w:val="nil"/>
                  </w:tcBorders>
                  <w:noWrap w:val="0"/>
                  <w:vAlign w:val="center"/>
                </w:tcPr>
                <w:p w14:paraId="09F4D5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p>
              </w:tc>
              <w:tc>
                <w:tcPr>
                  <w:tcW w:w="594" w:type="pct"/>
                  <w:vMerge w:val="continue"/>
                  <w:tcBorders>
                    <w:tl2br w:val="nil"/>
                    <w:tr2bl w:val="nil"/>
                  </w:tcBorders>
                  <w:noWrap w:val="0"/>
                  <w:vAlign w:val="center"/>
                </w:tcPr>
                <w:p w14:paraId="09EF20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p>
              </w:tc>
            </w:tr>
            <w:tr w14:paraId="2677B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5" w:type="pct"/>
                  <w:tcBorders>
                    <w:tl2br w:val="nil"/>
                    <w:tr2bl w:val="nil"/>
                  </w:tcBorders>
                  <w:noWrap w:val="0"/>
                  <w:vAlign w:val="center"/>
                </w:tcPr>
                <w:p w14:paraId="29722A85">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化粪池</w:t>
                  </w:r>
                </w:p>
              </w:tc>
              <w:tc>
                <w:tcPr>
                  <w:tcW w:w="923" w:type="pct"/>
                  <w:tcBorders>
                    <w:tl2br w:val="nil"/>
                    <w:tr2bl w:val="nil"/>
                  </w:tcBorders>
                  <w:noWrap w:val="0"/>
                  <w:vAlign w:val="center"/>
                </w:tcPr>
                <w:p w14:paraId="35C20AEC">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池体、池壁渗漏</w:t>
                  </w:r>
                </w:p>
              </w:tc>
              <w:tc>
                <w:tcPr>
                  <w:tcW w:w="649" w:type="pct"/>
                  <w:tcBorders>
                    <w:tl2br w:val="nil"/>
                    <w:tr2bl w:val="nil"/>
                  </w:tcBorders>
                  <w:noWrap w:val="0"/>
                  <w:vAlign w:val="center"/>
                </w:tcPr>
                <w:p w14:paraId="5044749B">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垂直入渗</w:t>
                  </w:r>
                </w:p>
              </w:tc>
              <w:tc>
                <w:tcPr>
                  <w:tcW w:w="1025" w:type="pct"/>
                  <w:tcBorders>
                    <w:tl2br w:val="nil"/>
                    <w:tr2bl w:val="nil"/>
                  </w:tcBorders>
                  <w:noWrap w:val="0"/>
                  <w:vAlign w:val="center"/>
                </w:tcPr>
                <w:p w14:paraId="34906686">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氨氮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SS</w:t>
                  </w:r>
                </w:p>
              </w:tc>
              <w:tc>
                <w:tcPr>
                  <w:tcW w:w="851" w:type="pct"/>
                  <w:tcBorders>
                    <w:tl2br w:val="nil"/>
                    <w:tr2bl w:val="nil"/>
                  </w:tcBorders>
                  <w:noWrap w:val="0"/>
                  <w:vAlign w:val="center"/>
                </w:tcPr>
                <w:p w14:paraId="6E1B8E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4"/>
                      <w:sz w:val="21"/>
                      <w:szCs w:val="21"/>
                      <w:highlight w:val="none"/>
                    </w:rPr>
                  </w:pPr>
                  <w:r>
                    <w:rPr>
                      <w:rFonts w:hint="default" w:ascii="Times New Roman" w:hAnsi="Times New Roman" w:eastAsia="宋体" w:cs="Times New Roman"/>
                      <w:color w:val="auto"/>
                      <w:kern w:val="24"/>
                      <w:sz w:val="21"/>
                      <w:szCs w:val="21"/>
                      <w:highlight w:val="none"/>
                    </w:rPr>
                    <w:t>COD</w:t>
                  </w:r>
                  <w:r>
                    <w:rPr>
                      <w:rFonts w:hint="default" w:ascii="Times New Roman" w:hAnsi="Times New Roman" w:eastAsia="宋体" w:cs="Times New Roman"/>
                      <w:color w:val="auto"/>
                      <w:kern w:val="24"/>
                      <w:sz w:val="21"/>
                      <w:szCs w:val="21"/>
                      <w:highlight w:val="none"/>
                      <w:lang w:eastAsia="zh-CN"/>
                    </w:rPr>
                    <w:t>、</w:t>
                  </w:r>
                  <w:r>
                    <w:rPr>
                      <w:rFonts w:hint="default" w:ascii="Times New Roman" w:hAnsi="Times New Roman" w:eastAsia="宋体" w:cs="Times New Roman"/>
                      <w:color w:val="auto"/>
                      <w:sz w:val="21"/>
                      <w:szCs w:val="21"/>
                      <w:highlight w:val="none"/>
                    </w:rPr>
                    <w:t>氨氮</w:t>
                  </w:r>
                </w:p>
              </w:tc>
              <w:tc>
                <w:tcPr>
                  <w:tcW w:w="594" w:type="pct"/>
                  <w:tcBorders>
                    <w:tl2br w:val="nil"/>
                    <w:tr2bl w:val="nil"/>
                  </w:tcBorders>
                  <w:noWrap w:val="0"/>
                  <w:vAlign w:val="center"/>
                </w:tcPr>
                <w:p w14:paraId="5881EE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4"/>
                      <w:sz w:val="21"/>
                      <w:szCs w:val="21"/>
                      <w:highlight w:val="none"/>
                    </w:rPr>
                  </w:pPr>
                  <w:r>
                    <w:rPr>
                      <w:rFonts w:hint="default" w:ascii="Times New Roman" w:hAnsi="Times New Roman" w:eastAsia="宋体" w:cs="Times New Roman"/>
                      <w:color w:val="auto"/>
                      <w:kern w:val="24"/>
                      <w:sz w:val="21"/>
                      <w:szCs w:val="21"/>
                      <w:highlight w:val="none"/>
                    </w:rPr>
                    <w:t>/</w:t>
                  </w:r>
                </w:p>
              </w:tc>
            </w:tr>
            <w:tr w14:paraId="77587F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5" w:type="pct"/>
                  <w:tcBorders>
                    <w:tl2br w:val="nil"/>
                    <w:tr2bl w:val="nil"/>
                  </w:tcBorders>
                  <w:noWrap w:val="0"/>
                  <w:vAlign w:val="center"/>
                </w:tcPr>
                <w:p w14:paraId="5DAB5B26">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危废暂存间</w:t>
                  </w:r>
                </w:p>
              </w:tc>
              <w:tc>
                <w:tcPr>
                  <w:tcW w:w="923" w:type="pct"/>
                  <w:tcBorders>
                    <w:tl2br w:val="nil"/>
                    <w:tr2bl w:val="nil"/>
                  </w:tcBorders>
                  <w:noWrap w:val="0"/>
                  <w:vAlign w:val="center"/>
                </w:tcPr>
                <w:p w14:paraId="6B3131C1">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地面、墙体破损</w:t>
                  </w:r>
                </w:p>
              </w:tc>
              <w:tc>
                <w:tcPr>
                  <w:tcW w:w="649" w:type="pct"/>
                  <w:tcBorders>
                    <w:tl2br w:val="nil"/>
                    <w:tr2bl w:val="nil"/>
                  </w:tcBorders>
                  <w:noWrap w:val="0"/>
                  <w:vAlign w:val="center"/>
                </w:tcPr>
                <w:p w14:paraId="09AF26E9">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垂直入渗</w:t>
                  </w:r>
                </w:p>
              </w:tc>
              <w:tc>
                <w:tcPr>
                  <w:tcW w:w="1025" w:type="pct"/>
                  <w:tcBorders>
                    <w:tl2br w:val="nil"/>
                    <w:tr2bl w:val="nil"/>
                  </w:tcBorders>
                  <w:noWrap w:val="0"/>
                  <w:vAlign w:val="center"/>
                </w:tcPr>
                <w:p w14:paraId="43BD3FEB">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石油烃</w:t>
                  </w:r>
                </w:p>
              </w:tc>
              <w:tc>
                <w:tcPr>
                  <w:tcW w:w="851" w:type="pct"/>
                  <w:tcBorders>
                    <w:tl2br w:val="nil"/>
                    <w:tr2bl w:val="nil"/>
                  </w:tcBorders>
                  <w:noWrap w:val="0"/>
                  <w:vAlign w:val="center"/>
                </w:tcPr>
                <w:p w14:paraId="2B9ABDB6">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石油类</w:t>
                  </w:r>
                </w:p>
              </w:tc>
              <w:tc>
                <w:tcPr>
                  <w:tcW w:w="594" w:type="pct"/>
                  <w:tcBorders>
                    <w:tl2br w:val="nil"/>
                    <w:tr2bl w:val="nil"/>
                  </w:tcBorders>
                  <w:noWrap w:val="0"/>
                  <w:vAlign w:val="center"/>
                </w:tcPr>
                <w:p w14:paraId="7CA5D9F2">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石油烃</w:t>
                  </w:r>
                </w:p>
              </w:tc>
            </w:tr>
          </w:tbl>
          <w:p w14:paraId="310BE694">
            <w:pPr>
              <w:spacing w:line="360" w:lineRule="auto"/>
              <w:ind w:firstLine="480" w:firstLineChars="200"/>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1、地下水</w:t>
            </w:r>
          </w:p>
          <w:p w14:paraId="5CFF65D3">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rPr>
              <w:t>本项目对地下水可</w:t>
            </w:r>
            <w:r>
              <w:rPr>
                <w:rFonts w:hint="default" w:ascii="Times New Roman" w:hAnsi="Times New Roman" w:eastAsia="宋体" w:cs="Times New Roman"/>
                <w:color w:val="auto"/>
                <w:sz w:val="24"/>
                <w:szCs w:val="24"/>
                <w:highlight w:val="none"/>
              </w:rPr>
              <w:t>能造成的污染途径主要是</w:t>
            </w:r>
            <w:r>
              <w:rPr>
                <w:rFonts w:hint="default" w:ascii="Times New Roman" w:hAnsi="Times New Roman" w:eastAsia="宋体" w:cs="Times New Roman"/>
                <w:color w:val="auto"/>
                <w:sz w:val="24"/>
                <w:szCs w:val="24"/>
                <w:highlight w:val="none"/>
                <w:lang w:eastAsia="zh-CN"/>
              </w:rPr>
              <w:t>化粪池、危废暂存间</w:t>
            </w:r>
            <w:r>
              <w:rPr>
                <w:rFonts w:hint="default" w:ascii="Times New Roman" w:hAnsi="Times New Roman" w:eastAsia="宋体" w:cs="Times New Roman"/>
                <w:color w:val="auto"/>
                <w:sz w:val="24"/>
                <w:szCs w:val="24"/>
                <w:highlight w:val="none"/>
                <w:lang w:val="en-US" w:eastAsia="zh-CN"/>
              </w:rPr>
              <w:t>渗漏</w:t>
            </w:r>
            <w:r>
              <w:rPr>
                <w:rFonts w:hint="default" w:ascii="Times New Roman" w:hAnsi="Times New Roman" w:eastAsia="宋体" w:cs="Times New Roman"/>
                <w:color w:val="auto"/>
                <w:sz w:val="24"/>
                <w:szCs w:val="24"/>
                <w:highlight w:val="none"/>
              </w:rPr>
              <w:t>引起的污染。</w:t>
            </w:r>
          </w:p>
          <w:p w14:paraId="616DC973">
            <w:pPr>
              <w:spacing w:line="360" w:lineRule="auto"/>
              <w:ind w:firstLine="480" w:firstLineChars="200"/>
              <w:jc w:val="left"/>
              <w:rPr>
                <w:rFonts w:hint="default" w:ascii="Times New Roman" w:hAnsi="Times New Roman" w:eastAsia="黑体" w:cs="Times New Roman"/>
                <w:color w:val="auto"/>
                <w:sz w:val="24"/>
                <w:szCs w:val="24"/>
                <w:highlight w:val="none"/>
              </w:rPr>
            </w:pPr>
            <w:r>
              <w:rPr>
                <w:rFonts w:hint="default" w:ascii="Times New Roman" w:hAnsi="Times New Roman" w:cs="Times New Roman"/>
                <w:color w:val="auto"/>
                <w:sz w:val="24"/>
                <w:szCs w:val="24"/>
                <w:highlight w:val="none"/>
                <w:lang w:val="en-US" w:eastAsia="zh-CN"/>
              </w:rPr>
              <w:t>本次评价要求企业对化粪池、危废暂存间</w:t>
            </w:r>
            <w:r>
              <w:rPr>
                <w:rFonts w:hint="default" w:ascii="Times New Roman" w:hAnsi="Times New Roman" w:cs="Times New Roman"/>
                <w:color w:val="auto"/>
                <w:sz w:val="24"/>
                <w:szCs w:val="24"/>
                <w:highlight w:val="none"/>
              </w:rPr>
              <w:t>进行重点防渗，</w:t>
            </w:r>
            <w:r>
              <w:rPr>
                <w:rFonts w:hint="default" w:ascii="Times New Roman" w:hAnsi="Times New Roman" w:cs="Times New Roman"/>
                <w:color w:val="auto"/>
                <w:sz w:val="24"/>
                <w:szCs w:val="24"/>
                <w:highlight w:val="none"/>
                <w:lang w:val="en-US" w:eastAsia="zh-CN"/>
              </w:rPr>
              <w:t>生产车间</w:t>
            </w:r>
            <w:r>
              <w:rPr>
                <w:rFonts w:hint="default" w:ascii="Times New Roman" w:hAnsi="Times New Roman" w:cs="Times New Roman"/>
                <w:color w:val="auto"/>
                <w:sz w:val="24"/>
                <w:szCs w:val="24"/>
                <w:highlight w:val="none"/>
              </w:rPr>
              <w:t>按照一般防渗区要求进行防渗</w:t>
            </w:r>
            <w:r>
              <w:rPr>
                <w:rFonts w:hint="default" w:ascii="Times New Roman" w:hAnsi="Times New Roman" w:cs="Times New Roman"/>
                <w:color w:val="auto"/>
                <w:sz w:val="24"/>
                <w:szCs w:val="24"/>
                <w:highlight w:val="none"/>
                <w:lang w:eastAsia="zh-CN"/>
              </w:rPr>
              <w:t>；危废暂存间</w:t>
            </w:r>
            <w:r>
              <w:rPr>
                <w:rFonts w:hint="default" w:ascii="Times New Roman" w:hAnsi="Times New Roman" w:cs="Times New Roman"/>
                <w:color w:val="auto"/>
                <w:sz w:val="24"/>
                <w:szCs w:val="24"/>
                <w:highlight w:val="none"/>
              </w:rPr>
              <w:t>按照</w:t>
            </w:r>
            <w:r>
              <w:rPr>
                <w:rFonts w:hint="default" w:ascii="Times New Roman" w:hAnsi="Times New Roman" w:cs="Times New Roman"/>
                <w:color w:val="auto"/>
                <w:sz w:val="24"/>
                <w:szCs w:val="24"/>
                <w:highlight w:val="none"/>
                <w:lang w:eastAsia="zh-CN"/>
              </w:rPr>
              <w:t>《危险废物贮存污染控制标准》（GB18597-2023）</w:t>
            </w:r>
            <w:r>
              <w:rPr>
                <w:rFonts w:hint="default" w:ascii="Times New Roman" w:hAnsi="Times New Roman" w:cs="Times New Roman"/>
                <w:bCs/>
                <w:color w:val="auto"/>
                <w:sz w:val="24"/>
                <w:szCs w:val="24"/>
                <w:highlight w:val="none"/>
              </w:rPr>
              <w:t>的要求进行防渗；同时</w:t>
            </w:r>
            <w:r>
              <w:rPr>
                <w:rFonts w:hint="default" w:ascii="Times New Roman" w:hAnsi="Times New Roman" w:cs="Times New Roman"/>
                <w:color w:val="auto"/>
                <w:sz w:val="24"/>
                <w:szCs w:val="24"/>
                <w:highlight w:val="none"/>
              </w:rPr>
              <w:t>对相应区域要经常巡查，杜绝</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跑、冒、滴、漏</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等事故的发生。本项目防渗措施具体见表</w:t>
            </w:r>
            <w:r>
              <w:rPr>
                <w:rFonts w:hint="default" w:ascii="Times New Roman" w:hAnsi="Times New Roman" w:cs="Times New Roman"/>
                <w:color w:val="auto"/>
                <w:sz w:val="24"/>
                <w:szCs w:val="24"/>
                <w:highlight w:val="none"/>
                <w:lang w:val="en-US" w:eastAsia="zh-CN"/>
              </w:rPr>
              <w:t>4-12</w:t>
            </w:r>
            <w:r>
              <w:rPr>
                <w:rFonts w:hint="default" w:ascii="Times New Roman" w:hAnsi="Times New Roman" w:cs="Times New Roman"/>
                <w:color w:val="auto"/>
                <w:sz w:val="24"/>
                <w:szCs w:val="24"/>
                <w:highlight w:val="none"/>
              </w:rPr>
              <w:t>。</w:t>
            </w:r>
          </w:p>
          <w:p w14:paraId="32312825">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1"/>
                <w:szCs w:val="21"/>
                <w:lang w:val="en-US" w:eastAsia="zh-CN"/>
              </w:rPr>
            </w:pPr>
            <w:r>
              <w:rPr>
                <w:rFonts w:hint="default" w:ascii="Times New Roman" w:hAnsi="Times New Roman" w:eastAsia="黑体" w:cs="Times New Roman"/>
                <w:b w:val="0"/>
                <w:bCs w:val="0"/>
                <w:color w:val="auto"/>
                <w:kern w:val="0"/>
                <w:sz w:val="24"/>
                <w:szCs w:val="24"/>
                <w:lang w:val="en-US" w:eastAsia="zh-CN"/>
              </w:rPr>
              <w:t>表4-12 项目区域防渗措施一览表</w:t>
            </w:r>
          </w:p>
          <w:tbl>
            <w:tblPr>
              <w:tblStyle w:val="24"/>
              <w:tblW w:w="4997"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1492"/>
              <w:gridCol w:w="5373"/>
            </w:tblGrid>
            <w:tr w14:paraId="44DC1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tcBorders>
                    <w:tl2br w:val="nil"/>
                    <w:tr2bl w:val="nil"/>
                  </w:tcBorders>
                  <w:noWrap w:val="0"/>
                  <w:vAlign w:val="center"/>
                </w:tcPr>
                <w:p w14:paraId="4FC4BC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防渗分区</w:t>
                  </w:r>
                </w:p>
              </w:tc>
              <w:tc>
                <w:tcPr>
                  <w:tcW w:w="939" w:type="pct"/>
                  <w:tcBorders>
                    <w:tl2br w:val="nil"/>
                    <w:tr2bl w:val="nil"/>
                  </w:tcBorders>
                  <w:noWrap w:val="0"/>
                  <w:vAlign w:val="center"/>
                </w:tcPr>
                <w:p w14:paraId="352C61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主要环节</w:t>
                  </w:r>
                </w:p>
              </w:tc>
              <w:tc>
                <w:tcPr>
                  <w:tcW w:w="3382" w:type="pct"/>
                  <w:tcBorders>
                    <w:tl2br w:val="nil"/>
                    <w:tr2bl w:val="nil"/>
                  </w:tcBorders>
                  <w:noWrap w:val="0"/>
                  <w:vAlign w:val="center"/>
                </w:tcPr>
                <w:p w14:paraId="621163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防渗</w:t>
                  </w:r>
                  <w:r>
                    <w:rPr>
                      <w:rFonts w:hint="default" w:ascii="Times New Roman" w:hAnsi="Times New Roman" w:cs="Times New Roman"/>
                      <w:color w:val="auto"/>
                      <w:sz w:val="21"/>
                      <w:szCs w:val="21"/>
                      <w:highlight w:val="none"/>
                      <w:lang w:val="en-US" w:eastAsia="zh-CN"/>
                    </w:rPr>
                    <w:t>要求</w:t>
                  </w:r>
                </w:p>
              </w:tc>
            </w:tr>
            <w:tr w14:paraId="59F85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vMerge w:val="restart"/>
                  <w:tcBorders>
                    <w:tl2br w:val="nil"/>
                    <w:tr2bl w:val="nil"/>
                  </w:tcBorders>
                  <w:noWrap w:val="0"/>
                  <w:vAlign w:val="center"/>
                </w:tcPr>
                <w:p w14:paraId="1A030D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重点防渗</w:t>
                  </w:r>
                </w:p>
              </w:tc>
              <w:tc>
                <w:tcPr>
                  <w:tcW w:w="939" w:type="pct"/>
                  <w:tcBorders>
                    <w:tl2br w:val="nil"/>
                    <w:tr2bl w:val="nil"/>
                  </w:tcBorders>
                  <w:noWrap w:val="0"/>
                  <w:vAlign w:val="center"/>
                </w:tcPr>
                <w:p w14:paraId="6A6B0A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危废暂存间</w:t>
                  </w:r>
                </w:p>
              </w:tc>
              <w:tc>
                <w:tcPr>
                  <w:tcW w:w="3382" w:type="pct"/>
                  <w:tcBorders>
                    <w:tl2br w:val="nil"/>
                    <w:tr2bl w:val="nil"/>
                  </w:tcBorders>
                  <w:noWrap w:val="0"/>
                  <w:vAlign w:val="center"/>
                </w:tcPr>
                <w:p w14:paraId="56B26780">
                  <w:pPr>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《危险废物贮存污染控制标准》（GB18597-2023）</w:t>
                  </w:r>
                </w:p>
              </w:tc>
            </w:tr>
            <w:tr w14:paraId="4A4891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vMerge w:val="continue"/>
                  <w:tcBorders>
                    <w:tl2br w:val="nil"/>
                    <w:tr2bl w:val="nil"/>
                  </w:tcBorders>
                  <w:noWrap w:val="0"/>
                  <w:vAlign w:val="center"/>
                </w:tcPr>
                <w:p w14:paraId="53E0A9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p>
              </w:tc>
              <w:tc>
                <w:tcPr>
                  <w:tcW w:w="939" w:type="pct"/>
                  <w:tcBorders>
                    <w:tl2br w:val="nil"/>
                    <w:tr2bl w:val="nil"/>
                  </w:tcBorders>
                  <w:noWrap w:val="0"/>
                  <w:vAlign w:val="center"/>
                </w:tcPr>
                <w:p w14:paraId="306919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化粪池</w:t>
                  </w:r>
                </w:p>
              </w:tc>
              <w:tc>
                <w:tcPr>
                  <w:tcW w:w="3382" w:type="pct"/>
                  <w:tcBorders>
                    <w:tl2br w:val="nil"/>
                    <w:tr2bl w:val="nil"/>
                  </w:tcBorders>
                  <w:noWrap w:val="0"/>
                  <w:vAlign w:val="center"/>
                </w:tcPr>
                <w:p w14:paraId="06924E1D">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《环境影响评价技术导则 地下水环境》（HJ610-2016）重点防渗区等效黏土防渗层Mb≥6.0m，K≤1×10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cm/s；或参照GB18598</w:t>
                  </w:r>
                </w:p>
              </w:tc>
            </w:tr>
            <w:tr w14:paraId="5CC24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tcBorders>
                    <w:tl2br w:val="nil"/>
                    <w:tr2bl w:val="nil"/>
                  </w:tcBorders>
                  <w:noWrap w:val="0"/>
                  <w:vAlign w:val="center"/>
                </w:tcPr>
                <w:p w14:paraId="0A96FF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一般防渗区</w:t>
                  </w:r>
                </w:p>
              </w:tc>
              <w:tc>
                <w:tcPr>
                  <w:tcW w:w="939" w:type="pct"/>
                  <w:tcBorders>
                    <w:tl2br w:val="nil"/>
                    <w:tr2bl w:val="nil"/>
                  </w:tcBorders>
                  <w:noWrap w:val="0"/>
                  <w:vAlign w:val="center"/>
                </w:tcPr>
                <w:p w14:paraId="5393E4E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生产车间</w:t>
                  </w:r>
                </w:p>
              </w:tc>
              <w:tc>
                <w:tcPr>
                  <w:tcW w:w="3382" w:type="pct"/>
                  <w:tcBorders>
                    <w:tl2br w:val="nil"/>
                    <w:tr2bl w:val="nil"/>
                  </w:tcBorders>
                  <w:noWrap w:val="0"/>
                  <w:vAlign w:val="center"/>
                </w:tcPr>
                <w:p w14:paraId="1C219F38">
                  <w:pPr>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《环境影响评价技术导则 地下水环境》（HJ610-2016）</w:t>
                  </w:r>
                  <w:r>
                    <w:rPr>
                      <w:rFonts w:hint="default" w:ascii="Times New Roman" w:hAnsi="Times New Roman" w:cs="Times New Roman"/>
                      <w:color w:val="auto"/>
                      <w:sz w:val="21"/>
                      <w:szCs w:val="21"/>
                      <w:highlight w:val="none"/>
                      <w:lang w:eastAsia="zh-CN"/>
                    </w:rPr>
                    <w:t>一般</w:t>
                  </w:r>
                  <w:r>
                    <w:rPr>
                      <w:rFonts w:hint="default" w:ascii="Times New Roman" w:hAnsi="Times New Roman" w:cs="Times New Roman"/>
                      <w:color w:val="auto"/>
                      <w:sz w:val="21"/>
                      <w:szCs w:val="21"/>
                      <w:highlight w:val="none"/>
                    </w:rPr>
                    <w:t>防渗区等效黏土防渗层Mb≥</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m，K≤1×10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cm/s；或参照GB</w:t>
                  </w:r>
                  <w:r>
                    <w:rPr>
                      <w:rFonts w:hint="default" w:ascii="Times New Roman" w:hAnsi="Times New Roman" w:cs="Times New Roman"/>
                      <w:color w:val="auto"/>
                      <w:sz w:val="21"/>
                      <w:szCs w:val="21"/>
                      <w:highlight w:val="none"/>
                      <w:lang w:val="en-US" w:eastAsia="zh-CN"/>
                    </w:rPr>
                    <w:t>16889</w:t>
                  </w:r>
                </w:p>
              </w:tc>
            </w:tr>
          </w:tbl>
          <w:p w14:paraId="1BC673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szCs w:val="24"/>
                <w:highlight w:val="none"/>
              </w:rPr>
              <w:t>在污染防治措施到位、严格管理的前提下，本项目对周边地下水环境的影响较小</w:t>
            </w:r>
            <w:r>
              <w:rPr>
                <w:rFonts w:hint="default" w:ascii="Times New Roman" w:hAnsi="Times New Roman" w:cs="Times New Roman"/>
                <w:color w:val="auto"/>
                <w:sz w:val="24"/>
                <w:szCs w:val="24"/>
                <w:highlight w:val="none"/>
              </w:rPr>
              <w:t>。</w:t>
            </w:r>
          </w:p>
          <w:p w14:paraId="58730C70">
            <w:pPr>
              <w:spacing w:line="360" w:lineRule="auto"/>
              <w:ind w:firstLine="480" w:firstLineChars="200"/>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2、土壤</w:t>
            </w:r>
          </w:p>
          <w:p w14:paraId="044FB7D4">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color w:val="auto"/>
                <w:sz w:val="24"/>
                <w:szCs w:val="24"/>
                <w:highlight w:val="none"/>
              </w:rPr>
              <w:t>本项目对土壤可能造成的污染途径主要是</w:t>
            </w:r>
            <w:r>
              <w:rPr>
                <w:rFonts w:hint="default" w:ascii="Times New Roman" w:hAnsi="Times New Roman" w:cs="Times New Roman"/>
                <w:color w:val="auto"/>
                <w:sz w:val="24"/>
                <w:szCs w:val="24"/>
                <w:highlight w:val="none"/>
                <w:lang w:eastAsia="zh-CN"/>
              </w:rPr>
              <w:t>化粪池、危废暂存间</w:t>
            </w:r>
            <w:r>
              <w:rPr>
                <w:rFonts w:hint="default" w:ascii="Times New Roman" w:hAnsi="Times New Roman" w:cs="Times New Roman"/>
                <w:bCs/>
                <w:color w:val="auto"/>
                <w:sz w:val="24"/>
                <w:szCs w:val="24"/>
                <w:highlight w:val="none"/>
                <w:lang w:val="en-US" w:eastAsia="zh-CN"/>
              </w:rPr>
              <w:t>渗漏</w:t>
            </w:r>
            <w:r>
              <w:rPr>
                <w:rFonts w:hint="default" w:ascii="Times New Roman" w:hAnsi="Times New Roman" w:cs="Times New Roman"/>
                <w:color w:val="auto"/>
                <w:sz w:val="24"/>
                <w:szCs w:val="24"/>
                <w:highlight w:val="none"/>
              </w:rPr>
              <w:t>引起的污染，本次评价要求企业</w:t>
            </w:r>
            <w:r>
              <w:rPr>
                <w:rFonts w:hint="default" w:ascii="Times New Roman" w:hAnsi="Times New Roman" w:cs="Times New Roman"/>
                <w:color w:val="auto"/>
                <w:sz w:val="24"/>
                <w:szCs w:val="24"/>
                <w:highlight w:val="none"/>
                <w:lang w:val="en-US" w:eastAsia="zh-CN"/>
              </w:rPr>
              <w:t>对化粪池、危废暂存间</w:t>
            </w:r>
            <w:r>
              <w:rPr>
                <w:rFonts w:hint="default" w:ascii="Times New Roman" w:hAnsi="Times New Roman" w:cs="Times New Roman"/>
                <w:color w:val="auto"/>
                <w:sz w:val="24"/>
                <w:szCs w:val="24"/>
                <w:highlight w:val="none"/>
              </w:rPr>
              <w:t>进行重点防渗</w:t>
            </w:r>
            <w:r>
              <w:rPr>
                <w:rFonts w:hint="default" w:ascii="Times New Roman" w:hAnsi="Times New Roman" w:cs="Times New Roman"/>
                <w:color w:val="auto"/>
                <w:sz w:val="24"/>
                <w:szCs w:val="24"/>
                <w:highlight w:val="none"/>
                <w:lang w:eastAsia="zh-CN"/>
              </w:rPr>
              <w:t>，危废暂存间</w:t>
            </w:r>
            <w:r>
              <w:rPr>
                <w:rFonts w:hint="default" w:ascii="Times New Roman" w:hAnsi="Times New Roman" w:cs="Times New Roman"/>
                <w:color w:val="auto"/>
                <w:sz w:val="24"/>
                <w:szCs w:val="24"/>
                <w:highlight w:val="none"/>
              </w:rPr>
              <w:t>建设严格落实</w:t>
            </w:r>
            <w:r>
              <w:rPr>
                <w:rFonts w:hint="default" w:ascii="Times New Roman" w:hAnsi="Times New Roman" w:cs="Times New Roman"/>
                <w:color w:val="auto"/>
                <w:kern w:val="0"/>
                <w:sz w:val="24"/>
                <w:szCs w:val="24"/>
                <w:highlight w:val="none"/>
                <w:lang w:eastAsia="zh-CN"/>
              </w:rPr>
              <w:t>《危险废物贮存污染控制标准》（GB18597-2023）</w:t>
            </w:r>
            <w:r>
              <w:rPr>
                <w:rFonts w:hint="default" w:ascii="Times New Roman" w:hAnsi="Times New Roman" w:cs="Times New Roman"/>
                <w:color w:val="auto"/>
                <w:sz w:val="24"/>
                <w:szCs w:val="24"/>
                <w:highlight w:val="none"/>
              </w:rPr>
              <w:t>，</w:t>
            </w:r>
            <w:r>
              <w:rPr>
                <w:rFonts w:hint="default" w:ascii="Times New Roman" w:hAnsi="Times New Roman" w:cs="Times New Roman"/>
                <w:bCs/>
                <w:color w:val="auto"/>
                <w:sz w:val="24"/>
                <w:szCs w:val="24"/>
                <w:highlight w:val="none"/>
              </w:rPr>
              <w:t>项目建成后在评价范围内对土壤环境影响较小。</w:t>
            </w:r>
          </w:p>
          <w:p w14:paraId="0C52BD4E">
            <w:pPr>
              <w:spacing w:line="360" w:lineRule="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六</w:t>
            </w:r>
            <w:r>
              <w:rPr>
                <w:rFonts w:hint="default" w:ascii="Times New Roman" w:hAnsi="Times New Roman" w:eastAsia="黑体" w:cs="Times New Roman"/>
                <w:color w:val="auto"/>
                <w:sz w:val="24"/>
                <w:szCs w:val="24"/>
                <w:highlight w:val="none"/>
              </w:rPr>
              <w:t>、</w:t>
            </w:r>
            <w:r>
              <w:rPr>
                <w:rFonts w:hint="default" w:ascii="Times New Roman" w:hAnsi="Times New Roman" w:eastAsia="黑体" w:cs="Times New Roman"/>
                <w:color w:val="auto"/>
                <w:sz w:val="24"/>
                <w:szCs w:val="24"/>
                <w:highlight w:val="none"/>
                <w:lang w:val="en-US" w:eastAsia="zh-CN"/>
              </w:rPr>
              <w:t>生态环境影响分析</w:t>
            </w:r>
          </w:p>
          <w:p w14:paraId="22157363">
            <w:pPr>
              <w:keepNext w:val="0"/>
              <w:keepLines w:val="0"/>
              <w:pageBreakBefore w:val="0"/>
              <w:widowControl w:val="0"/>
              <w:kinsoku/>
              <w:wordWrap/>
              <w:overflowPunct/>
              <w:topLinePunct w:val="0"/>
              <w:autoSpaceDE/>
              <w:autoSpaceDN/>
              <w:bidi w:val="0"/>
              <w:adjustRightInd/>
              <w:snapToGrid/>
              <w:spacing w:line="360" w:lineRule="auto"/>
              <w:ind w:left="0" w:right="0" w:firstLine="45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项目区周围由于人类</w:t>
            </w:r>
            <w:r>
              <w:rPr>
                <w:rFonts w:hint="default" w:ascii="Times New Roman" w:hAnsi="Times New Roman" w:eastAsia="宋体" w:cs="Times New Roman"/>
                <w:color w:val="auto"/>
                <w:spacing w:val="-4"/>
                <w:sz w:val="24"/>
                <w:szCs w:val="24"/>
              </w:rPr>
              <w:t>活</w:t>
            </w:r>
            <w:r>
              <w:rPr>
                <w:rFonts w:hint="default" w:ascii="Times New Roman" w:hAnsi="Times New Roman" w:eastAsia="宋体" w:cs="Times New Roman"/>
                <w:color w:val="auto"/>
                <w:spacing w:val="-3"/>
                <w:sz w:val="24"/>
                <w:szCs w:val="24"/>
              </w:rPr>
              <w:t>动强烈未发现大型的动物，也未发现国家重点保护动物。区域</w:t>
            </w:r>
            <w:r>
              <w:rPr>
                <w:rFonts w:hint="default" w:ascii="Times New Roman" w:hAnsi="Times New Roman" w:eastAsia="宋体" w:cs="Times New Roman"/>
                <w:color w:val="auto"/>
                <w:spacing w:val="-2"/>
                <w:sz w:val="24"/>
                <w:szCs w:val="24"/>
              </w:rPr>
              <w:t>生物种类较少，生物群落相对单一。周围没有重要生</w:t>
            </w:r>
            <w:r>
              <w:rPr>
                <w:rFonts w:hint="default" w:ascii="Times New Roman" w:hAnsi="Times New Roman" w:eastAsia="宋体" w:cs="Times New Roman"/>
                <w:color w:val="auto"/>
                <w:spacing w:val="-1"/>
                <w:sz w:val="24"/>
                <w:szCs w:val="24"/>
              </w:rPr>
              <w:t>态环境区、生态脆弱带等。据调查，评价区内无重要的旅游资源、文物保护单位及珍稀动植物</w:t>
            </w:r>
            <w:r>
              <w:rPr>
                <w:rFonts w:hint="default" w:ascii="Times New Roman" w:hAnsi="Times New Roman" w:eastAsia="宋体" w:cs="Times New Roman"/>
                <w:color w:val="auto"/>
                <w:sz w:val="24"/>
                <w:szCs w:val="24"/>
              </w:rPr>
              <w:t>。</w:t>
            </w:r>
          </w:p>
          <w:p w14:paraId="23D88A80">
            <w:pPr>
              <w:spacing w:line="360" w:lineRule="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lang w:val="en-US" w:eastAsia="zh-CN"/>
              </w:rPr>
              <w:t>七</w:t>
            </w:r>
            <w:r>
              <w:rPr>
                <w:rFonts w:hint="default" w:ascii="Times New Roman" w:hAnsi="Times New Roman" w:eastAsia="黑体" w:cs="Times New Roman"/>
                <w:color w:val="auto"/>
                <w:sz w:val="24"/>
                <w:szCs w:val="24"/>
                <w:highlight w:val="none"/>
              </w:rPr>
              <w:t>、环境风险</w:t>
            </w:r>
          </w:p>
          <w:p w14:paraId="1052E5C4">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环境风险是指突发性事故对环境(或健康)的危害程度。建设项目环境风险评价，主要是对建设项目建设和运行期间发生的可预测突发性事件或事故(一般不包括人为破坏及自然灾害)引起有毒有害、易燃易爆等物质泄漏，或突发事件产生的新的有毒有害物质所造成的对人身安全与环境的影响和损害，进行评估，提出防范、应急与减缓措施，以使建设项目事故率、损失和环境影响达到可接受水平。</w:t>
            </w:r>
          </w:p>
          <w:p w14:paraId="403CDDA1">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本次风险评价的主要目的是：</w:t>
            </w:r>
          </w:p>
          <w:p w14:paraId="6D05D161">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1、根据项目特点，对生产设施在生产过程中存在的各种事故风险因素进行识别；</w:t>
            </w:r>
          </w:p>
          <w:p w14:paraId="53D13E30">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2、对可能发生的主要事故，分析评价发生事故后可能引起的后果，包括对自然环境和社会环境的影响，提出为减轻影响应采取的缓解措施；</w:t>
            </w:r>
          </w:p>
          <w:p w14:paraId="6058B7D7">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3、针对性的提出切实可行的风险防范措施。</w:t>
            </w:r>
          </w:p>
          <w:p w14:paraId="6B20A052">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(一)评价重点</w:t>
            </w:r>
          </w:p>
          <w:p w14:paraId="6E1F3381">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根据拟建项目环境风险识别，提出对应的风险防范措施和管理措施。拟建项目环境风险评价关注点是事故对厂界外环境的影响、环境质量的恶化及对环境质量影响的预测和防护。</w:t>
            </w:r>
          </w:p>
          <w:p w14:paraId="55985994">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(二)评价依据</w:t>
            </w:r>
          </w:p>
          <w:p w14:paraId="06B0D745">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拟建项目为</w:t>
            </w:r>
            <w:r>
              <w:rPr>
                <w:rFonts w:hint="default" w:ascii="Times New Roman" w:hAnsi="Times New Roman" w:cs="Times New Roman"/>
                <w:color w:val="auto"/>
                <w:spacing w:val="-1"/>
                <w:sz w:val="24"/>
                <w:szCs w:val="24"/>
                <w:lang w:val="en-US" w:eastAsia="zh-CN"/>
              </w:rPr>
              <w:t>陶瓷喷墨墨水</w:t>
            </w:r>
            <w:r>
              <w:rPr>
                <w:rFonts w:hint="default" w:ascii="Times New Roman" w:hAnsi="Times New Roman" w:eastAsia="宋体" w:cs="Times New Roman"/>
                <w:color w:val="auto"/>
                <w:spacing w:val="-1"/>
                <w:sz w:val="24"/>
                <w:szCs w:val="24"/>
              </w:rPr>
              <w:t>项目，根据《建设项目环境风险评价技术导则》(HJ169-2018)附录A.1和《危险化学品重大危险源辨识》(GB18218-2018)规定，在具有环境风险的生产单元内达到和超过规定的临界量时，将作为事故重大危险源。根据《建设项目环境风险</w:t>
            </w:r>
            <w:r>
              <w:rPr>
                <w:rFonts w:hint="default" w:ascii="Times New Roman" w:hAnsi="Times New Roman" w:eastAsia="宋体" w:cs="Times New Roman"/>
                <w:color w:val="auto"/>
                <w:spacing w:val="1"/>
                <w:sz w:val="24"/>
                <w:szCs w:val="24"/>
              </w:rPr>
              <w:t>评价技术导</w:t>
            </w:r>
            <w:r>
              <w:rPr>
                <w:rFonts w:hint="default" w:ascii="Times New Roman" w:hAnsi="Times New Roman" w:eastAsia="宋体" w:cs="Times New Roman"/>
                <w:color w:val="auto"/>
                <w:sz w:val="24"/>
                <w:szCs w:val="24"/>
              </w:rPr>
              <w:t>则》(</w:t>
            </w:r>
            <w:r>
              <w:rPr>
                <w:rFonts w:hint="default" w:ascii="Times New Roman" w:hAnsi="Times New Roman" w:eastAsia="Times New Roman" w:cs="Times New Roman"/>
                <w:color w:val="auto"/>
                <w:sz w:val="24"/>
                <w:szCs w:val="24"/>
              </w:rPr>
              <w:t>HJ169-2018</w:t>
            </w:r>
            <w:r>
              <w:rPr>
                <w:rFonts w:hint="default" w:ascii="Times New Roman" w:hAnsi="Times New Roman" w:eastAsia="宋体" w:cs="Times New Roman"/>
                <w:color w:val="auto"/>
                <w:sz w:val="24"/>
                <w:szCs w:val="24"/>
              </w:rPr>
              <w:t>)附录</w:t>
            </w:r>
            <w:r>
              <w:rPr>
                <w:rFonts w:hint="default" w:ascii="Times New Roman" w:hAnsi="Times New Roman" w:eastAsia="Times New Roman" w:cs="Times New Roman"/>
                <w:color w:val="auto"/>
                <w:sz w:val="24"/>
                <w:szCs w:val="24"/>
              </w:rPr>
              <w:t>A.1</w:t>
            </w:r>
            <w:r>
              <w:rPr>
                <w:rFonts w:hint="default" w:ascii="Times New Roman" w:hAnsi="Times New Roman" w:eastAsia="宋体" w:cs="Times New Roman"/>
                <w:color w:val="auto"/>
                <w:sz w:val="24"/>
                <w:szCs w:val="24"/>
              </w:rPr>
              <w:t>、《常用危险化学品的分类及标志》(</w:t>
            </w:r>
            <w:r>
              <w:rPr>
                <w:rFonts w:hint="default" w:ascii="Times New Roman" w:hAnsi="Times New Roman" w:eastAsia="Times New Roman" w:cs="Times New Roman"/>
                <w:color w:val="auto"/>
                <w:sz w:val="24"/>
                <w:szCs w:val="24"/>
              </w:rPr>
              <w:t>GB13690-92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pacing w:val="1"/>
                <w:sz w:val="24"/>
                <w:szCs w:val="24"/>
              </w:rPr>
              <w:t>《职业性接触毒物危害程度分级》(</w:t>
            </w:r>
            <w:r>
              <w:rPr>
                <w:rFonts w:hint="default" w:ascii="Times New Roman" w:hAnsi="Times New Roman" w:eastAsia="Times New Roman" w:cs="Times New Roman"/>
                <w:color w:val="auto"/>
                <w:sz w:val="24"/>
                <w:szCs w:val="24"/>
              </w:rPr>
              <w:t>GBZ</w:t>
            </w:r>
            <w:r>
              <w:rPr>
                <w:rFonts w:hint="default" w:ascii="Times New Roman" w:hAnsi="Times New Roman" w:eastAsia="Times New Roman" w:cs="Times New Roman"/>
                <w:color w:val="auto"/>
                <w:spacing w:val="1"/>
                <w:sz w:val="24"/>
                <w:szCs w:val="24"/>
              </w:rPr>
              <w:t>230-2010</w:t>
            </w:r>
            <w:r>
              <w:rPr>
                <w:rFonts w:hint="default" w:ascii="Times New Roman" w:hAnsi="Times New Roman" w:eastAsia="宋体" w:cs="Times New Roman"/>
                <w:color w:val="auto"/>
                <w:spacing w:val="1"/>
                <w:sz w:val="24"/>
                <w:szCs w:val="24"/>
              </w:rPr>
              <w:t>)、《化工产品物性词典》及《毒理学</w:t>
            </w:r>
            <w:r>
              <w:rPr>
                <w:rFonts w:hint="default" w:ascii="Times New Roman" w:hAnsi="Times New Roman" w:eastAsia="宋体" w:cs="Times New Roman"/>
                <w:color w:val="auto"/>
                <w:sz w:val="24"/>
                <w:szCs w:val="24"/>
              </w:rPr>
              <w:t>数据》</w:t>
            </w:r>
            <w:r>
              <w:rPr>
                <w:rFonts w:hint="default" w:ascii="Times New Roman" w:hAnsi="Times New Roman" w:eastAsia="宋体" w:cs="Times New Roman"/>
                <w:color w:val="auto"/>
                <w:spacing w:val="7"/>
                <w:sz w:val="24"/>
                <w:szCs w:val="24"/>
              </w:rPr>
              <w:t>等</w:t>
            </w:r>
            <w:r>
              <w:rPr>
                <w:rFonts w:hint="default" w:ascii="Times New Roman" w:hAnsi="Times New Roman" w:eastAsia="宋体" w:cs="Times New Roman"/>
                <w:color w:val="auto"/>
                <w:spacing w:val="5"/>
                <w:sz w:val="24"/>
                <w:szCs w:val="24"/>
              </w:rPr>
              <w:t>相关资料来识别。</w:t>
            </w:r>
          </w:p>
          <w:p w14:paraId="0EF85041">
            <w:pPr>
              <w:keepNext w:val="0"/>
              <w:keepLines w:val="0"/>
              <w:pageBreakBefore w:val="0"/>
              <w:widowControl w:val="0"/>
              <w:kinsoku/>
              <w:wordWrap/>
              <w:overflowPunct/>
              <w:topLinePunct w:val="0"/>
              <w:autoSpaceDE/>
              <w:autoSpaceDN/>
              <w:bidi w:val="0"/>
              <w:adjustRightInd/>
              <w:snapToGrid/>
              <w:spacing w:line="360" w:lineRule="auto"/>
              <w:ind w:left="0" w:right="0" w:firstLine="50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5"/>
                <w:sz w:val="24"/>
                <w:szCs w:val="24"/>
              </w:rPr>
              <w:t>根据《建设项目环境风险评价技术导则》(</w:t>
            </w:r>
            <w:r>
              <w:rPr>
                <w:rFonts w:hint="default" w:ascii="Times New Roman" w:hAnsi="Times New Roman" w:eastAsia="Times New Roman" w:cs="Times New Roman"/>
                <w:color w:val="auto"/>
                <w:sz w:val="24"/>
                <w:szCs w:val="24"/>
              </w:rPr>
              <w:t>HJ</w:t>
            </w:r>
            <w:r>
              <w:rPr>
                <w:rFonts w:hint="default" w:ascii="Times New Roman" w:hAnsi="Times New Roman" w:eastAsia="Times New Roman" w:cs="Times New Roman"/>
                <w:color w:val="auto"/>
                <w:spacing w:val="5"/>
                <w:sz w:val="24"/>
                <w:szCs w:val="24"/>
              </w:rPr>
              <w:t>169-2018</w:t>
            </w:r>
            <w:r>
              <w:rPr>
                <w:rFonts w:hint="default" w:ascii="Times New Roman" w:hAnsi="Times New Roman" w:eastAsia="宋体" w:cs="Times New Roman"/>
                <w:color w:val="auto"/>
                <w:spacing w:val="5"/>
                <w:sz w:val="24"/>
                <w:szCs w:val="24"/>
              </w:rPr>
              <w:t>)附录</w:t>
            </w:r>
            <w:r>
              <w:rPr>
                <w:rFonts w:hint="default" w:ascii="Times New Roman" w:hAnsi="Times New Roman" w:eastAsia="Times New Roman" w:cs="Times New Roman"/>
                <w:color w:val="auto"/>
                <w:sz w:val="24"/>
                <w:szCs w:val="24"/>
              </w:rPr>
              <w:t>C</w:t>
            </w:r>
            <w:r>
              <w:rPr>
                <w:rFonts w:hint="default" w:ascii="Times New Roman" w:hAnsi="Times New Roman" w:eastAsia="宋体" w:cs="Times New Roman"/>
                <w:color w:val="auto"/>
                <w:spacing w:val="5"/>
                <w:sz w:val="24"/>
                <w:szCs w:val="24"/>
              </w:rPr>
              <w:t>，计算所涉及的每种</w:t>
            </w:r>
            <w:r>
              <w:rPr>
                <w:rFonts w:hint="default" w:ascii="Times New Roman" w:hAnsi="Times New Roman" w:eastAsia="宋体" w:cs="Times New Roman"/>
                <w:color w:val="auto"/>
                <w:spacing w:val="2"/>
                <w:sz w:val="24"/>
                <w:szCs w:val="24"/>
              </w:rPr>
              <w:t>危</w:t>
            </w:r>
            <w:r>
              <w:rPr>
                <w:rFonts w:hint="default" w:ascii="Times New Roman" w:hAnsi="Times New Roman" w:eastAsia="宋体" w:cs="Times New Roman"/>
                <w:color w:val="auto"/>
                <w:spacing w:val="10"/>
                <w:sz w:val="24"/>
                <w:szCs w:val="24"/>
              </w:rPr>
              <w:t>险物质在</w:t>
            </w:r>
            <w:r>
              <w:rPr>
                <w:rFonts w:hint="default" w:ascii="Times New Roman" w:hAnsi="Times New Roman" w:eastAsia="宋体" w:cs="Times New Roman"/>
                <w:color w:val="auto"/>
                <w:spacing w:val="8"/>
                <w:sz w:val="24"/>
                <w:szCs w:val="24"/>
              </w:rPr>
              <w:t>厂</w:t>
            </w:r>
            <w:r>
              <w:rPr>
                <w:rFonts w:hint="default" w:ascii="Times New Roman" w:hAnsi="Times New Roman" w:eastAsia="宋体" w:cs="Times New Roman"/>
                <w:color w:val="auto"/>
                <w:spacing w:val="5"/>
                <w:sz w:val="24"/>
                <w:szCs w:val="24"/>
              </w:rPr>
              <w:t>界内的最大存在总量与其在附录</w:t>
            </w:r>
            <w:r>
              <w:rPr>
                <w:rFonts w:hint="default" w:ascii="Times New Roman" w:hAnsi="Times New Roman" w:eastAsia="Times New Roman" w:cs="Times New Roman"/>
                <w:color w:val="auto"/>
                <w:sz w:val="24"/>
                <w:szCs w:val="24"/>
              </w:rPr>
              <w:t>B</w:t>
            </w:r>
            <w:r>
              <w:rPr>
                <w:rFonts w:hint="default" w:ascii="Times New Roman" w:hAnsi="Times New Roman" w:eastAsia="宋体" w:cs="Times New Roman"/>
                <w:color w:val="auto"/>
                <w:spacing w:val="5"/>
                <w:sz w:val="24"/>
                <w:szCs w:val="24"/>
              </w:rPr>
              <w:t>中对应临界量的比值</w:t>
            </w:r>
            <w:r>
              <w:rPr>
                <w:rFonts w:hint="default" w:ascii="Times New Roman" w:hAnsi="Times New Roman" w:eastAsia="Times New Roman" w:cs="Times New Roman"/>
                <w:color w:val="auto"/>
                <w:sz w:val="24"/>
                <w:szCs w:val="24"/>
              </w:rPr>
              <w:t>Q</w:t>
            </w:r>
            <w:r>
              <w:rPr>
                <w:rFonts w:hint="default" w:ascii="Times New Roman" w:hAnsi="Times New Roman" w:eastAsia="宋体" w:cs="Times New Roman"/>
                <w:color w:val="auto"/>
                <w:spacing w:val="5"/>
                <w:sz w:val="24"/>
                <w:szCs w:val="24"/>
              </w:rPr>
              <w:t>。在不同厂区的同一</w:t>
            </w:r>
            <w:r>
              <w:rPr>
                <w:rFonts w:hint="default" w:ascii="Times New Roman" w:hAnsi="Times New Roman" w:eastAsia="宋体" w:cs="Times New Roman"/>
                <w:color w:val="auto"/>
                <w:spacing w:val="14"/>
                <w:sz w:val="24"/>
                <w:szCs w:val="24"/>
              </w:rPr>
              <w:t>种</w:t>
            </w:r>
            <w:r>
              <w:rPr>
                <w:rFonts w:hint="default" w:ascii="Times New Roman" w:hAnsi="Times New Roman" w:eastAsia="宋体" w:cs="Times New Roman"/>
                <w:color w:val="auto"/>
                <w:spacing w:val="9"/>
                <w:sz w:val="24"/>
                <w:szCs w:val="24"/>
              </w:rPr>
              <w:t>物</w:t>
            </w:r>
            <w:r>
              <w:rPr>
                <w:rFonts w:hint="default" w:ascii="Times New Roman" w:hAnsi="Times New Roman" w:eastAsia="宋体" w:cs="Times New Roman"/>
                <w:color w:val="auto"/>
                <w:spacing w:val="7"/>
                <w:sz w:val="24"/>
                <w:szCs w:val="24"/>
              </w:rPr>
              <w:t>质，按其在厂界内的最大存在总量计算。</w:t>
            </w:r>
          </w:p>
          <w:p w14:paraId="11C5313D">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4"/>
                <w:sz w:val="24"/>
                <w:szCs w:val="24"/>
              </w:rPr>
              <w:t>当只涉及一种危险物</w:t>
            </w:r>
            <w:r>
              <w:rPr>
                <w:rFonts w:hint="default" w:ascii="Times New Roman" w:hAnsi="Times New Roman" w:eastAsia="宋体" w:cs="Times New Roman"/>
                <w:color w:val="auto"/>
                <w:spacing w:val="-2"/>
                <w:sz w:val="24"/>
                <w:szCs w:val="24"/>
              </w:rPr>
              <w:t>质时，计算该物质的总量与其临界量比值，即为</w:t>
            </w:r>
            <w:r>
              <w:rPr>
                <w:rFonts w:hint="default" w:ascii="Times New Roman" w:hAnsi="Times New Roman" w:eastAsia="Times New Roman" w:cs="Times New Roman"/>
                <w:color w:val="auto"/>
                <w:spacing w:val="-2"/>
                <w:sz w:val="24"/>
                <w:szCs w:val="24"/>
              </w:rPr>
              <w:t>Q</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pacing w:val="-4"/>
                <w:sz w:val="24"/>
                <w:szCs w:val="24"/>
              </w:rPr>
              <w:t>当存</w:t>
            </w:r>
            <w:r>
              <w:rPr>
                <w:rFonts w:hint="default" w:ascii="Times New Roman" w:hAnsi="Times New Roman" w:eastAsia="宋体" w:cs="Times New Roman"/>
                <w:color w:val="auto"/>
                <w:spacing w:val="-2"/>
                <w:sz w:val="24"/>
                <w:szCs w:val="24"/>
              </w:rPr>
              <w:t>在多种危险物质时，则按式(</w:t>
            </w:r>
            <w:r>
              <w:rPr>
                <w:rFonts w:hint="default" w:ascii="Times New Roman" w:hAnsi="Times New Roman" w:eastAsia="Times New Roman" w:cs="Times New Roman"/>
                <w:color w:val="auto"/>
                <w:spacing w:val="-2"/>
                <w:sz w:val="24"/>
                <w:szCs w:val="24"/>
              </w:rPr>
              <w:t>C.1</w:t>
            </w:r>
            <w:r>
              <w:rPr>
                <w:rFonts w:hint="default" w:ascii="Times New Roman" w:hAnsi="Times New Roman" w:eastAsia="宋体" w:cs="Times New Roman"/>
                <w:color w:val="auto"/>
                <w:spacing w:val="-2"/>
                <w:sz w:val="24"/>
                <w:szCs w:val="24"/>
              </w:rPr>
              <w:t>)计算物质总量与其临界量比值</w:t>
            </w:r>
            <w:r>
              <w:rPr>
                <w:rFonts w:hint="default" w:ascii="Times New Roman" w:hAnsi="Times New Roman" w:eastAsia="Times New Roman" w:cs="Times New Roman"/>
                <w:color w:val="auto"/>
                <w:spacing w:val="-2"/>
                <w:sz w:val="24"/>
                <w:szCs w:val="24"/>
              </w:rPr>
              <w:t>Q</w:t>
            </w:r>
            <w:r>
              <w:rPr>
                <w:rFonts w:hint="default" w:ascii="Times New Roman" w:hAnsi="Times New Roman" w:eastAsia="宋体" w:cs="Times New Roman"/>
                <w:color w:val="auto"/>
                <w:spacing w:val="-2"/>
                <w:sz w:val="24"/>
                <w:szCs w:val="24"/>
              </w:rPr>
              <w:t>：</w:t>
            </w:r>
          </w:p>
          <w:p w14:paraId="7234E425">
            <w:pPr>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rPr>
                <w:rFonts w:hint="default" w:ascii="Times New Roman" w:hAnsi="Times New Roman" w:eastAsia="Times New Roman" w:cs="Times New Roman"/>
                <w:color w:val="auto"/>
                <w:sz w:val="16"/>
                <w:szCs w:val="16"/>
              </w:rPr>
            </w:pPr>
            <w:r>
              <w:rPr>
                <w:rFonts w:hint="default" w:ascii="Times New Roman" w:hAnsi="Times New Roman" w:eastAsia="Times New Roman" w:cs="Times New Roman"/>
                <w:i/>
                <w:iCs/>
                <w:color w:val="auto"/>
                <w:spacing w:val="-3"/>
                <w:sz w:val="24"/>
                <w:szCs w:val="24"/>
              </w:rPr>
              <w:t>Q</w:t>
            </w:r>
            <w:r>
              <w:rPr>
                <w:rFonts w:hint="default" w:ascii="Times New Roman" w:hAnsi="Times New Roman" w:eastAsia="Times New Roman" w:cs="Times New Roman"/>
                <w:color w:val="auto"/>
                <w:spacing w:val="-6"/>
                <w:sz w:val="24"/>
                <w:szCs w:val="24"/>
              </w:rPr>
              <w:t>=</w:t>
            </w:r>
            <w:r>
              <w:rPr>
                <w:rFonts w:hint="default" w:ascii="Times New Roman" w:hAnsi="Times New Roman" w:eastAsia="Times New Roman" w:cs="Times New Roman"/>
                <w:i/>
                <w:iCs/>
                <w:color w:val="auto"/>
                <w:spacing w:val="-3"/>
                <w:sz w:val="24"/>
                <w:szCs w:val="24"/>
              </w:rPr>
              <w:t>q</w:t>
            </w:r>
            <w:r>
              <w:rPr>
                <w:rFonts w:hint="default" w:ascii="Times New Roman" w:hAnsi="Times New Roman" w:eastAsia="Times New Roman" w:cs="Times New Roman"/>
                <w:i/>
                <w:iCs/>
                <w:color w:val="auto"/>
                <w:spacing w:val="-6"/>
                <w:position w:val="-1"/>
                <w:sz w:val="16"/>
                <w:szCs w:val="16"/>
              </w:rPr>
              <w:t>1</w:t>
            </w:r>
            <w:r>
              <w:rPr>
                <w:rFonts w:hint="default" w:ascii="Times New Roman" w:hAnsi="Times New Roman" w:eastAsia="Times New Roman" w:cs="Times New Roman"/>
                <w:i/>
                <w:iCs/>
                <w:color w:val="auto"/>
                <w:spacing w:val="-6"/>
                <w:sz w:val="24"/>
                <w:szCs w:val="24"/>
              </w:rPr>
              <w:t>/</w:t>
            </w:r>
            <w:r>
              <w:rPr>
                <w:rFonts w:hint="default" w:ascii="Times New Roman" w:hAnsi="Times New Roman" w:eastAsia="Times New Roman" w:cs="Times New Roman"/>
                <w:i/>
                <w:iCs/>
                <w:color w:val="auto"/>
                <w:spacing w:val="-3"/>
                <w:sz w:val="24"/>
                <w:szCs w:val="24"/>
              </w:rPr>
              <w:t>Q</w:t>
            </w:r>
            <w:r>
              <w:rPr>
                <w:rFonts w:hint="default" w:ascii="Times New Roman" w:hAnsi="Times New Roman" w:eastAsia="Times New Roman" w:cs="Times New Roman"/>
                <w:i/>
                <w:iCs/>
                <w:color w:val="auto"/>
                <w:spacing w:val="-6"/>
                <w:position w:val="-1"/>
                <w:sz w:val="16"/>
                <w:szCs w:val="16"/>
              </w:rPr>
              <w:t>1</w:t>
            </w:r>
            <w:r>
              <w:rPr>
                <w:rFonts w:hint="default" w:ascii="Times New Roman" w:hAnsi="Times New Roman" w:eastAsia="Times New Roman" w:cs="Times New Roman"/>
                <w:i/>
                <w:iCs/>
                <w:color w:val="auto"/>
                <w:spacing w:val="-3"/>
                <w:sz w:val="24"/>
                <w:szCs w:val="24"/>
              </w:rPr>
              <w:t>+q</w:t>
            </w:r>
            <w:r>
              <w:rPr>
                <w:rFonts w:hint="default" w:ascii="Times New Roman" w:hAnsi="Times New Roman" w:eastAsia="Times New Roman" w:cs="Times New Roman"/>
                <w:i/>
                <w:iCs/>
                <w:color w:val="auto"/>
                <w:spacing w:val="-3"/>
                <w:position w:val="-1"/>
                <w:sz w:val="16"/>
                <w:szCs w:val="16"/>
              </w:rPr>
              <w:t>2</w:t>
            </w:r>
            <w:r>
              <w:rPr>
                <w:rFonts w:hint="default" w:ascii="Times New Roman" w:hAnsi="Times New Roman" w:eastAsia="Times New Roman" w:cs="Times New Roman"/>
                <w:i/>
                <w:iCs/>
                <w:color w:val="auto"/>
                <w:spacing w:val="-3"/>
                <w:sz w:val="24"/>
                <w:szCs w:val="24"/>
              </w:rPr>
              <w:t>/Q</w:t>
            </w:r>
            <w:r>
              <w:rPr>
                <w:rFonts w:hint="default" w:ascii="Times New Roman" w:hAnsi="Times New Roman" w:eastAsia="Times New Roman" w:cs="Times New Roman"/>
                <w:i/>
                <w:iCs/>
                <w:color w:val="auto"/>
                <w:spacing w:val="-3"/>
                <w:position w:val="-1"/>
                <w:sz w:val="16"/>
                <w:szCs w:val="16"/>
              </w:rPr>
              <w:t>2</w:t>
            </w:r>
            <w:r>
              <w:rPr>
                <w:rFonts w:hint="default" w:ascii="Times New Roman" w:hAnsi="Times New Roman" w:eastAsia="Times New Roman" w:cs="Times New Roman"/>
                <w:i/>
                <w:iCs/>
                <w:color w:val="auto"/>
                <w:spacing w:val="-3"/>
                <w:sz w:val="24"/>
                <w:szCs w:val="24"/>
              </w:rPr>
              <w:t>+………+q</w:t>
            </w:r>
            <w:r>
              <w:rPr>
                <w:rFonts w:hint="default" w:ascii="Times New Roman" w:hAnsi="Times New Roman" w:eastAsia="Times New Roman" w:cs="Times New Roman"/>
                <w:i/>
                <w:iCs/>
                <w:color w:val="auto"/>
                <w:spacing w:val="-3"/>
                <w:position w:val="-1"/>
                <w:sz w:val="16"/>
                <w:szCs w:val="16"/>
              </w:rPr>
              <w:t>n</w:t>
            </w:r>
            <w:r>
              <w:rPr>
                <w:rFonts w:hint="default" w:ascii="Times New Roman" w:hAnsi="Times New Roman" w:eastAsia="Times New Roman" w:cs="Times New Roman"/>
                <w:i/>
                <w:iCs/>
                <w:color w:val="auto"/>
                <w:spacing w:val="-3"/>
                <w:sz w:val="24"/>
                <w:szCs w:val="24"/>
              </w:rPr>
              <w:t>/Q</w:t>
            </w:r>
            <w:r>
              <w:rPr>
                <w:rFonts w:hint="default" w:ascii="Times New Roman" w:hAnsi="Times New Roman" w:eastAsia="Times New Roman" w:cs="Times New Roman"/>
                <w:i/>
                <w:iCs/>
                <w:color w:val="auto"/>
                <w:spacing w:val="-3"/>
                <w:position w:val="-1"/>
                <w:sz w:val="16"/>
                <w:szCs w:val="16"/>
              </w:rPr>
              <w:t>n</w:t>
            </w:r>
          </w:p>
          <w:p w14:paraId="450425EE">
            <w:pPr>
              <w:keepNext w:val="0"/>
              <w:keepLines w:val="0"/>
              <w:pageBreakBefore w:val="0"/>
              <w:widowControl w:val="0"/>
              <w:kinsoku/>
              <w:wordWrap/>
              <w:overflowPunct/>
              <w:topLinePunct w:val="0"/>
              <w:autoSpaceDE/>
              <w:autoSpaceDN/>
              <w:bidi w:val="0"/>
              <w:adjustRightInd/>
              <w:snapToGrid/>
              <w:spacing w:line="360" w:lineRule="auto"/>
              <w:ind w:left="0" w:right="0" w:firstLine="42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3"/>
                <w:sz w:val="24"/>
                <w:szCs w:val="24"/>
              </w:rPr>
              <w:t>式</w:t>
            </w:r>
            <w:r>
              <w:rPr>
                <w:rFonts w:hint="default" w:ascii="Times New Roman" w:hAnsi="Times New Roman" w:eastAsia="宋体" w:cs="Times New Roman"/>
                <w:color w:val="auto"/>
                <w:spacing w:val="-10"/>
                <w:sz w:val="24"/>
                <w:szCs w:val="24"/>
              </w:rPr>
              <w:t>中：</w:t>
            </w:r>
            <w:r>
              <w:rPr>
                <w:rFonts w:hint="default" w:ascii="Times New Roman" w:hAnsi="Times New Roman" w:eastAsia="Times New Roman" w:cs="Times New Roman"/>
                <w:i/>
                <w:iCs/>
                <w:color w:val="auto"/>
                <w:spacing w:val="-10"/>
                <w:sz w:val="24"/>
                <w:szCs w:val="24"/>
              </w:rPr>
              <w:t>q</w:t>
            </w:r>
            <w:r>
              <w:rPr>
                <w:rFonts w:hint="default" w:ascii="Times New Roman" w:hAnsi="Times New Roman" w:eastAsia="Times New Roman" w:cs="Times New Roman"/>
                <w:i/>
                <w:iCs/>
                <w:color w:val="auto"/>
                <w:spacing w:val="-10"/>
                <w:position w:val="-1"/>
                <w:sz w:val="16"/>
                <w:szCs w:val="16"/>
              </w:rPr>
              <w:t>1</w:t>
            </w:r>
            <w:r>
              <w:rPr>
                <w:rFonts w:hint="default" w:ascii="Times New Roman" w:hAnsi="Times New Roman" w:eastAsia="宋体" w:cs="Times New Roman"/>
                <w:i/>
                <w:iCs/>
                <w:color w:val="auto"/>
                <w:spacing w:val="-10"/>
                <w:sz w:val="25"/>
                <w:szCs w:val="25"/>
              </w:rPr>
              <w:t>，</w:t>
            </w:r>
            <w:r>
              <w:rPr>
                <w:rFonts w:hint="default" w:ascii="Times New Roman" w:hAnsi="Times New Roman" w:eastAsia="Times New Roman" w:cs="Times New Roman"/>
                <w:i/>
                <w:iCs/>
                <w:color w:val="auto"/>
                <w:spacing w:val="-10"/>
                <w:sz w:val="24"/>
                <w:szCs w:val="24"/>
              </w:rPr>
              <w:t>q</w:t>
            </w:r>
            <w:r>
              <w:rPr>
                <w:rFonts w:hint="default" w:ascii="Times New Roman" w:hAnsi="Times New Roman" w:eastAsia="Times New Roman" w:cs="Times New Roman"/>
                <w:i/>
                <w:iCs/>
                <w:color w:val="auto"/>
                <w:spacing w:val="-10"/>
                <w:position w:val="-1"/>
                <w:sz w:val="16"/>
                <w:szCs w:val="16"/>
              </w:rPr>
              <w:t>2</w:t>
            </w:r>
            <w:r>
              <w:rPr>
                <w:rFonts w:hint="default" w:ascii="Times New Roman" w:hAnsi="Times New Roman" w:eastAsia="Times New Roman" w:cs="Times New Roman"/>
                <w:i/>
                <w:iCs/>
                <w:color w:val="auto"/>
                <w:spacing w:val="-10"/>
                <w:sz w:val="24"/>
                <w:szCs w:val="24"/>
              </w:rPr>
              <w:t>……q</w:t>
            </w:r>
            <w:r>
              <w:rPr>
                <w:rFonts w:hint="default" w:ascii="Times New Roman" w:hAnsi="Times New Roman" w:eastAsia="Times New Roman" w:cs="Times New Roman"/>
                <w:i/>
                <w:iCs/>
                <w:color w:val="auto"/>
                <w:spacing w:val="-10"/>
                <w:position w:val="-1"/>
                <w:sz w:val="16"/>
                <w:szCs w:val="16"/>
              </w:rPr>
              <w:t>n</w:t>
            </w:r>
            <w:r>
              <w:rPr>
                <w:rFonts w:hint="default" w:ascii="Times New Roman" w:hAnsi="Times New Roman" w:eastAsia="Times New Roman" w:cs="Times New Roman"/>
                <w:color w:val="auto"/>
                <w:spacing w:val="-10"/>
                <w:sz w:val="24"/>
                <w:szCs w:val="24"/>
              </w:rPr>
              <w:t>——</w:t>
            </w:r>
            <w:r>
              <w:rPr>
                <w:rFonts w:hint="default" w:ascii="Times New Roman" w:hAnsi="Times New Roman" w:eastAsia="宋体" w:cs="Times New Roman"/>
                <w:color w:val="auto"/>
                <w:spacing w:val="-10"/>
                <w:sz w:val="24"/>
                <w:szCs w:val="24"/>
              </w:rPr>
              <w:t>每种危险物质的最大存在总量，</w:t>
            </w:r>
            <w:r>
              <w:rPr>
                <w:rFonts w:hint="default" w:ascii="Times New Roman" w:hAnsi="Times New Roman" w:eastAsia="Times New Roman" w:cs="Times New Roman"/>
                <w:color w:val="auto"/>
                <w:spacing w:val="-10"/>
                <w:sz w:val="24"/>
                <w:szCs w:val="24"/>
              </w:rPr>
              <w:t>t</w:t>
            </w:r>
            <w:r>
              <w:rPr>
                <w:rFonts w:hint="default" w:ascii="Times New Roman" w:hAnsi="Times New Roman" w:eastAsia="宋体" w:cs="Times New Roman"/>
                <w:color w:val="auto"/>
                <w:spacing w:val="-10"/>
                <w:sz w:val="24"/>
                <w:szCs w:val="24"/>
              </w:rPr>
              <w:t>；</w:t>
            </w:r>
          </w:p>
          <w:p w14:paraId="661F3485">
            <w:pPr>
              <w:keepNext w:val="0"/>
              <w:keepLines w:val="0"/>
              <w:pageBreakBefore w:val="0"/>
              <w:widowControl w:val="0"/>
              <w:kinsoku/>
              <w:wordWrap/>
              <w:overflowPunct/>
              <w:topLinePunct w:val="0"/>
              <w:autoSpaceDE/>
              <w:autoSpaceDN/>
              <w:bidi w:val="0"/>
              <w:adjustRightInd/>
              <w:snapToGrid/>
              <w:spacing w:line="360" w:lineRule="auto"/>
              <w:ind w:left="0" w:right="0" w:firstLine="44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Times New Roman" w:cs="Times New Roman"/>
                <w:i/>
                <w:iCs/>
                <w:color w:val="auto"/>
                <w:spacing w:val="-8"/>
                <w:position w:val="17"/>
                <w:sz w:val="24"/>
                <w:szCs w:val="24"/>
              </w:rPr>
              <w:t>Q</w:t>
            </w:r>
            <w:r>
              <w:rPr>
                <w:rFonts w:hint="default" w:ascii="Times New Roman" w:hAnsi="Times New Roman" w:eastAsia="Times New Roman" w:cs="Times New Roman"/>
                <w:i/>
                <w:iCs/>
                <w:color w:val="auto"/>
                <w:spacing w:val="-11"/>
                <w:position w:val="16"/>
                <w:sz w:val="16"/>
                <w:szCs w:val="16"/>
              </w:rPr>
              <w:t>1</w:t>
            </w:r>
            <w:r>
              <w:rPr>
                <w:rFonts w:hint="default" w:ascii="Times New Roman" w:hAnsi="Times New Roman" w:eastAsia="宋体" w:cs="Times New Roman"/>
                <w:i/>
                <w:iCs/>
                <w:color w:val="auto"/>
                <w:spacing w:val="-8"/>
                <w:position w:val="17"/>
                <w:sz w:val="25"/>
                <w:szCs w:val="25"/>
              </w:rPr>
              <w:t>，</w:t>
            </w:r>
            <w:r>
              <w:rPr>
                <w:rFonts w:hint="default" w:ascii="Times New Roman" w:hAnsi="Times New Roman" w:eastAsia="Times New Roman" w:cs="Times New Roman"/>
                <w:i/>
                <w:iCs/>
                <w:color w:val="auto"/>
                <w:spacing w:val="-8"/>
                <w:position w:val="17"/>
                <w:sz w:val="24"/>
                <w:szCs w:val="24"/>
              </w:rPr>
              <w:t>Q</w:t>
            </w:r>
            <w:r>
              <w:rPr>
                <w:rFonts w:hint="default" w:ascii="Times New Roman" w:hAnsi="Times New Roman" w:eastAsia="Times New Roman" w:cs="Times New Roman"/>
                <w:i/>
                <w:iCs/>
                <w:color w:val="auto"/>
                <w:spacing w:val="-8"/>
                <w:position w:val="16"/>
                <w:sz w:val="16"/>
                <w:szCs w:val="16"/>
              </w:rPr>
              <w:t>2</w:t>
            </w:r>
            <w:r>
              <w:rPr>
                <w:rFonts w:hint="default" w:ascii="Times New Roman" w:hAnsi="Times New Roman" w:eastAsia="Times New Roman" w:cs="Times New Roman"/>
                <w:i/>
                <w:iCs/>
                <w:color w:val="auto"/>
                <w:spacing w:val="-8"/>
                <w:position w:val="17"/>
                <w:sz w:val="24"/>
                <w:szCs w:val="24"/>
              </w:rPr>
              <w:t>……Q</w:t>
            </w:r>
            <w:r>
              <w:rPr>
                <w:rFonts w:hint="default" w:ascii="Times New Roman" w:hAnsi="Times New Roman" w:eastAsia="Times New Roman" w:cs="Times New Roman"/>
                <w:i/>
                <w:iCs/>
                <w:color w:val="auto"/>
                <w:spacing w:val="-8"/>
                <w:position w:val="16"/>
                <w:sz w:val="16"/>
                <w:szCs w:val="16"/>
              </w:rPr>
              <w:t>n</w:t>
            </w:r>
            <w:r>
              <w:rPr>
                <w:rFonts w:hint="default" w:ascii="Times New Roman" w:hAnsi="Times New Roman" w:eastAsia="Times New Roman" w:cs="Times New Roman"/>
                <w:color w:val="auto"/>
                <w:spacing w:val="-8"/>
                <w:position w:val="17"/>
                <w:sz w:val="24"/>
                <w:szCs w:val="24"/>
              </w:rPr>
              <w:t>——</w:t>
            </w:r>
            <w:r>
              <w:rPr>
                <w:rFonts w:hint="default" w:ascii="Times New Roman" w:hAnsi="Times New Roman" w:eastAsia="宋体" w:cs="Times New Roman"/>
                <w:color w:val="auto"/>
                <w:spacing w:val="-8"/>
                <w:position w:val="17"/>
                <w:sz w:val="24"/>
                <w:szCs w:val="24"/>
              </w:rPr>
              <w:t>每种危险物质的临界量，</w:t>
            </w:r>
            <w:r>
              <w:rPr>
                <w:rFonts w:hint="default" w:ascii="Times New Roman" w:hAnsi="Times New Roman" w:eastAsia="Times New Roman" w:cs="Times New Roman"/>
                <w:color w:val="auto"/>
                <w:spacing w:val="-8"/>
                <w:position w:val="17"/>
                <w:sz w:val="24"/>
                <w:szCs w:val="24"/>
              </w:rPr>
              <w:t>t</w:t>
            </w:r>
            <w:r>
              <w:rPr>
                <w:rFonts w:hint="default" w:ascii="Times New Roman" w:hAnsi="Times New Roman" w:eastAsia="宋体" w:cs="Times New Roman"/>
                <w:color w:val="auto"/>
                <w:spacing w:val="-8"/>
                <w:position w:val="17"/>
                <w:sz w:val="24"/>
                <w:szCs w:val="24"/>
              </w:rPr>
              <w:t>。</w:t>
            </w:r>
          </w:p>
          <w:p w14:paraId="4EA14AA4">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当</w:t>
            </w:r>
            <w:r>
              <w:rPr>
                <w:rFonts w:hint="default" w:ascii="Times New Roman" w:hAnsi="Times New Roman" w:eastAsia="Times New Roman" w:cs="Times New Roman"/>
                <w:color w:val="auto"/>
                <w:spacing w:val="-1"/>
                <w:sz w:val="24"/>
                <w:szCs w:val="24"/>
              </w:rPr>
              <w:t>Q</w:t>
            </w:r>
            <w:r>
              <w:rPr>
                <w:rFonts w:hint="default" w:ascii="Times New Roman" w:hAnsi="Times New Roman" w:eastAsia="Times New Roman" w:cs="Times New Roman"/>
                <w:color w:val="auto"/>
                <w:spacing w:val="-2"/>
                <w:sz w:val="24"/>
                <w:szCs w:val="24"/>
              </w:rPr>
              <w:t>&lt;1</w:t>
            </w:r>
            <w:r>
              <w:rPr>
                <w:rFonts w:hint="default" w:ascii="Times New Roman" w:hAnsi="Times New Roman" w:eastAsia="宋体" w:cs="Times New Roman"/>
                <w:color w:val="auto"/>
                <w:spacing w:val="-1"/>
                <w:sz w:val="24"/>
                <w:szCs w:val="24"/>
              </w:rPr>
              <w:t>时，该项目环境风险濳势为</w:t>
            </w:r>
            <w:r>
              <w:rPr>
                <w:rFonts w:hint="default" w:ascii="Times New Roman" w:hAnsi="Times New Roman" w:eastAsia="Times New Roman" w:cs="Times New Roman"/>
                <w:color w:val="auto"/>
                <w:spacing w:val="-1"/>
                <w:sz w:val="24"/>
                <w:szCs w:val="24"/>
              </w:rPr>
              <w:t>I</w:t>
            </w:r>
            <w:r>
              <w:rPr>
                <w:rFonts w:hint="default" w:ascii="Times New Roman" w:hAnsi="Times New Roman" w:eastAsia="宋体" w:cs="Times New Roman"/>
                <w:color w:val="auto"/>
                <w:spacing w:val="-1"/>
                <w:sz w:val="24"/>
                <w:szCs w:val="24"/>
              </w:rPr>
              <w:t>；</w:t>
            </w:r>
          </w:p>
          <w:p w14:paraId="25036B21">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4"/>
                <w:sz w:val="24"/>
                <w:szCs w:val="24"/>
              </w:rPr>
              <w:t>当</w:t>
            </w:r>
            <w:r>
              <w:rPr>
                <w:rFonts w:hint="default" w:ascii="Times New Roman" w:hAnsi="Times New Roman" w:eastAsia="Times New Roman" w:cs="Times New Roman"/>
                <w:color w:val="auto"/>
                <w:spacing w:val="-2"/>
                <w:sz w:val="24"/>
                <w:szCs w:val="24"/>
              </w:rPr>
              <w:t>Q</w:t>
            </w:r>
            <w:r>
              <w:rPr>
                <w:rFonts w:hint="default" w:ascii="Times New Roman" w:hAnsi="Times New Roman" w:eastAsia="宋体" w:cs="Times New Roman"/>
                <w:color w:val="auto"/>
                <w:spacing w:val="-4"/>
                <w:sz w:val="24"/>
                <w:szCs w:val="24"/>
              </w:rPr>
              <w:t>≧</w:t>
            </w:r>
            <w:r>
              <w:rPr>
                <w:rFonts w:hint="default" w:ascii="Times New Roman" w:hAnsi="Times New Roman" w:eastAsia="Times New Roman" w:cs="Times New Roman"/>
                <w:color w:val="auto"/>
                <w:spacing w:val="-4"/>
                <w:sz w:val="24"/>
                <w:szCs w:val="24"/>
              </w:rPr>
              <w:t>1</w:t>
            </w:r>
            <w:r>
              <w:rPr>
                <w:rFonts w:hint="default" w:ascii="Times New Roman" w:hAnsi="Times New Roman" w:eastAsia="宋体" w:cs="Times New Roman"/>
                <w:color w:val="auto"/>
                <w:spacing w:val="-4"/>
                <w:sz w:val="24"/>
                <w:szCs w:val="24"/>
              </w:rPr>
              <w:t>时，将</w:t>
            </w:r>
            <w:r>
              <w:rPr>
                <w:rFonts w:hint="default" w:ascii="Times New Roman" w:hAnsi="Times New Roman" w:eastAsia="Times New Roman" w:cs="Times New Roman"/>
                <w:color w:val="auto"/>
                <w:spacing w:val="-2"/>
                <w:sz w:val="24"/>
                <w:szCs w:val="24"/>
              </w:rPr>
              <w:t>Q</w:t>
            </w:r>
            <w:r>
              <w:rPr>
                <w:rFonts w:hint="default" w:ascii="Times New Roman" w:hAnsi="Times New Roman" w:eastAsia="宋体" w:cs="Times New Roman"/>
                <w:color w:val="auto"/>
                <w:spacing w:val="-4"/>
                <w:sz w:val="24"/>
                <w:szCs w:val="24"/>
              </w:rPr>
              <w:t>值划分为：(</w:t>
            </w:r>
            <w:r>
              <w:rPr>
                <w:rFonts w:hint="default" w:ascii="Times New Roman" w:hAnsi="Times New Roman" w:eastAsia="Times New Roman" w:cs="Times New Roman"/>
                <w:color w:val="auto"/>
                <w:spacing w:val="-4"/>
                <w:sz w:val="24"/>
                <w:szCs w:val="24"/>
              </w:rPr>
              <w:t>1</w:t>
            </w:r>
            <w:r>
              <w:rPr>
                <w:rFonts w:hint="default" w:ascii="Times New Roman" w:hAnsi="Times New Roman" w:eastAsia="宋体" w:cs="Times New Roman"/>
                <w:color w:val="auto"/>
                <w:spacing w:val="-4"/>
                <w:sz w:val="24"/>
                <w:szCs w:val="24"/>
              </w:rPr>
              <w:t>)</w:t>
            </w:r>
            <w:r>
              <w:rPr>
                <w:rFonts w:hint="default" w:ascii="Times New Roman" w:hAnsi="Times New Roman" w:eastAsia="Times New Roman" w:cs="Times New Roman"/>
                <w:color w:val="auto"/>
                <w:spacing w:val="-3"/>
                <w:sz w:val="24"/>
                <w:szCs w:val="24"/>
              </w:rPr>
              <w:t>1</w:t>
            </w:r>
            <w:r>
              <w:rPr>
                <w:rFonts w:hint="default" w:ascii="Times New Roman" w:hAnsi="Times New Roman" w:eastAsia="宋体" w:cs="Times New Roman"/>
                <w:color w:val="auto"/>
                <w:spacing w:val="-2"/>
                <w:sz w:val="24"/>
                <w:szCs w:val="24"/>
              </w:rPr>
              <w:t>≦</w:t>
            </w:r>
            <w:r>
              <w:rPr>
                <w:rFonts w:hint="default" w:ascii="Times New Roman" w:hAnsi="Times New Roman" w:eastAsia="Times New Roman" w:cs="Times New Roman"/>
                <w:color w:val="auto"/>
                <w:spacing w:val="-2"/>
                <w:sz w:val="24"/>
                <w:szCs w:val="24"/>
              </w:rPr>
              <w:t>Q&lt;10</w:t>
            </w:r>
            <w:r>
              <w:rPr>
                <w:rFonts w:hint="default" w:ascii="Times New Roman" w:hAnsi="Times New Roman" w:eastAsia="宋体" w:cs="Times New Roman"/>
                <w:color w:val="auto"/>
                <w:spacing w:val="-2"/>
                <w:sz w:val="24"/>
                <w:szCs w:val="24"/>
              </w:rPr>
              <w:t>；(</w:t>
            </w:r>
            <w:r>
              <w:rPr>
                <w:rFonts w:hint="default" w:ascii="Times New Roman" w:hAnsi="Times New Roman" w:eastAsia="Times New Roman" w:cs="Times New Roman"/>
                <w:color w:val="auto"/>
                <w:spacing w:val="-2"/>
                <w:sz w:val="24"/>
                <w:szCs w:val="24"/>
              </w:rPr>
              <w:t>2</w:t>
            </w:r>
            <w:r>
              <w:rPr>
                <w:rFonts w:hint="default" w:ascii="Times New Roman" w:hAnsi="Times New Roman" w:eastAsia="宋体" w:cs="Times New Roman"/>
                <w:color w:val="auto"/>
                <w:spacing w:val="-2"/>
                <w:sz w:val="24"/>
                <w:szCs w:val="24"/>
              </w:rPr>
              <w:t>)</w:t>
            </w:r>
            <w:r>
              <w:rPr>
                <w:rFonts w:hint="default" w:ascii="Times New Roman" w:hAnsi="Times New Roman" w:eastAsia="Times New Roman" w:cs="Times New Roman"/>
                <w:color w:val="auto"/>
                <w:spacing w:val="-2"/>
                <w:sz w:val="24"/>
                <w:szCs w:val="24"/>
              </w:rPr>
              <w:t>10</w:t>
            </w:r>
            <w:r>
              <w:rPr>
                <w:rFonts w:hint="default" w:ascii="Times New Roman" w:hAnsi="Times New Roman" w:eastAsia="宋体" w:cs="Times New Roman"/>
                <w:color w:val="auto"/>
                <w:spacing w:val="-2"/>
                <w:sz w:val="24"/>
                <w:szCs w:val="24"/>
              </w:rPr>
              <w:t>≦</w:t>
            </w:r>
            <w:r>
              <w:rPr>
                <w:rFonts w:hint="default" w:ascii="Times New Roman" w:hAnsi="Times New Roman" w:eastAsia="Times New Roman" w:cs="Times New Roman"/>
                <w:color w:val="auto"/>
                <w:spacing w:val="-2"/>
                <w:sz w:val="24"/>
                <w:szCs w:val="24"/>
              </w:rPr>
              <w:t>Q&lt;100</w:t>
            </w:r>
            <w:r>
              <w:rPr>
                <w:rFonts w:hint="default" w:ascii="Times New Roman" w:hAnsi="Times New Roman" w:eastAsia="宋体" w:cs="Times New Roman"/>
                <w:color w:val="auto"/>
                <w:spacing w:val="-2"/>
                <w:sz w:val="24"/>
                <w:szCs w:val="24"/>
              </w:rPr>
              <w:t>；(</w:t>
            </w:r>
            <w:r>
              <w:rPr>
                <w:rFonts w:hint="default" w:ascii="Times New Roman" w:hAnsi="Times New Roman" w:eastAsia="Times New Roman" w:cs="Times New Roman"/>
                <w:color w:val="auto"/>
                <w:spacing w:val="-2"/>
                <w:sz w:val="24"/>
                <w:szCs w:val="24"/>
              </w:rPr>
              <w:t>3</w:t>
            </w:r>
            <w:r>
              <w:rPr>
                <w:rFonts w:hint="default" w:ascii="Times New Roman" w:hAnsi="Times New Roman" w:eastAsia="宋体" w:cs="Times New Roman"/>
                <w:color w:val="auto"/>
                <w:spacing w:val="-2"/>
                <w:sz w:val="24"/>
                <w:szCs w:val="24"/>
              </w:rPr>
              <w:t>)</w:t>
            </w:r>
            <w:r>
              <w:rPr>
                <w:rFonts w:hint="default" w:ascii="Times New Roman" w:hAnsi="Times New Roman" w:eastAsia="Times New Roman" w:cs="Times New Roman"/>
                <w:color w:val="auto"/>
                <w:spacing w:val="-2"/>
                <w:sz w:val="24"/>
                <w:szCs w:val="24"/>
              </w:rPr>
              <w:t>Q</w:t>
            </w:r>
            <w:r>
              <w:rPr>
                <w:rFonts w:hint="default" w:ascii="Times New Roman" w:hAnsi="Times New Roman" w:eastAsia="宋体" w:cs="Times New Roman"/>
                <w:color w:val="auto"/>
                <w:spacing w:val="-2"/>
                <w:sz w:val="24"/>
                <w:szCs w:val="24"/>
              </w:rPr>
              <w:t>≧</w:t>
            </w:r>
            <w:r>
              <w:rPr>
                <w:rFonts w:hint="default" w:ascii="Times New Roman" w:hAnsi="Times New Roman" w:eastAsia="Times New Roman" w:cs="Times New Roman"/>
                <w:color w:val="auto"/>
                <w:spacing w:val="-2"/>
                <w:sz w:val="24"/>
                <w:szCs w:val="24"/>
              </w:rPr>
              <w:t>100</w:t>
            </w:r>
            <w:r>
              <w:rPr>
                <w:rFonts w:hint="default" w:ascii="Times New Roman" w:hAnsi="Times New Roman" w:eastAsia="宋体" w:cs="Times New Roman"/>
                <w:color w:val="auto"/>
                <w:spacing w:val="-2"/>
                <w:sz w:val="24"/>
                <w:szCs w:val="24"/>
              </w:rPr>
              <w:t>。</w:t>
            </w:r>
          </w:p>
          <w:p w14:paraId="12247BF9">
            <w:pPr>
              <w:keepNext w:val="0"/>
              <w:keepLines w:val="0"/>
              <w:pageBreakBefore w:val="0"/>
              <w:widowControl w:val="0"/>
              <w:kinsoku/>
              <w:wordWrap/>
              <w:overflowPunct/>
              <w:topLinePunct w:val="0"/>
              <w:autoSpaceDE/>
              <w:autoSpaceDN/>
              <w:bidi w:val="0"/>
              <w:adjustRightInd/>
              <w:snapToGrid/>
              <w:spacing w:line="360" w:lineRule="auto"/>
              <w:ind w:left="0" w:right="0" w:firstLine="43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2"/>
                <w:sz w:val="24"/>
                <w:szCs w:val="24"/>
              </w:rPr>
              <w:t>根据项目</w:t>
            </w:r>
            <w:r>
              <w:rPr>
                <w:rFonts w:hint="default" w:ascii="Times New Roman" w:hAnsi="Times New Roman" w:eastAsia="宋体" w:cs="Times New Roman"/>
                <w:color w:val="auto"/>
                <w:spacing w:val="-6"/>
                <w:sz w:val="24"/>
                <w:szCs w:val="24"/>
              </w:rPr>
              <w:t>工程特点，通过对原辅料、产品的梳理，以及项目功能系统、功能单元的划</w:t>
            </w:r>
            <w:r>
              <w:rPr>
                <w:rFonts w:hint="default" w:ascii="Times New Roman" w:hAnsi="Times New Roman" w:eastAsia="宋体" w:cs="Times New Roman"/>
                <w:color w:val="auto"/>
                <w:spacing w:val="5"/>
                <w:sz w:val="24"/>
                <w:szCs w:val="24"/>
              </w:rPr>
              <w:t>分</w:t>
            </w:r>
            <w:r>
              <w:rPr>
                <w:rFonts w:hint="default" w:ascii="Times New Roman" w:hAnsi="Times New Roman" w:eastAsia="宋体" w:cs="Times New Roman"/>
                <w:color w:val="auto"/>
                <w:spacing w:val="3"/>
                <w:sz w:val="24"/>
                <w:szCs w:val="24"/>
              </w:rPr>
              <w:t>，项目涉及到的物料主要有</w:t>
            </w:r>
            <w:r>
              <w:rPr>
                <w:rFonts w:hint="default" w:ascii="Times New Roman" w:hAnsi="Times New Roman" w:cs="Times New Roman"/>
                <w:color w:val="auto"/>
                <w:spacing w:val="3"/>
                <w:sz w:val="24"/>
                <w:szCs w:val="24"/>
                <w:lang w:eastAsia="zh-CN"/>
              </w:rPr>
              <w:t>废润滑油</w:t>
            </w:r>
            <w:r>
              <w:rPr>
                <w:rFonts w:hint="eastAsia" w:cs="Times New Roman"/>
                <w:color w:val="auto"/>
                <w:spacing w:val="3"/>
                <w:sz w:val="24"/>
                <w:szCs w:val="24"/>
                <w:lang w:eastAsia="zh-CN"/>
              </w:rPr>
              <w:t>、</w:t>
            </w:r>
            <w:r>
              <w:rPr>
                <w:rFonts w:hint="eastAsia" w:cs="Times New Roman"/>
                <w:color w:val="auto"/>
                <w:spacing w:val="3"/>
                <w:sz w:val="24"/>
                <w:szCs w:val="24"/>
                <w:lang w:val="en-US" w:eastAsia="zh-CN"/>
              </w:rPr>
              <w:t>天然气</w:t>
            </w:r>
            <w:r>
              <w:rPr>
                <w:rFonts w:hint="default" w:ascii="Times New Roman" w:hAnsi="Times New Roman" w:eastAsia="宋体" w:cs="Times New Roman"/>
                <w:color w:val="auto"/>
                <w:spacing w:val="3"/>
                <w:sz w:val="24"/>
                <w:szCs w:val="24"/>
              </w:rPr>
              <w:t>等。</w:t>
            </w:r>
            <w:r>
              <w:rPr>
                <w:rFonts w:hint="default" w:ascii="Times New Roman" w:hAnsi="Times New Roman" w:eastAsia="宋体" w:cs="Times New Roman"/>
                <w:color w:val="auto"/>
                <w:spacing w:val="-1"/>
                <w:sz w:val="24"/>
                <w:szCs w:val="24"/>
              </w:rPr>
              <w:t>拟建项目危险物质最</w:t>
            </w:r>
            <w:r>
              <w:rPr>
                <w:rFonts w:hint="default" w:ascii="Times New Roman" w:hAnsi="Times New Roman" w:eastAsia="宋体" w:cs="Times New Roman"/>
                <w:color w:val="auto"/>
                <w:sz w:val="24"/>
                <w:szCs w:val="24"/>
              </w:rPr>
              <w:t>大存在总量与其临界量比值结果见下表。</w:t>
            </w:r>
          </w:p>
          <w:p w14:paraId="21ABED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rPr>
            </w:pPr>
            <w:r>
              <w:rPr>
                <w:rFonts w:hint="default" w:ascii="Times New Roman" w:hAnsi="Times New Roman" w:eastAsia="黑体" w:cs="Times New Roman"/>
                <w:b w:val="0"/>
                <w:bCs w:val="0"/>
                <w:color w:val="auto"/>
                <w:kern w:val="0"/>
                <w:sz w:val="24"/>
                <w:szCs w:val="24"/>
                <w:lang w:val="en-US" w:eastAsia="zh-CN"/>
              </w:rPr>
              <w:t>表4-13  建设项目危险物质最大存在总量与临界量一览表</w:t>
            </w:r>
          </w:p>
          <w:tbl>
            <w:tblPr>
              <w:tblStyle w:val="25"/>
              <w:tblW w:w="4997"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268"/>
              <w:gridCol w:w="1295"/>
              <w:gridCol w:w="2127"/>
              <w:gridCol w:w="1312"/>
              <w:gridCol w:w="1190"/>
            </w:tblGrid>
            <w:tr w14:paraId="1D6E3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2" w:type="pct"/>
                  <w:tcBorders>
                    <w:tl2br w:val="nil"/>
                    <w:tr2bl w:val="nil"/>
                  </w:tcBorders>
                  <w:noWrap w:val="0"/>
                  <w:vAlign w:val="center"/>
                </w:tcPr>
                <w:p w14:paraId="557E6DF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eastAsia="宋体" w:cs="Times New Roman"/>
                      <w:color w:val="auto"/>
                      <w:spacing w:val="-2"/>
                      <w:sz w:val="21"/>
                      <w:szCs w:val="21"/>
                    </w:rPr>
                    <w:t>序</w:t>
                  </w:r>
                  <w:r>
                    <w:rPr>
                      <w:rFonts w:hint="default" w:ascii="Times New Roman" w:hAnsi="Times New Roman" w:eastAsia="宋体" w:cs="Times New Roman"/>
                      <w:color w:val="auto"/>
                      <w:spacing w:val="-1"/>
                      <w:sz w:val="21"/>
                      <w:szCs w:val="21"/>
                    </w:rPr>
                    <w:t>号</w:t>
                  </w:r>
                </w:p>
              </w:tc>
              <w:tc>
                <w:tcPr>
                  <w:tcW w:w="798" w:type="pct"/>
                  <w:tcBorders>
                    <w:tl2br w:val="nil"/>
                    <w:tr2bl w:val="nil"/>
                  </w:tcBorders>
                  <w:noWrap w:val="0"/>
                  <w:vAlign w:val="center"/>
                </w:tcPr>
                <w:p w14:paraId="3C28F7A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vertAlign w:val="baseline"/>
                    </w:rPr>
                  </w:pPr>
                  <w:r>
                    <w:rPr>
                      <w:rFonts w:hint="default" w:ascii="Times New Roman" w:hAnsi="Times New Roman" w:eastAsia="宋体" w:cs="Times New Roman"/>
                      <w:color w:val="auto"/>
                      <w:spacing w:val="-2"/>
                      <w:sz w:val="21"/>
                      <w:szCs w:val="21"/>
                    </w:rPr>
                    <w:t>位</w:t>
                  </w:r>
                  <w:r>
                    <w:rPr>
                      <w:rFonts w:hint="default" w:ascii="Times New Roman" w:hAnsi="Times New Roman" w:eastAsia="宋体" w:cs="Times New Roman"/>
                      <w:color w:val="auto"/>
                      <w:spacing w:val="-1"/>
                      <w:sz w:val="21"/>
                      <w:szCs w:val="21"/>
                    </w:rPr>
                    <w:t>置</w:t>
                  </w:r>
                </w:p>
              </w:tc>
              <w:tc>
                <w:tcPr>
                  <w:tcW w:w="815" w:type="pct"/>
                  <w:tcBorders>
                    <w:tl2br w:val="nil"/>
                    <w:tr2bl w:val="nil"/>
                  </w:tcBorders>
                  <w:noWrap w:val="0"/>
                  <w:vAlign w:val="center"/>
                </w:tcPr>
                <w:p w14:paraId="1DEA263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vertAlign w:val="baseline"/>
                    </w:rPr>
                  </w:pPr>
                  <w:r>
                    <w:rPr>
                      <w:rFonts w:hint="default" w:ascii="Times New Roman" w:hAnsi="Times New Roman" w:eastAsia="宋体" w:cs="Times New Roman"/>
                      <w:color w:val="auto"/>
                      <w:spacing w:val="-2"/>
                      <w:sz w:val="21"/>
                      <w:szCs w:val="21"/>
                    </w:rPr>
                    <w:t>化</w:t>
                  </w:r>
                  <w:r>
                    <w:rPr>
                      <w:rFonts w:hint="default" w:ascii="Times New Roman" w:hAnsi="Times New Roman" w:eastAsia="宋体" w:cs="Times New Roman"/>
                      <w:color w:val="auto"/>
                      <w:spacing w:val="-1"/>
                      <w:sz w:val="21"/>
                      <w:szCs w:val="21"/>
                    </w:rPr>
                    <w:t>学品名称</w:t>
                  </w:r>
                </w:p>
              </w:tc>
              <w:tc>
                <w:tcPr>
                  <w:tcW w:w="1339" w:type="pct"/>
                  <w:tcBorders>
                    <w:tl2br w:val="nil"/>
                    <w:tr2bl w:val="nil"/>
                  </w:tcBorders>
                  <w:noWrap w:val="0"/>
                  <w:vAlign w:val="center"/>
                </w:tcPr>
                <w:p w14:paraId="379B019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vertAlign w:val="baseline"/>
                    </w:rPr>
                  </w:pPr>
                  <w:r>
                    <w:rPr>
                      <w:rFonts w:hint="default" w:ascii="Times New Roman" w:hAnsi="Times New Roman" w:eastAsia="宋体" w:cs="Times New Roman"/>
                      <w:color w:val="auto"/>
                      <w:spacing w:val="15"/>
                      <w:sz w:val="21"/>
                      <w:szCs w:val="21"/>
                    </w:rPr>
                    <w:t>最</w:t>
                  </w:r>
                  <w:r>
                    <w:rPr>
                      <w:rFonts w:hint="default" w:ascii="Times New Roman" w:hAnsi="Times New Roman" w:eastAsia="宋体" w:cs="Times New Roman"/>
                      <w:color w:val="auto"/>
                      <w:spacing w:val="9"/>
                      <w:sz w:val="21"/>
                      <w:szCs w:val="21"/>
                    </w:rPr>
                    <w:t>大储存</w:t>
                  </w:r>
                  <w:r>
                    <w:rPr>
                      <w:rFonts w:hint="default" w:ascii="Times New Roman" w:hAnsi="Times New Roman" w:eastAsia="Times New Roman" w:cs="Times New Roman"/>
                      <w:color w:val="auto"/>
                      <w:spacing w:val="9"/>
                      <w:sz w:val="21"/>
                      <w:szCs w:val="21"/>
                    </w:rPr>
                    <w:t>/</w:t>
                  </w:r>
                  <w:r>
                    <w:rPr>
                      <w:rFonts w:hint="default" w:ascii="Times New Roman" w:hAnsi="Times New Roman" w:eastAsia="宋体" w:cs="Times New Roman"/>
                      <w:color w:val="auto"/>
                      <w:spacing w:val="9"/>
                      <w:sz w:val="21"/>
                      <w:szCs w:val="21"/>
                    </w:rPr>
                    <w:t>在线量(</w:t>
                  </w:r>
                  <w:r>
                    <w:rPr>
                      <w:rFonts w:hint="default" w:ascii="Times New Roman" w:hAnsi="Times New Roman" w:eastAsia="Times New Roman" w:cs="Times New Roman"/>
                      <w:color w:val="auto"/>
                      <w:sz w:val="21"/>
                      <w:szCs w:val="21"/>
                    </w:rPr>
                    <w:t>t</w:t>
                  </w:r>
                  <w:r>
                    <w:rPr>
                      <w:rFonts w:hint="default" w:ascii="Times New Roman" w:hAnsi="Times New Roman" w:eastAsia="宋体" w:cs="Times New Roman"/>
                      <w:color w:val="auto"/>
                      <w:spacing w:val="9"/>
                      <w:sz w:val="21"/>
                      <w:szCs w:val="21"/>
                    </w:rPr>
                    <w:t>)</w:t>
                  </w:r>
                </w:p>
              </w:tc>
              <w:tc>
                <w:tcPr>
                  <w:tcW w:w="824" w:type="pct"/>
                  <w:tcBorders>
                    <w:tl2br w:val="nil"/>
                    <w:tr2bl w:val="nil"/>
                  </w:tcBorders>
                  <w:noWrap w:val="0"/>
                  <w:vAlign w:val="center"/>
                </w:tcPr>
                <w:p w14:paraId="418989B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vertAlign w:val="baseline"/>
                    </w:rPr>
                  </w:pPr>
                  <w:r>
                    <w:rPr>
                      <w:rFonts w:hint="default" w:ascii="Times New Roman" w:hAnsi="Times New Roman" w:eastAsia="宋体" w:cs="Times New Roman"/>
                      <w:color w:val="auto"/>
                      <w:spacing w:val="20"/>
                      <w:sz w:val="21"/>
                      <w:szCs w:val="21"/>
                    </w:rPr>
                    <w:t>临</w:t>
                  </w:r>
                  <w:r>
                    <w:rPr>
                      <w:rFonts w:hint="default" w:ascii="Times New Roman" w:hAnsi="Times New Roman" w:eastAsia="宋体" w:cs="Times New Roman"/>
                      <w:color w:val="auto"/>
                      <w:spacing w:val="17"/>
                      <w:sz w:val="21"/>
                      <w:szCs w:val="21"/>
                    </w:rPr>
                    <w:t>界量(</w:t>
                  </w:r>
                  <w:r>
                    <w:rPr>
                      <w:rFonts w:hint="default" w:ascii="Times New Roman" w:hAnsi="Times New Roman" w:eastAsia="Times New Roman" w:cs="Times New Roman"/>
                      <w:color w:val="auto"/>
                      <w:sz w:val="21"/>
                      <w:szCs w:val="21"/>
                    </w:rPr>
                    <w:t>t</w:t>
                  </w:r>
                  <w:r>
                    <w:rPr>
                      <w:rFonts w:hint="default" w:ascii="Times New Roman" w:hAnsi="Times New Roman" w:eastAsia="宋体" w:cs="Times New Roman"/>
                      <w:color w:val="auto"/>
                      <w:spacing w:val="17"/>
                      <w:sz w:val="21"/>
                      <w:szCs w:val="21"/>
                    </w:rPr>
                    <w:t>)</w:t>
                  </w:r>
                </w:p>
              </w:tc>
              <w:tc>
                <w:tcPr>
                  <w:tcW w:w="749" w:type="pct"/>
                  <w:tcBorders>
                    <w:tl2br w:val="nil"/>
                    <w:tr2bl w:val="nil"/>
                  </w:tcBorders>
                  <w:noWrap w:val="0"/>
                  <w:vAlign w:val="center"/>
                </w:tcPr>
                <w:p w14:paraId="5B7B009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vertAlign w:val="baseline"/>
                    </w:rPr>
                  </w:pPr>
                  <w:r>
                    <w:rPr>
                      <w:rFonts w:hint="default" w:ascii="Times New Roman" w:hAnsi="Times New Roman" w:eastAsia="宋体" w:cs="Times New Roman"/>
                      <w:color w:val="auto"/>
                      <w:spacing w:val="-2"/>
                      <w:sz w:val="21"/>
                      <w:szCs w:val="21"/>
                    </w:rPr>
                    <w:t>判</w:t>
                  </w:r>
                  <w:r>
                    <w:rPr>
                      <w:rFonts w:hint="default" w:ascii="Times New Roman" w:hAnsi="Times New Roman" w:eastAsia="宋体" w:cs="Times New Roman"/>
                      <w:color w:val="auto"/>
                      <w:spacing w:val="-1"/>
                      <w:sz w:val="21"/>
                      <w:szCs w:val="21"/>
                    </w:rPr>
                    <w:t>定结果</w:t>
                  </w:r>
                </w:p>
              </w:tc>
            </w:tr>
            <w:tr w14:paraId="1A2DDC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2" w:type="pct"/>
                  <w:tcBorders>
                    <w:tl2br w:val="nil"/>
                    <w:tr2bl w:val="nil"/>
                  </w:tcBorders>
                  <w:noWrap w:val="0"/>
                  <w:vAlign w:val="center"/>
                </w:tcPr>
                <w:p w14:paraId="0213EC8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vertAlign w:val="baseline"/>
                    </w:rPr>
                  </w:pPr>
                  <w:r>
                    <w:rPr>
                      <w:rFonts w:hint="default" w:ascii="Times New Roman" w:hAnsi="Times New Roman" w:eastAsia="Times New Roman" w:cs="Times New Roman"/>
                      <w:color w:val="auto"/>
                      <w:sz w:val="21"/>
                      <w:szCs w:val="21"/>
                    </w:rPr>
                    <w:t>1</w:t>
                  </w:r>
                </w:p>
              </w:tc>
              <w:tc>
                <w:tcPr>
                  <w:tcW w:w="798" w:type="pct"/>
                  <w:tcBorders>
                    <w:tl2br w:val="nil"/>
                    <w:tr2bl w:val="nil"/>
                  </w:tcBorders>
                  <w:noWrap w:val="0"/>
                  <w:vAlign w:val="center"/>
                </w:tcPr>
                <w:p w14:paraId="35AA54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vertAlign w:val="baseline"/>
                      <w:lang w:eastAsia="zh-CN"/>
                    </w:rPr>
                  </w:pPr>
                  <w:r>
                    <w:rPr>
                      <w:rFonts w:hint="default" w:ascii="Times New Roman" w:hAnsi="Times New Roman" w:eastAsia="宋体" w:cs="Times New Roman"/>
                      <w:color w:val="auto"/>
                      <w:spacing w:val="-2"/>
                      <w:sz w:val="21"/>
                      <w:szCs w:val="21"/>
                      <w:lang w:eastAsia="zh-CN"/>
                    </w:rPr>
                    <w:t>危废暂存间</w:t>
                  </w:r>
                </w:p>
              </w:tc>
              <w:tc>
                <w:tcPr>
                  <w:tcW w:w="815" w:type="pct"/>
                  <w:tcBorders>
                    <w:tl2br w:val="nil"/>
                    <w:tr2bl w:val="nil"/>
                  </w:tcBorders>
                  <w:noWrap w:val="0"/>
                  <w:vAlign w:val="center"/>
                </w:tcPr>
                <w:p w14:paraId="1A47936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vertAlign w:val="baseline"/>
                      <w:lang w:eastAsia="zh-CN"/>
                    </w:rPr>
                  </w:pPr>
                  <w:r>
                    <w:rPr>
                      <w:rFonts w:hint="default" w:ascii="Times New Roman" w:hAnsi="Times New Roman" w:eastAsia="宋体" w:cs="Times New Roman"/>
                      <w:color w:val="auto"/>
                      <w:spacing w:val="-1"/>
                      <w:sz w:val="21"/>
                      <w:szCs w:val="21"/>
                      <w:lang w:eastAsia="zh-CN"/>
                    </w:rPr>
                    <w:t>废润滑油</w:t>
                  </w:r>
                </w:p>
              </w:tc>
              <w:tc>
                <w:tcPr>
                  <w:tcW w:w="1339" w:type="pct"/>
                  <w:tcBorders>
                    <w:tl2br w:val="nil"/>
                    <w:tr2bl w:val="nil"/>
                  </w:tcBorders>
                  <w:noWrap w:val="0"/>
                  <w:vAlign w:val="center"/>
                </w:tcPr>
                <w:p w14:paraId="5C76F51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vertAlign w:val="baseline"/>
                    </w:rPr>
                  </w:pPr>
                  <w:r>
                    <w:rPr>
                      <w:rFonts w:hint="default" w:ascii="Times New Roman" w:hAnsi="Times New Roman" w:eastAsia="Times New Roman" w:cs="Times New Roman"/>
                      <w:color w:val="auto"/>
                      <w:spacing w:val="-2"/>
                      <w:sz w:val="21"/>
                      <w:szCs w:val="21"/>
                    </w:rPr>
                    <w:t>0.</w:t>
                  </w:r>
                  <w:r>
                    <w:rPr>
                      <w:rFonts w:hint="default" w:ascii="Times New Roman" w:hAnsi="Times New Roman" w:eastAsia="Times New Roman" w:cs="Times New Roman"/>
                      <w:color w:val="auto"/>
                      <w:spacing w:val="-1"/>
                      <w:sz w:val="21"/>
                      <w:szCs w:val="21"/>
                    </w:rPr>
                    <w:t>02</w:t>
                  </w:r>
                </w:p>
              </w:tc>
              <w:tc>
                <w:tcPr>
                  <w:tcW w:w="824" w:type="pct"/>
                  <w:tcBorders>
                    <w:tl2br w:val="nil"/>
                    <w:tr2bl w:val="nil"/>
                  </w:tcBorders>
                  <w:noWrap w:val="0"/>
                  <w:vAlign w:val="center"/>
                </w:tcPr>
                <w:p w14:paraId="5005B0C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vertAlign w:val="baseline"/>
                    </w:rPr>
                  </w:pPr>
                  <w:r>
                    <w:rPr>
                      <w:rFonts w:hint="default" w:ascii="Times New Roman" w:hAnsi="Times New Roman" w:eastAsia="Times New Roman" w:cs="Times New Roman"/>
                      <w:color w:val="auto"/>
                      <w:spacing w:val="-1"/>
                      <w:sz w:val="21"/>
                      <w:szCs w:val="21"/>
                    </w:rPr>
                    <w:t>250</w:t>
                  </w:r>
                  <w:r>
                    <w:rPr>
                      <w:rFonts w:hint="default" w:ascii="Times New Roman" w:hAnsi="Times New Roman" w:eastAsia="Times New Roman" w:cs="Times New Roman"/>
                      <w:color w:val="auto"/>
                      <w:sz w:val="21"/>
                      <w:szCs w:val="21"/>
                    </w:rPr>
                    <w:t>0</w:t>
                  </w:r>
                </w:p>
              </w:tc>
              <w:tc>
                <w:tcPr>
                  <w:tcW w:w="749" w:type="pct"/>
                  <w:tcBorders>
                    <w:tl2br w:val="nil"/>
                    <w:tr2bl w:val="nil"/>
                  </w:tcBorders>
                  <w:noWrap w:val="0"/>
                  <w:vAlign w:val="center"/>
                </w:tcPr>
                <w:p w14:paraId="0E67433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vertAlign w:val="baseline"/>
                    </w:rPr>
                  </w:pPr>
                  <w:r>
                    <w:rPr>
                      <w:rFonts w:hint="default" w:ascii="Times New Roman" w:hAnsi="Times New Roman" w:eastAsia="Times New Roman" w:cs="Times New Roman"/>
                      <w:color w:val="auto"/>
                      <w:spacing w:val="-1"/>
                      <w:sz w:val="21"/>
                      <w:szCs w:val="21"/>
                    </w:rPr>
                    <w:t>0.000</w:t>
                  </w:r>
                  <w:r>
                    <w:rPr>
                      <w:rFonts w:hint="default" w:ascii="Times New Roman" w:hAnsi="Times New Roman" w:eastAsia="Times New Roman" w:cs="Times New Roman"/>
                      <w:color w:val="auto"/>
                      <w:sz w:val="21"/>
                      <w:szCs w:val="21"/>
                    </w:rPr>
                    <w:t>008</w:t>
                  </w:r>
                </w:p>
              </w:tc>
            </w:tr>
            <w:tr w14:paraId="441CF8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2" w:type="pct"/>
                  <w:tcBorders>
                    <w:tl2br w:val="nil"/>
                    <w:tr2bl w:val="nil"/>
                  </w:tcBorders>
                  <w:noWrap w:val="0"/>
                  <w:vAlign w:val="center"/>
                </w:tcPr>
                <w:p w14:paraId="5927594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w:t>
                  </w:r>
                </w:p>
              </w:tc>
              <w:tc>
                <w:tcPr>
                  <w:tcW w:w="798" w:type="pct"/>
                  <w:tcBorders>
                    <w:tl2br w:val="nil"/>
                    <w:tr2bl w:val="nil"/>
                  </w:tcBorders>
                  <w:noWrap w:val="0"/>
                  <w:vAlign w:val="center"/>
                </w:tcPr>
                <w:p w14:paraId="599ED6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2"/>
                      <w:sz w:val="21"/>
                      <w:szCs w:val="21"/>
                      <w:lang w:val="en-US" w:eastAsia="zh-CN"/>
                    </w:rPr>
                  </w:pPr>
                  <w:r>
                    <w:rPr>
                      <w:rFonts w:hint="eastAsia" w:cs="Times New Roman"/>
                      <w:color w:val="auto"/>
                      <w:spacing w:val="-2"/>
                      <w:sz w:val="21"/>
                      <w:szCs w:val="21"/>
                      <w:lang w:val="en-US" w:eastAsia="zh-CN"/>
                    </w:rPr>
                    <w:t>天然气管道</w:t>
                  </w:r>
                </w:p>
              </w:tc>
              <w:tc>
                <w:tcPr>
                  <w:tcW w:w="815" w:type="pct"/>
                  <w:tcBorders>
                    <w:tl2br w:val="nil"/>
                    <w:tr2bl w:val="nil"/>
                  </w:tcBorders>
                  <w:noWrap w:val="0"/>
                  <w:vAlign w:val="center"/>
                </w:tcPr>
                <w:p w14:paraId="0A944C7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eastAsia" w:cs="Times New Roman"/>
                      <w:color w:val="auto"/>
                      <w:spacing w:val="-1"/>
                      <w:sz w:val="21"/>
                      <w:szCs w:val="21"/>
                      <w:lang w:val="en-US" w:eastAsia="zh-CN"/>
                    </w:rPr>
                    <w:t>天然气</w:t>
                  </w:r>
                </w:p>
              </w:tc>
              <w:tc>
                <w:tcPr>
                  <w:tcW w:w="1339" w:type="pct"/>
                  <w:tcBorders>
                    <w:tl2br w:val="nil"/>
                    <w:tr2bl w:val="nil"/>
                  </w:tcBorders>
                  <w:noWrap w:val="0"/>
                  <w:vAlign w:val="center"/>
                </w:tcPr>
                <w:p w14:paraId="7DEC48F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2"/>
                      <w:sz w:val="21"/>
                      <w:szCs w:val="21"/>
                      <w:lang w:val="en-US" w:eastAsia="zh-CN"/>
                    </w:rPr>
                  </w:pPr>
                  <w:r>
                    <w:rPr>
                      <w:rFonts w:hint="eastAsia" w:eastAsia="宋体" w:cs="Times New Roman"/>
                      <w:color w:val="auto"/>
                      <w:spacing w:val="-2"/>
                      <w:sz w:val="21"/>
                      <w:szCs w:val="21"/>
                      <w:lang w:val="en-US" w:eastAsia="zh-CN"/>
                    </w:rPr>
                    <w:t>0.10</w:t>
                  </w:r>
                </w:p>
              </w:tc>
              <w:tc>
                <w:tcPr>
                  <w:tcW w:w="824" w:type="pct"/>
                  <w:tcBorders>
                    <w:tl2br w:val="nil"/>
                    <w:tr2bl w:val="nil"/>
                  </w:tcBorders>
                  <w:noWrap w:val="0"/>
                  <w:vAlign w:val="center"/>
                </w:tcPr>
                <w:p w14:paraId="0B0A951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eastAsia" w:eastAsia="宋体" w:cs="Times New Roman"/>
                      <w:color w:val="auto"/>
                      <w:spacing w:val="-1"/>
                      <w:sz w:val="21"/>
                      <w:szCs w:val="21"/>
                      <w:lang w:val="en-US" w:eastAsia="zh-CN"/>
                    </w:rPr>
                    <w:t>10</w:t>
                  </w:r>
                </w:p>
              </w:tc>
              <w:tc>
                <w:tcPr>
                  <w:tcW w:w="749" w:type="pct"/>
                  <w:tcBorders>
                    <w:tl2br w:val="nil"/>
                    <w:tr2bl w:val="nil"/>
                  </w:tcBorders>
                  <w:noWrap w:val="0"/>
                  <w:vAlign w:val="center"/>
                </w:tcPr>
                <w:p w14:paraId="6A482D9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pacing w:val="-1"/>
                      <w:sz w:val="21"/>
                      <w:szCs w:val="21"/>
                      <w:lang w:val="en-US" w:eastAsia="zh-CN"/>
                    </w:rPr>
                  </w:pPr>
                  <w:r>
                    <w:rPr>
                      <w:rFonts w:hint="eastAsia" w:eastAsia="宋体" w:cs="Times New Roman"/>
                      <w:color w:val="auto"/>
                      <w:spacing w:val="-1"/>
                      <w:sz w:val="21"/>
                      <w:szCs w:val="21"/>
                      <w:lang w:val="en-US" w:eastAsia="zh-CN"/>
                    </w:rPr>
                    <w:t>0.01</w:t>
                  </w:r>
                </w:p>
              </w:tc>
            </w:tr>
            <w:tr w14:paraId="1D1D3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0" w:type="pct"/>
                  <w:gridSpan w:val="5"/>
                  <w:tcBorders>
                    <w:tl2br w:val="nil"/>
                    <w:tr2bl w:val="nil"/>
                  </w:tcBorders>
                  <w:noWrap w:val="0"/>
                  <w:vAlign w:val="center"/>
                </w:tcPr>
                <w:p w14:paraId="49140AC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vertAlign w:val="baseline"/>
                      <w:lang w:val="en-US" w:eastAsia="zh-CN"/>
                    </w:rPr>
                  </w:pPr>
                  <w:r>
                    <w:rPr>
                      <w:rFonts w:hint="default" w:ascii="Times New Roman" w:hAnsi="Times New Roman" w:cs="Times New Roman"/>
                      <w:color w:val="auto"/>
                      <w:vertAlign w:val="baseline"/>
                      <w:lang w:val="en-US" w:eastAsia="zh-CN"/>
                    </w:rPr>
                    <w:t>合计</w:t>
                  </w:r>
                </w:p>
              </w:tc>
              <w:tc>
                <w:tcPr>
                  <w:tcW w:w="749" w:type="pct"/>
                  <w:tcBorders>
                    <w:tl2br w:val="nil"/>
                    <w:tr2bl w:val="nil"/>
                  </w:tcBorders>
                  <w:noWrap w:val="0"/>
                  <w:vAlign w:val="center"/>
                </w:tcPr>
                <w:p w14:paraId="18CEA61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vertAlign w:val="baseline"/>
                      <w:lang w:eastAsia="zh-CN"/>
                    </w:rPr>
                  </w:pPr>
                  <w:r>
                    <w:rPr>
                      <w:rFonts w:hint="eastAsia" w:cs="Times New Roman"/>
                      <w:color w:val="auto"/>
                      <w:vertAlign w:val="baseline"/>
                      <w:lang w:eastAsia="zh-CN"/>
                    </w:rPr>
                    <w:t>0.010008</w:t>
                  </w:r>
                </w:p>
              </w:tc>
            </w:tr>
          </w:tbl>
          <w:p w14:paraId="1EEF89BD">
            <w:pPr>
              <w:keepNext w:val="0"/>
              <w:keepLines w:val="0"/>
              <w:pageBreakBefore w:val="0"/>
              <w:widowControl w:val="0"/>
              <w:kinsoku/>
              <w:wordWrap/>
              <w:overflowPunct/>
              <w:topLinePunct w:val="0"/>
              <w:autoSpaceDE/>
              <w:autoSpaceDN/>
              <w:bidi w:val="0"/>
              <w:adjustRightInd/>
              <w:snapToGrid/>
              <w:spacing w:line="360" w:lineRule="auto"/>
              <w:ind w:left="0" w:right="0" w:firstLine="48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根据《建设项目环境风险评估技术导则》(</w:t>
            </w:r>
            <w:r>
              <w:rPr>
                <w:rFonts w:hint="default" w:ascii="Times New Roman" w:hAnsi="Times New Roman" w:eastAsia="Times New Roman" w:cs="Times New Roman"/>
                <w:color w:val="auto"/>
                <w:sz w:val="24"/>
                <w:szCs w:val="24"/>
              </w:rPr>
              <w:t>HJ</w:t>
            </w:r>
            <w:r>
              <w:rPr>
                <w:rFonts w:hint="default" w:ascii="Times New Roman" w:hAnsi="Times New Roman" w:eastAsia="Times New Roman" w:cs="Times New Roman"/>
                <w:color w:val="auto"/>
                <w:spacing w:val="1"/>
                <w:sz w:val="24"/>
                <w:szCs w:val="24"/>
              </w:rPr>
              <w:t>169</w:t>
            </w:r>
            <w:r>
              <w:rPr>
                <w:rFonts w:hint="default" w:ascii="Times New Roman" w:hAnsi="Times New Roman" w:eastAsia="Times New Roman" w:cs="Times New Roman"/>
                <w:color w:val="auto"/>
                <w:sz w:val="24"/>
                <w:szCs w:val="24"/>
              </w:rPr>
              <w:t>-2018</w:t>
            </w:r>
            <w:r>
              <w:rPr>
                <w:rFonts w:hint="default" w:ascii="Times New Roman" w:hAnsi="Times New Roman" w:eastAsia="宋体" w:cs="Times New Roman"/>
                <w:color w:val="auto"/>
                <w:sz w:val="24"/>
                <w:szCs w:val="24"/>
              </w:rPr>
              <w:t>)，拟建项目</w:t>
            </w:r>
            <w:r>
              <w:rPr>
                <w:rFonts w:hint="default" w:ascii="Times New Roman" w:hAnsi="Times New Roman" w:eastAsia="Times New Roman" w:cs="Times New Roman"/>
                <w:color w:val="auto"/>
                <w:sz w:val="24"/>
                <w:szCs w:val="24"/>
              </w:rPr>
              <w:t>Q</w:t>
            </w:r>
            <w:r>
              <w:rPr>
                <w:rFonts w:hint="default" w:ascii="Times New Roman" w:hAnsi="Times New Roman" w:eastAsia="宋体" w:cs="Times New Roman"/>
                <w:color w:val="auto"/>
                <w:sz w:val="24"/>
                <w:szCs w:val="24"/>
              </w:rPr>
              <w:t>值为</w:t>
            </w:r>
            <w:r>
              <w:rPr>
                <w:rFonts w:hint="eastAsia" w:eastAsia="宋体" w:cs="Times New Roman"/>
                <w:color w:val="auto"/>
                <w:sz w:val="24"/>
                <w:szCs w:val="24"/>
                <w:lang w:eastAsia="zh-CN"/>
              </w:rPr>
              <w:t>0.010008</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pacing w:val="9"/>
                <w:sz w:val="24"/>
                <w:szCs w:val="24"/>
              </w:rPr>
              <w:t>属于</w:t>
            </w:r>
            <w:r>
              <w:rPr>
                <w:rFonts w:hint="default" w:ascii="Times New Roman" w:hAnsi="Times New Roman" w:eastAsia="Times New Roman" w:cs="Times New Roman"/>
                <w:color w:val="auto"/>
                <w:sz w:val="24"/>
                <w:szCs w:val="24"/>
              </w:rPr>
              <w:t>Q</w:t>
            </w:r>
            <w:r>
              <w:rPr>
                <w:rFonts w:hint="default" w:ascii="Times New Roman" w:hAnsi="Times New Roman" w:eastAsia="宋体" w:cs="Times New Roman"/>
                <w:color w:val="auto"/>
                <w:spacing w:val="9"/>
                <w:sz w:val="24"/>
                <w:szCs w:val="24"/>
              </w:rPr>
              <w:t>＜</w:t>
            </w:r>
            <w:r>
              <w:rPr>
                <w:rFonts w:hint="default" w:ascii="Times New Roman" w:hAnsi="Times New Roman" w:eastAsia="Times New Roman" w:cs="Times New Roman"/>
                <w:color w:val="auto"/>
                <w:spacing w:val="9"/>
                <w:sz w:val="24"/>
                <w:szCs w:val="24"/>
              </w:rPr>
              <w:t>1</w:t>
            </w:r>
            <w:r>
              <w:rPr>
                <w:rFonts w:hint="default" w:ascii="Times New Roman" w:hAnsi="Times New Roman" w:eastAsia="宋体" w:cs="Times New Roman"/>
                <w:color w:val="auto"/>
                <w:spacing w:val="9"/>
                <w:sz w:val="24"/>
                <w:szCs w:val="24"/>
              </w:rPr>
              <w:t>，拟建项目环境风险潜势为</w:t>
            </w:r>
            <w:r>
              <w:rPr>
                <w:rFonts w:hint="default" w:ascii="Times New Roman" w:hAnsi="Times New Roman" w:eastAsia="Times New Roman" w:cs="Times New Roman"/>
                <w:color w:val="auto"/>
                <w:spacing w:val="9"/>
                <w:sz w:val="24"/>
                <w:szCs w:val="24"/>
              </w:rPr>
              <w:t>Ⅰ</w:t>
            </w:r>
            <w:r>
              <w:rPr>
                <w:rFonts w:hint="default" w:ascii="Times New Roman" w:hAnsi="Times New Roman" w:eastAsia="宋体" w:cs="Times New Roman"/>
                <w:color w:val="auto"/>
                <w:spacing w:val="9"/>
                <w:sz w:val="24"/>
                <w:szCs w:val="24"/>
              </w:rPr>
              <w:t>级，开展简单分析。因此拟建项目未构成危险化学品重大危险源</w:t>
            </w:r>
            <w:r>
              <w:rPr>
                <w:rFonts w:hint="default" w:ascii="Times New Roman" w:hAnsi="Times New Roman" w:eastAsia="宋体" w:cs="Times New Roman"/>
                <w:color w:val="auto"/>
                <w:spacing w:val="6"/>
                <w:sz w:val="24"/>
                <w:szCs w:val="24"/>
              </w:rPr>
              <w:t>。</w:t>
            </w:r>
          </w:p>
          <w:p w14:paraId="3BD07EBE">
            <w:pPr>
              <w:keepNext w:val="0"/>
              <w:keepLines w:val="0"/>
              <w:pageBreakBefore w:val="0"/>
              <w:widowControl w:val="0"/>
              <w:kinsoku/>
              <w:wordWrap/>
              <w:overflowPunct/>
              <w:topLinePunct w:val="0"/>
              <w:autoSpaceDE/>
              <w:autoSpaceDN/>
              <w:bidi w:val="0"/>
              <w:adjustRightInd/>
              <w:snapToGrid/>
              <w:spacing w:line="360" w:lineRule="auto"/>
              <w:ind w:left="0" w:right="0" w:firstLine="59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8"/>
                <w:sz w:val="24"/>
                <w:szCs w:val="24"/>
              </w:rPr>
              <w:t>(</w:t>
            </w:r>
            <w:r>
              <w:rPr>
                <w:rFonts w:hint="default" w:ascii="Times New Roman" w:hAnsi="Times New Roman" w:eastAsia="宋体" w:cs="Times New Roman"/>
                <w:color w:val="auto"/>
                <w:spacing w:val="28"/>
                <w:sz w:val="24"/>
                <w:szCs w:val="24"/>
                <w:lang w:val="en-US" w:eastAsia="zh-CN"/>
              </w:rPr>
              <w:t>三</w:t>
            </w:r>
            <w:r>
              <w:rPr>
                <w:rFonts w:hint="default" w:ascii="Times New Roman" w:hAnsi="Times New Roman" w:eastAsia="宋体" w:cs="Times New Roman"/>
                <w:color w:val="auto"/>
                <w:spacing w:val="22"/>
                <w:sz w:val="24"/>
                <w:szCs w:val="24"/>
              </w:rPr>
              <w:t>)环境风险识别</w:t>
            </w:r>
          </w:p>
          <w:p w14:paraId="5408C016">
            <w:pPr>
              <w:keepNext w:val="0"/>
              <w:keepLines w:val="0"/>
              <w:pageBreakBefore w:val="0"/>
              <w:widowControl w:val="0"/>
              <w:kinsoku/>
              <w:wordWrap/>
              <w:overflowPunct/>
              <w:topLinePunct w:val="0"/>
              <w:autoSpaceDE/>
              <w:autoSpaceDN/>
              <w:bidi w:val="0"/>
              <w:adjustRightInd/>
              <w:snapToGrid/>
              <w:spacing w:line="360" w:lineRule="auto"/>
              <w:ind w:left="0" w:right="0" w:firstLine="456" w:firstLineChars="200"/>
              <w:textAlignment w:val="auto"/>
              <w:rPr>
                <w:rFonts w:hint="default" w:ascii="Times New Roman" w:hAnsi="Times New Roman" w:eastAsia="宋体" w:cs="Times New Roman"/>
                <w:color w:val="auto"/>
                <w:sz w:val="24"/>
                <w:szCs w:val="24"/>
              </w:rPr>
            </w:pPr>
            <w:r>
              <w:rPr>
                <w:rFonts w:hint="default" w:ascii="Times New Roman" w:hAnsi="Times New Roman" w:cs="Times New Roman"/>
                <w:color w:val="auto"/>
                <w:spacing w:val="-6"/>
                <w:sz w:val="24"/>
                <w:szCs w:val="24"/>
                <w:lang w:eastAsia="zh-CN"/>
              </w:rPr>
              <w:t>废润滑油</w:t>
            </w:r>
            <w:r>
              <w:rPr>
                <w:rFonts w:hint="default" w:ascii="Times New Roman" w:hAnsi="Times New Roman" w:eastAsia="宋体" w:cs="Times New Roman"/>
                <w:color w:val="auto"/>
                <w:spacing w:val="-3"/>
                <w:sz w:val="24"/>
                <w:szCs w:val="24"/>
              </w:rPr>
              <w:t>在运输、储存、使用过程中发生洒漏、泄漏。</w:t>
            </w:r>
            <w:r>
              <w:rPr>
                <w:rFonts w:hint="default" w:ascii="Times New Roman" w:hAnsi="Times New Roman" w:eastAsia="宋体" w:cs="Times New Roman"/>
                <w:color w:val="auto"/>
                <w:spacing w:val="-3"/>
                <w:sz w:val="24"/>
                <w:szCs w:val="24"/>
                <w:lang w:eastAsia="zh-CN"/>
              </w:rPr>
              <w:t>危废暂存间</w:t>
            </w:r>
            <w:r>
              <w:rPr>
                <w:rFonts w:hint="default" w:ascii="Times New Roman" w:hAnsi="Times New Roman" w:eastAsia="宋体" w:cs="Times New Roman"/>
                <w:color w:val="auto"/>
                <w:spacing w:val="-3"/>
                <w:sz w:val="24"/>
                <w:szCs w:val="24"/>
              </w:rPr>
              <w:t>地面设置防渗</w:t>
            </w:r>
            <w:r>
              <w:rPr>
                <w:rFonts w:hint="default" w:ascii="Times New Roman" w:hAnsi="Times New Roman" w:eastAsia="宋体" w:cs="Times New Roman"/>
                <w:color w:val="auto"/>
                <w:spacing w:val="-9"/>
                <w:sz w:val="24"/>
                <w:szCs w:val="24"/>
              </w:rPr>
              <w:t>层，进入土壤的可能性较小；在运输的过程中发生洒漏，存在进入对土壤及地下水的可</w:t>
            </w:r>
            <w:r>
              <w:rPr>
                <w:rFonts w:hint="default" w:ascii="Times New Roman" w:hAnsi="Times New Roman" w:eastAsia="宋体" w:cs="Times New Roman"/>
                <w:color w:val="auto"/>
                <w:spacing w:val="-7"/>
                <w:sz w:val="24"/>
                <w:szCs w:val="24"/>
              </w:rPr>
              <w:t>能</w:t>
            </w:r>
            <w:r>
              <w:rPr>
                <w:rFonts w:hint="default" w:ascii="Times New Roman" w:hAnsi="Times New Roman" w:eastAsia="宋体" w:cs="Times New Roman"/>
                <w:color w:val="auto"/>
                <w:spacing w:val="-2"/>
                <w:sz w:val="24"/>
                <w:szCs w:val="24"/>
              </w:rPr>
              <w:t>性；</w:t>
            </w:r>
            <w:r>
              <w:rPr>
                <w:rFonts w:hint="default" w:ascii="Times New Roman" w:hAnsi="Times New Roman" w:eastAsia="宋体" w:cs="Times New Roman"/>
                <w:color w:val="auto"/>
                <w:spacing w:val="-2"/>
                <w:sz w:val="24"/>
                <w:szCs w:val="24"/>
                <w:lang w:eastAsia="zh-CN"/>
              </w:rPr>
              <w:t>废润滑油</w:t>
            </w:r>
            <w:r>
              <w:rPr>
                <w:rFonts w:hint="eastAsia" w:cs="Times New Roman"/>
                <w:color w:val="auto"/>
                <w:spacing w:val="-2"/>
                <w:sz w:val="24"/>
                <w:szCs w:val="24"/>
                <w:lang w:eastAsia="zh-CN"/>
              </w:rPr>
              <w:t>、</w:t>
            </w:r>
            <w:r>
              <w:rPr>
                <w:rFonts w:hint="eastAsia" w:cs="Times New Roman"/>
                <w:color w:val="auto"/>
                <w:spacing w:val="-2"/>
                <w:sz w:val="24"/>
                <w:szCs w:val="24"/>
                <w:lang w:val="en-US" w:eastAsia="zh-CN"/>
              </w:rPr>
              <w:t>天然气</w:t>
            </w:r>
            <w:r>
              <w:rPr>
                <w:rFonts w:hint="default" w:ascii="Times New Roman" w:hAnsi="Times New Roman" w:eastAsia="宋体" w:cs="Times New Roman"/>
                <w:color w:val="auto"/>
                <w:spacing w:val="-1"/>
                <w:sz w:val="24"/>
                <w:szCs w:val="24"/>
              </w:rPr>
              <w:t>燃烧产生的次生污染物</w:t>
            </w:r>
            <w:r>
              <w:rPr>
                <w:rFonts w:hint="default" w:ascii="Times New Roman" w:hAnsi="Times New Roman" w:eastAsia="Times New Roman" w:cs="Times New Roman"/>
                <w:color w:val="auto"/>
                <w:spacing w:val="-1"/>
                <w:sz w:val="24"/>
                <w:szCs w:val="24"/>
              </w:rPr>
              <w:t>CO</w:t>
            </w:r>
            <w:r>
              <w:rPr>
                <w:rFonts w:hint="default" w:ascii="Times New Roman" w:hAnsi="Times New Roman" w:eastAsia="宋体" w:cs="Times New Roman"/>
                <w:color w:val="auto"/>
                <w:spacing w:val="-1"/>
                <w:sz w:val="24"/>
                <w:szCs w:val="24"/>
              </w:rPr>
              <w:t>对大气环境造成影响；发生火灾事故，事</w:t>
            </w:r>
            <w:r>
              <w:rPr>
                <w:rFonts w:hint="default" w:ascii="Times New Roman" w:hAnsi="Times New Roman" w:eastAsia="宋体" w:cs="Times New Roman"/>
                <w:color w:val="auto"/>
                <w:spacing w:val="-2"/>
                <w:sz w:val="24"/>
                <w:szCs w:val="24"/>
              </w:rPr>
              <w:t>故废水对土壤、地表水、地下水产生影响。</w:t>
            </w:r>
          </w:p>
          <w:p w14:paraId="1A46A210">
            <w:pPr>
              <w:keepNext w:val="0"/>
              <w:keepLines w:val="0"/>
              <w:pageBreakBefore w:val="0"/>
              <w:widowControl w:val="0"/>
              <w:kinsoku/>
              <w:wordWrap/>
              <w:overflowPunct/>
              <w:topLinePunct w:val="0"/>
              <w:autoSpaceDE/>
              <w:autoSpaceDN/>
              <w:bidi w:val="0"/>
              <w:adjustRightInd/>
              <w:snapToGrid/>
              <w:spacing w:line="360" w:lineRule="auto"/>
              <w:ind w:left="0" w:right="0" w:firstLine="54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6"/>
                <w:sz w:val="24"/>
                <w:szCs w:val="24"/>
              </w:rPr>
              <w:t>(</w:t>
            </w:r>
            <w:r>
              <w:rPr>
                <w:rFonts w:hint="default" w:ascii="Times New Roman" w:hAnsi="Times New Roman" w:eastAsia="宋体" w:cs="Times New Roman"/>
                <w:color w:val="auto"/>
                <w:spacing w:val="16"/>
                <w:sz w:val="24"/>
                <w:szCs w:val="24"/>
                <w:lang w:val="en-US" w:eastAsia="zh-CN"/>
              </w:rPr>
              <w:t>四</w:t>
            </w:r>
            <w:r>
              <w:rPr>
                <w:rFonts w:hint="default" w:ascii="Times New Roman" w:hAnsi="Times New Roman" w:eastAsia="宋体" w:cs="Times New Roman"/>
                <w:color w:val="auto"/>
                <w:spacing w:val="16"/>
                <w:sz w:val="24"/>
                <w:szCs w:val="24"/>
              </w:rPr>
              <w:t>)风险防范措施及应急要求</w:t>
            </w:r>
          </w:p>
          <w:p w14:paraId="20563A6B">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4"/>
                <w:sz w:val="24"/>
                <w:szCs w:val="24"/>
              </w:rPr>
              <w:t>1</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eastAsia="zh-CN"/>
              </w:rPr>
              <w:t>危废暂存间</w:t>
            </w:r>
            <w:r>
              <w:rPr>
                <w:rFonts w:hint="default" w:ascii="Times New Roman" w:hAnsi="Times New Roman" w:eastAsia="宋体" w:cs="Times New Roman"/>
                <w:color w:val="auto"/>
                <w:spacing w:val="-4"/>
                <w:sz w:val="24"/>
                <w:szCs w:val="24"/>
              </w:rPr>
              <w:t>地面要用坚固、防渗的材料建造，必须做好地面硬化且表面无裂缝</w:t>
            </w:r>
            <w:r>
              <w:rPr>
                <w:rFonts w:hint="default" w:ascii="Times New Roman" w:hAnsi="Times New Roman" w:eastAsia="宋体" w:cs="Times New Roman"/>
                <w:color w:val="auto"/>
                <w:spacing w:val="-3"/>
                <w:sz w:val="24"/>
                <w:szCs w:val="24"/>
              </w:rPr>
              <w:t>；</w:t>
            </w:r>
          </w:p>
          <w:p w14:paraId="175C3211">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4"/>
                <w:sz w:val="24"/>
                <w:szCs w:val="24"/>
              </w:rPr>
              <w:t>2</w:t>
            </w:r>
            <w:r>
              <w:rPr>
                <w:rFonts w:hint="default" w:ascii="Times New Roman" w:hAnsi="Times New Roman" w:eastAsia="宋体" w:cs="Times New Roman"/>
                <w:color w:val="auto"/>
                <w:spacing w:val="-4"/>
                <w:sz w:val="24"/>
                <w:szCs w:val="24"/>
              </w:rPr>
              <w:t>、厂区内配备必要的消防设备</w:t>
            </w:r>
            <w:r>
              <w:rPr>
                <w:rFonts w:hint="default" w:ascii="Times New Roman" w:hAnsi="Times New Roman" w:eastAsia="宋体" w:cs="Times New Roman"/>
                <w:color w:val="auto"/>
                <w:spacing w:val="-2"/>
                <w:sz w:val="24"/>
                <w:szCs w:val="24"/>
              </w:rPr>
              <w:t>；</w:t>
            </w:r>
          </w:p>
          <w:p w14:paraId="06C3C5E8">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2"/>
                <w:sz w:val="24"/>
                <w:szCs w:val="24"/>
              </w:rPr>
              <w:t>3</w:t>
            </w:r>
            <w:r>
              <w:rPr>
                <w:rFonts w:hint="default" w:ascii="Times New Roman" w:hAnsi="Times New Roman" w:eastAsia="宋体" w:cs="Times New Roman"/>
                <w:color w:val="auto"/>
                <w:spacing w:val="-2"/>
                <w:sz w:val="24"/>
                <w:szCs w:val="24"/>
              </w:rPr>
              <w:t>、厂区内各设施留有的防火间距，对无法留足防火间距的</w:t>
            </w:r>
            <w:r>
              <w:rPr>
                <w:rFonts w:hint="default" w:ascii="Times New Roman" w:hAnsi="Times New Roman" w:eastAsia="宋体" w:cs="Times New Roman"/>
                <w:color w:val="auto"/>
                <w:spacing w:val="-1"/>
                <w:sz w:val="24"/>
                <w:szCs w:val="24"/>
              </w:rPr>
              <w:t>采用防火墙进行分隔；</w:t>
            </w:r>
          </w:p>
          <w:p w14:paraId="11345E0B">
            <w:pPr>
              <w:keepNext w:val="0"/>
              <w:keepLines w:val="0"/>
              <w:pageBreakBefore w:val="0"/>
              <w:widowControl w:val="0"/>
              <w:kinsoku/>
              <w:wordWrap/>
              <w:overflowPunct/>
              <w:topLinePunct w:val="0"/>
              <w:autoSpaceDE/>
              <w:autoSpaceDN/>
              <w:bidi w:val="0"/>
              <w:adjustRightInd/>
              <w:snapToGrid/>
              <w:spacing w:line="360" w:lineRule="auto"/>
              <w:ind w:left="0" w:right="0" w:firstLine="49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4"/>
                <w:sz w:val="24"/>
                <w:szCs w:val="24"/>
              </w:rPr>
              <w:t>4</w:t>
            </w:r>
            <w:r>
              <w:rPr>
                <w:rFonts w:hint="default" w:ascii="Times New Roman" w:hAnsi="Times New Roman" w:eastAsia="宋体" w:cs="Times New Roman"/>
                <w:color w:val="auto"/>
                <w:spacing w:val="4"/>
                <w:sz w:val="24"/>
                <w:szCs w:val="24"/>
              </w:rPr>
              <w:t>、建立巡检机制，对堆放</w:t>
            </w:r>
            <w:r>
              <w:rPr>
                <w:rFonts w:hint="default" w:ascii="Times New Roman" w:hAnsi="Times New Roman" w:eastAsia="宋体" w:cs="Times New Roman"/>
                <w:color w:val="auto"/>
                <w:spacing w:val="2"/>
                <w:sz w:val="24"/>
                <w:szCs w:val="24"/>
              </w:rPr>
              <w:t>具有可燃性的原料、产品的车间按时检查，车间内物料不</w:t>
            </w:r>
            <w:r>
              <w:rPr>
                <w:rFonts w:hint="default" w:ascii="Times New Roman" w:hAnsi="Times New Roman" w:eastAsia="宋体" w:cs="Times New Roman"/>
                <w:color w:val="auto"/>
                <w:spacing w:val="-6"/>
                <w:sz w:val="24"/>
                <w:szCs w:val="24"/>
              </w:rPr>
              <w:t>易堆放</w:t>
            </w:r>
            <w:r>
              <w:rPr>
                <w:rFonts w:hint="default" w:ascii="Times New Roman" w:hAnsi="Times New Roman" w:eastAsia="宋体" w:cs="Times New Roman"/>
                <w:color w:val="auto"/>
                <w:spacing w:val="-5"/>
                <w:sz w:val="24"/>
                <w:szCs w:val="24"/>
              </w:rPr>
              <w:t>过</w:t>
            </w:r>
            <w:r>
              <w:rPr>
                <w:rFonts w:hint="default" w:ascii="Times New Roman" w:hAnsi="Times New Roman" w:eastAsia="宋体" w:cs="Times New Roman"/>
                <w:color w:val="auto"/>
                <w:spacing w:val="-3"/>
                <w:sz w:val="24"/>
                <w:szCs w:val="24"/>
              </w:rPr>
              <w:t>多，并应具有一定间隔。</w:t>
            </w:r>
          </w:p>
          <w:p w14:paraId="2CCA5986">
            <w:pPr>
              <w:keepNext w:val="0"/>
              <w:keepLines w:val="0"/>
              <w:pageBreakBefore w:val="0"/>
              <w:widowControl w:val="0"/>
              <w:kinsoku/>
              <w:wordWrap/>
              <w:overflowPunct/>
              <w:topLinePunct w:val="0"/>
              <w:autoSpaceDE/>
              <w:autoSpaceDN/>
              <w:bidi w:val="0"/>
              <w:adjustRightInd/>
              <w:snapToGrid/>
              <w:spacing w:line="360" w:lineRule="auto"/>
              <w:ind w:left="0" w:right="0" w:firstLine="49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Times New Roman" w:cs="Times New Roman"/>
                <w:color w:val="auto"/>
                <w:spacing w:val="4"/>
                <w:sz w:val="24"/>
                <w:szCs w:val="24"/>
              </w:rPr>
              <w:t>5</w:t>
            </w:r>
            <w:r>
              <w:rPr>
                <w:rFonts w:hint="default" w:ascii="Times New Roman" w:hAnsi="Times New Roman" w:eastAsia="宋体" w:cs="Times New Roman"/>
                <w:color w:val="auto"/>
                <w:spacing w:val="4"/>
                <w:sz w:val="24"/>
                <w:szCs w:val="24"/>
              </w:rPr>
              <w:t>、督促企业进行定期、不</w:t>
            </w:r>
            <w:r>
              <w:rPr>
                <w:rFonts w:hint="default" w:ascii="Times New Roman" w:hAnsi="Times New Roman" w:eastAsia="宋体" w:cs="Times New Roman"/>
                <w:color w:val="auto"/>
                <w:spacing w:val="2"/>
                <w:sz w:val="24"/>
                <w:szCs w:val="24"/>
              </w:rPr>
              <w:t>定期的自检自查，落实各项消防安全管理制度，不断加强</w:t>
            </w:r>
            <w:r>
              <w:rPr>
                <w:rFonts w:hint="default" w:ascii="Times New Roman" w:hAnsi="Times New Roman" w:eastAsia="宋体" w:cs="Times New Roman"/>
                <w:color w:val="auto"/>
                <w:spacing w:val="-8"/>
                <w:sz w:val="24"/>
                <w:szCs w:val="24"/>
              </w:rPr>
              <w:t>消防工作。</w:t>
            </w:r>
          </w:p>
          <w:p w14:paraId="19D14FEF">
            <w:pPr>
              <w:keepNext w:val="0"/>
              <w:keepLines w:val="0"/>
              <w:pageBreakBefore w:val="0"/>
              <w:widowControl w:val="0"/>
              <w:kinsoku/>
              <w:wordWrap/>
              <w:overflowPunct/>
              <w:topLinePunct w:val="0"/>
              <w:autoSpaceDE/>
              <w:autoSpaceDN/>
              <w:bidi w:val="0"/>
              <w:adjustRightInd/>
              <w:snapToGrid/>
              <w:spacing w:line="360" w:lineRule="auto"/>
              <w:ind w:left="0" w:right="0" w:firstLine="59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8"/>
                <w:sz w:val="24"/>
                <w:szCs w:val="24"/>
              </w:rPr>
              <w:t>(</w:t>
            </w:r>
            <w:r>
              <w:rPr>
                <w:rFonts w:hint="default" w:ascii="Times New Roman" w:hAnsi="Times New Roman" w:eastAsia="宋体" w:cs="Times New Roman"/>
                <w:color w:val="auto"/>
                <w:spacing w:val="28"/>
                <w:sz w:val="24"/>
                <w:szCs w:val="24"/>
                <w:lang w:val="en-US" w:eastAsia="zh-CN"/>
              </w:rPr>
              <w:t>五</w:t>
            </w:r>
            <w:r>
              <w:rPr>
                <w:rFonts w:hint="default" w:ascii="Times New Roman" w:hAnsi="Times New Roman" w:eastAsia="宋体" w:cs="Times New Roman"/>
                <w:color w:val="auto"/>
                <w:spacing w:val="23"/>
                <w:sz w:val="24"/>
                <w:szCs w:val="24"/>
              </w:rPr>
              <w:t>)风险评估结论</w:t>
            </w:r>
          </w:p>
          <w:p w14:paraId="18638743">
            <w:pPr>
              <w:keepNext w:val="0"/>
              <w:keepLines w:val="0"/>
              <w:pageBreakBefore w:val="0"/>
              <w:widowControl w:val="0"/>
              <w:kinsoku/>
              <w:wordWrap/>
              <w:overflowPunct/>
              <w:topLinePunct w:val="0"/>
              <w:autoSpaceDE/>
              <w:autoSpaceDN/>
              <w:bidi w:val="0"/>
              <w:adjustRightInd/>
              <w:snapToGrid/>
              <w:spacing w:line="360" w:lineRule="auto"/>
              <w:ind w:left="0" w:right="0" w:firstLine="45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拟建项目主要存</w:t>
            </w:r>
            <w:r>
              <w:rPr>
                <w:rFonts w:hint="default" w:ascii="Times New Roman" w:hAnsi="Times New Roman" w:eastAsia="宋体" w:cs="Times New Roman"/>
                <w:color w:val="auto"/>
                <w:spacing w:val="-4"/>
                <w:sz w:val="24"/>
                <w:szCs w:val="24"/>
              </w:rPr>
              <w:t>在</w:t>
            </w:r>
            <w:r>
              <w:rPr>
                <w:rFonts w:hint="default" w:ascii="Times New Roman" w:hAnsi="Times New Roman" w:eastAsia="宋体" w:cs="Times New Roman"/>
                <w:color w:val="auto"/>
                <w:spacing w:val="-3"/>
                <w:sz w:val="24"/>
                <w:szCs w:val="24"/>
              </w:rPr>
              <w:t>的环境风险为</w:t>
            </w:r>
            <w:r>
              <w:rPr>
                <w:rFonts w:hint="default" w:ascii="Times New Roman" w:hAnsi="Times New Roman" w:eastAsia="宋体" w:cs="Times New Roman"/>
                <w:color w:val="auto"/>
                <w:spacing w:val="-3"/>
                <w:sz w:val="24"/>
                <w:szCs w:val="24"/>
                <w:lang w:eastAsia="zh-CN"/>
              </w:rPr>
              <w:t>废润滑油</w:t>
            </w:r>
            <w:r>
              <w:rPr>
                <w:rFonts w:hint="default" w:ascii="Times New Roman" w:hAnsi="Times New Roman" w:eastAsia="宋体" w:cs="Times New Roman"/>
                <w:color w:val="auto"/>
                <w:spacing w:val="-3"/>
                <w:sz w:val="24"/>
                <w:szCs w:val="24"/>
              </w:rPr>
              <w:t>、废油桶在运输、储存过程中洒漏、泄漏以</w:t>
            </w:r>
            <w:r>
              <w:rPr>
                <w:rFonts w:hint="default" w:ascii="Times New Roman" w:hAnsi="Times New Roman" w:eastAsia="宋体" w:cs="Times New Roman"/>
                <w:color w:val="auto"/>
                <w:spacing w:val="-6"/>
                <w:sz w:val="24"/>
                <w:szCs w:val="24"/>
              </w:rPr>
              <w:t>及火灾事故</w:t>
            </w:r>
            <w:r>
              <w:rPr>
                <w:rFonts w:hint="default" w:ascii="Times New Roman" w:hAnsi="Times New Roman" w:eastAsia="宋体" w:cs="Times New Roman"/>
                <w:color w:val="auto"/>
                <w:spacing w:val="-3"/>
                <w:sz w:val="24"/>
                <w:szCs w:val="24"/>
              </w:rPr>
              <w:t>。通过以上分析，在做好预防措施的情况下发生环境风险的可能性也极小。如</w:t>
            </w:r>
            <w:r>
              <w:rPr>
                <w:rFonts w:hint="default" w:ascii="Times New Roman" w:hAnsi="Times New Roman" w:eastAsia="宋体" w:cs="Times New Roman"/>
                <w:color w:val="auto"/>
                <w:spacing w:val="-12"/>
                <w:sz w:val="24"/>
                <w:szCs w:val="24"/>
              </w:rPr>
              <w:t>果</w:t>
            </w:r>
            <w:r>
              <w:rPr>
                <w:rFonts w:hint="default" w:ascii="Times New Roman" w:hAnsi="Times New Roman" w:eastAsia="宋体" w:cs="Times New Roman"/>
                <w:color w:val="auto"/>
                <w:spacing w:val="-9"/>
                <w:sz w:val="24"/>
                <w:szCs w:val="24"/>
              </w:rPr>
              <w:t>一</w:t>
            </w:r>
            <w:r>
              <w:rPr>
                <w:rFonts w:hint="default" w:ascii="Times New Roman" w:hAnsi="Times New Roman" w:eastAsia="宋体" w:cs="Times New Roman"/>
                <w:color w:val="auto"/>
                <w:spacing w:val="-6"/>
                <w:sz w:val="24"/>
                <w:szCs w:val="24"/>
              </w:rPr>
              <w:t>旦发生泄漏、洒漏或火灾事故，按照指定的事故应急措施进行应急处理，对周围环境</w:t>
            </w:r>
            <w:r>
              <w:rPr>
                <w:rFonts w:hint="default" w:ascii="Times New Roman" w:hAnsi="Times New Roman" w:eastAsia="宋体" w:cs="Times New Roman"/>
                <w:color w:val="auto"/>
                <w:spacing w:val="-2"/>
                <w:sz w:val="24"/>
                <w:szCs w:val="24"/>
              </w:rPr>
              <w:t>造成的影响有限，因此拟建项目</w:t>
            </w:r>
            <w:r>
              <w:rPr>
                <w:rFonts w:hint="default" w:ascii="Times New Roman" w:hAnsi="Times New Roman" w:eastAsia="宋体" w:cs="Times New Roman"/>
                <w:color w:val="auto"/>
                <w:spacing w:val="-1"/>
                <w:sz w:val="24"/>
                <w:szCs w:val="24"/>
              </w:rPr>
              <w:t>从环境风险角度而言是可行的。</w:t>
            </w:r>
          </w:p>
          <w:p w14:paraId="2845B3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rPr>
            </w:pPr>
            <w:r>
              <w:rPr>
                <w:rFonts w:hint="default" w:ascii="Times New Roman" w:hAnsi="Times New Roman" w:eastAsia="黑体" w:cs="Times New Roman"/>
                <w:b w:val="0"/>
                <w:bCs w:val="0"/>
                <w:color w:val="auto"/>
                <w:kern w:val="0"/>
                <w:sz w:val="24"/>
                <w:szCs w:val="24"/>
                <w:lang w:val="en-US" w:eastAsia="zh-CN"/>
              </w:rPr>
              <w:t>表4-14  建设项目环境风险简单分析内容表</w:t>
            </w:r>
          </w:p>
          <w:tbl>
            <w:tblPr>
              <w:tblStyle w:val="24"/>
              <w:tblW w:w="4998"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263"/>
              <w:gridCol w:w="1473"/>
              <w:gridCol w:w="1708"/>
              <w:gridCol w:w="853"/>
              <w:gridCol w:w="1646"/>
            </w:tblGrid>
            <w:tr w14:paraId="6D17DD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424" w:type="pct"/>
                  <w:tcBorders>
                    <w:tl2br w:val="nil"/>
                    <w:tr2bl w:val="nil"/>
                  </w:tcBorders>
                  <w:noWrap w:val="0"/>
                  <w:vAlign w:val="center"/>
                </w:tcPr>
                <w:p w14:paraId="254036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建设项目名称</w:t>
                  </w:r>
                </w:p>
              </w:tc>
              <w:tc>
                <w:tcPr>
                  <w:tcW w:w="3575" w:type="pct"/>
                  <w:gridSpan w:val="4"/>
                  <w:tcBorders>
                    <w:tl2br w:val="nil"/>
                    <w:tr2bl w:val="nil"/>
                  </w:tcBorders>
                  <w:noWrap w:val="0"/>
                  <w:vAlign w:val="center"/>
                </w:tcPr>
                <w:p w14:paraId="5DA2F0EF">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cs="Times New Roman"/>
                      <w:i w:val="0"/>
                      <w:iCs w:val="0"/>
                      <w:color w:val="auto"/>
                      <w:kern w:val="0"/>
                      <w:sz w:val="21"/>
                      <w:szCs w:val="21"/>
                      <w:u w:val="none"/>
                      <w:lang w:val="en-US" w:eastAsia="zh-CN" w:bidi="ar"/>
                    </w:rPr>
                    <w:t>年产500吨铝铁红技改项目</w:t>
                  </w:r>
                </w:p>
              </w:tc>
            </w:tr>
            <w:tr w14:paraId="50EE62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424" w:type="pct"/>
                  <w:tcBorders>
                    <w:tl2br w:val="nil"/>
                    <w:tr2bl w:val="nil"/>
                  </w:tcBorders>
                  <w:noWrap w:val="0"/>
                  <w:vAlign w:val="center"/>
                </w:tcPr>
                <w:p w14:paraId="5A507D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建设地点</w:t>
                  </w:r>
                </w:p>
              </w:tc>
              <w:tc>
                <w:tcPr>
                  <w:tcW w:w="3575" w:type="pct"/>
                  <w:gridSpan w:val="4"/>
                  <w:tcBorders>
                    <w:tl2br w:val="nil"/>
                    <w:tr2bl w:val="nil"/>
                  </w:tcBorders>
                  <w:noWrap w:val="0"/>
                  <w:vAlign w:val="center"/>
                </w:tcPr>
                <w:p w14:paraId="206F648D">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cs="Times New Roman"/>
                      <w:i w:val="0"/>
                      <w:iCs w:val="0"/>
                      <w:color w:val="auto"/>
                      <w:kern w:val="0"/>
                      <w:sz w:val="21"/>
                      <w:szCs w:val="21"/>
                      <w:u w:val="none"/>
                      <w:lang w:val="en-US" w:eastAsia="zh-CN" w:bidi="ar"/>
                    </w:rPr>
                    <w:t>淄博市淄川区西外环路将军路街道办事处河洼工业园北首（锦明陶瓷现有厂区内）</w:t>
                  </w:r>
                </w:p>
              </w:tc>
            </w:tr>
            <w:tr w14:paraId="19EF3D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40" w:hRule="atLeast"/>
              </w:trPr>
              <w:tc>
                <w:tcPr>
                  <w:tcW w:w="1424" w:type="pct"/>
                  <w:tcBorders>
                    <w:tl2br w:val="nil"/>
                    <w:tr2bl w:val="nil"/>
                  </w:tcBorders>
                  <w:noWrap w:val="0"/>
                  <w:vAlign w:val="center"/>
                </w:tcPr>
                <w:p w14:paraId="357A4C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地理坐标</w:t>
                  </w:r>
                </w:p>
              </w:tc>
              <w:tc>
                <w:tcPr>
                  <w:tcW w:w="927" w:type="pct"/>
                  <w:tcBorders>
                    <w:tl2br w:val="nil"/>
                    <w:tr2bl w:val="nil"/>
                  </w:tcBorders>
                  <w:noWrap w:val="0"/>
                  <w:vAlign w:val="center"/>
                </w:tcPr>
                <w:p w14:paraId="10FE1F98">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经度</w:t>
                  </w:r>
                </w:p>
              </w:tc>
              <w:tc>
                <w:tcPr>
                  <w:tcW w:w="1075" w:type="pct"/>
                  <w:tcBorders>
                    <w:tl2br w:val="nil"/>
                    <w:tr2bl w:val="nil"/>
                  </w:tcBorders>
                  <w:noWrap w:val="0"/>
                  <w:vAlign w:val="center"/>
                </w:tcPr>
                <w:p w14:paraId="050CA471">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E</w:t>
                  </w:r>
                  <w:r>
                    <w:rPr>
                      <w:rFonts w:hint="default" w:ascii="Times New Roman" w:hAnsi="Times New Roman" w:cs="Times New Roman"/>
                      <w:i w:val="0"/>
                      <w:iCs w:val="0"/>
                      <w:color w:val="auto"/>
                      <w:kern w:val="0"/>
                      <w:sz w:val="21"/>
                      <w:szCs w:val="21"/>
                      <w:u w:val="none"/>
                      <w:lang w:val="en-US" w:eastAsia="zh-CN" w:bidi="ar"/>
                    </w:rPr>
                    <w:t>117°55′42.229″</w:t>
                  </w:r>
                </w:p>
              </w:tc>
              <w:tc>
                <w:tcPr>
                  <w:tcW w:w="537" w:type="pct"/>
                  <w:tcBorders>
                    <w:tl2br w:val="nil"/>
                    <w:tr2bl w:val="nil"/>
                  </w:tcBorders>
                  <w:noWrap w:val="0"/>
                  <w:vAlign w:val="center"/>
                </w:tcPr>
                <w:p w14:paraId="3E9A41E8">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纬度</w:t>
                  </w:r>
                </w:p>
              </w:tc>
              <w:tc>
                <w:tcPr>
                  <w:tcW w:w="1034" w:type="pct"/>
                  <w:tcBorders>
                    <w:tl2br w:val="nil"/>
                    <w:tr2bl w:val="nil"/>
                  </w:tcBorders>
                  <w:noWrap w:val="0"/>
                  <w:vAlign w:val="center"/>
                </w:tcPr>
                <w:p w14:paraId="62CB0F0A">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N</w:t>
                  </w:r>
                  <w:r>
                    <w:rPr>
                      <w:rFonts w:hint="default" w:ascii="Times New Roman" w:hAnsi="Times New Roman" w:cs="Times New Roman"/>
                      <w:i w:val="0"/>
                      <w:iCs w:val="0"/>
                      <w:color w:val="auto"/>
                      <w:kern w:val="0"/>
                      <w:sz w:val="21"/>
                      <w:szCs w:val="21"/>
                      <w:u w:val="none"/>
                      <w:lang w:val="en-US" w:eastAsia="zh-CN" w:bidi="ar"/>
                    </w:rPr>
                    <w:t>36°37′57.257″</w:t>
                  </w:r>
                </w:p>
              </w:tc>
            </w:tr>
            <w:tr w14:paraId="25CD6B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424" w:type="pct"/>
                  <w:vMerge w:val="restart"/>
                  <w:tcBorders>
                    <w:tl2br w:val="nil"/>
                    <w:tr2bl w:val="nil"/>
                  </w:tcBorders>
                  <w:noWrap w:val="0"/>
                  <w:vAlign w:val="center"/>
                </w:tcPr>
                <w:p w14:paraId="1CA5FFE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主要危险物质及分布</w:t>
                  </w:r>
                </w:p>
              </w:tc>
              <w:tc>
                <w:tcPr>
                  <w:tcW w:w="3575" w:type="pct"/>
                  <w:gridSpan w:val="4"/>
                  <w:vMerge w:val="restart"/>
                  <w:tcBorders>
                    <w:tl2br w:val="nil"/>
                    <w:tr2bl w:val="nil"/>
                  </w:tcBorders>
                  <w:noWrap w:val="0"/>
                  <w:vAlign w:val="center"/>
                </w:tcPr>
                <w:p w14:paraId="2B299D0D">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cs="Times New Roman"/>
                      <w:i w:val="0"/>
                      <w:iCs w:val="0"/>
                      <w:color w:val="auto"/>
                      <w:kern w:val="0"/>
                      <w:sz w:val="21"/>
                      <w:szCs w:val="21"/>
                      <w:u w:val="none"/>
                      <w:lang w:val="en-US" w:eastAsia="zh-CN" w:bidi="ar"/>
                    </w:rPr>
                    <w:t>废润滑油</w:t>
                  </w:r>
                  <w:r>
                    <w:rPr>
                      <w:rFonts w:hint="default" w:ascii="Times New Roman" w:hAnsi="Times New Roman" w:eastAsia="宋体" w:cs="Times New Roman"/>
                      <w:i w:val="0"/>
                      <w:iCs w:val="0"/>
                      <w:color w:val="auto"/>
                      <w:kern w:val="0"/>
                      <w:sz w:val="21"/>
                      <w:szCs w:val="21"/>
                      <w:u w:val="none"/>
                      <w:lang w:val="en-US" w:eastAsia="zh-CN" w:bidi="ar"/>
                    </w:rPr>
                    <w:t>、废油桶存在于危废暂存间</w:t>
                  </w:r>
                  <w:r>
                    <w:rPr>
                      <w:rFonts w:hint="eastAsia" w:cs="Times New Roman"/>
                      <w:i w:val="0"/>
                      <w:iCs w:val="0"/>
                      <w:color w:val="auto"/>
                      <w:kern w:val="0"/>
                      <w:sz w:val="21"/>
                      <w:szCs w:val="21"/>
                      <w:u w:val="none"/>
                      <w:lang w:val="en-US" w:eastAsia="zh-CN" w:bidi="ar"/>
                    </w:rPr>
                    <w:t>，天然气存在于管道</w:t>
                  </w:r>
                </w:p>
              </w:tc>
            </w:tr>
            <w:tr w14:paraId="531E07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424" w:type="pct"/>
                  <w:vMerge w:val="continue"/>
                  <w:tcBorders>
                    <w:tl2br w:val="nil"/>
                    <w:tr2bl w:val="nil"/>
                  </w:tcBorders>
                  <w:noWrap w:val="0"/>
                  <w:vAlign w:val="center"/>
                </w:tcPr>
                <w:p w14:paraId="501EA328">
                  <w:pPr>
                    <w:jc w:val="center"/>
                    <w:rPr>
                      <w:rFonts w:hint="default" w:ascii="Times New Roman" w:hAnsi="Times New Roman" w:eastAsia="宋体" w:cs="Times New Roman"/>
                      <w:i w:val="0"/>
                      <w:iCs w:val="0"/>
                      <w:color w:val="auto"/>
                      <w:sz w:val="21"/>
                      <w:szCs w:val="21"/>
                      <w:u w:val="none"/>
                    </w:rPr>
                  </w:pPr>
                </w:p>
              </w:tc>
              <w:tc>
                <w:tcPr>
                  <w:tcW w:w="3575" w:type="pct"/>
                  <w:gridSpan w:val="4"/>
                  <w:vMerge w:val="continue"/>
                  <w:tcBorders>
                    <w:tl2br w:val="nil"/>
                    <w:tr2bl w:val="nil"/>
                  </w:tcBorders>
                  <w:noWrap w:val="0"/>
                  <w:vAlign w:val="center"/>
                </w:tcPr>
                <w:p w14:paraId="1548BF9A">
                  <w:pPr>
                    <w:jc w:val="left"/>
                    <w:rPr>
                      <w:rFonts w:hint="default" w:ascii="Times New Roman" w:hAnsi="Times New Roman" w:eastAsia="宋体" w:cs="Times New Roman"/>
                      <w:i w:val="0"/>
                      <w:iCs w:val="0"/>
                      <w:color w:val="auto"/>
                      <w:sz w:val="21"/>
                      <w:szCs w:val="21"/>
                      <w:u w:val="none"/>
                    </w:rPr>
                  </w:pPr>
                </w:p>
              </w:tc>
            </w:tr>
            <w:tr w14:paraId="0C8DD3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424" w:type="pct"/>
                  <w:vMerge w:val="restart"/>
                  <w:tcBorders>
                    <w:tl2br w:val="nil"/>
                    <w:tr2bl w:val="nil"/>
                  </w:tcBorders>
                  <w:noWrap w:val="0"/>
                  <w:vAlign w:val="center"/>
                </w:tcPr>
                <w:p w14:paraId="126C92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环境影响途径及危害后果</w:t>
                  </w:r>
                </w:p>
              </w:tc>
              <w:tc>
                <w:tcPr>
                  <w:tcW w:w="3575" w:type="pct"/>
                  <w:gridSpan w:val="4"/>
                  <w:vMerge w:val="restart"/>
                  <w:tcBorders>
                    <w:tl2br w:val="nil"/>
                    <w:tr2bl w:val="nil"/>
                  </w:tcBorders>
                  <w:noWrap w:val="0"/>
                  <w:vAlign w:val="center"/>
                </w:tcPr>
                <w:p w14:paraId="6602EDE8">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cs="Times New Roman"/>
                      <w:i w:val="0"/>
                      <w:iCs w:val="0"/>
                      <w:color w:val="auto"/>
                      <w:kern w:val="0"/>
                      <w:sz w:val="21"/>
                      <w:szCs w:val="21"/>
                      <w:u w:val="none"/>
                      <w:lang w:val="en-US" w:eastAsia="zh-CN" w:bidi="ar"/>
                    </w:rPr>
                    <w:t>废润滑油</w:t>
                  </w:r>
                  <w:r>
                    <w:rPr>
                      <w:rFonts w:hint="default" w:ascii="Times New Roman" w:hAnsi="Times New Roman" w:eastAsia="宋体" w:cs="Times New Roman"/>
                      <w:i w:val="0"/>
                      <w:iCs w:val="0"/>
                      <w:color w:val="auto"/>
                      <w:kern w:val="0"/>
                      <w:sz w:val="21"/>
                      <w:szCs w:val="21"/>
                      <w:u w:val="none"/>
                      <w:lang w:val="en-US" w:eastAsia="zh-CN" w:bidi="ar"/>
                    </w:rPr>
                    <w:t>为易燃液体，洒漏后容易发生火灾及爆炸事故，造成大气、水、土壤环境污染和危害</w:t>
                  </w:r>
                  <w:r>
                    <w:rPr>
                      <w:rFonts w:hint="eastAsia" w:cs="Times New Roman"/>
                      <w:i w:val="0"/>
                      <w:iCs w:val="0"/>
                      <w:color w:val="auto"/>
                      <w:kern w:val="0"/>
                      <w:sz w:val="21"/>
                      <w:szCs w:val="21"/>
                      <w:u w:val="none"/>
                      <w:lang w:val="en-US" w:eastAsia="zh-CN" w:bidi="ar"/>
                    </w:rPr>
                    <w:t>；天然气遇明火</w:t>
                  </w:r>
                  <w:r>
                    <w:rPr>
                      <w:rFonts w:hint="default" w:ascii="Times New Roman" w:hAnsi="Times New Roman" w:eastAsia="宋体" w:cs="Times New Roman"/>
                      <w:i w:val="0"/>
                      <w:iCs w:val="0"/>
                      <w:color w:val="auto"/>
                      <w:kern w:val="0"/>
                      <w:sz w:val="21"/>
                      <w:szCs w:val="21"/>
                      <w:u w:val="none"/>
                      <w:lang w:val="en-US" w:eastAsia="zh-CN" w:bidi="ar"/>
                    </w:rPr>
                    <w:t>容易发生火灾及爆炸事故</w:t>
                  </w:r>
                  <w:r>
                    <w:rPr>
                      <w:rFonts w:hint="eastAsia" w:ascii="Times New Roman" w:hAnsi="Times New Roman" w:eastAsia="宋体" w:cs="Times New Roman"/>
                      <w:i w:val="0"/>
                      <w:iCs w:val="0"/>
                      <w:color w:val="auto"/>
                      <w:kern w:val="0"/>
                      <w:sz w:val="21"/>
                      <w:szCs w:val="21"/>
                      <w:u w:val="none"/>
                      <w:lang w:val="en-US" w:eastAsia="zh-CN" w:bidi="ar"/>
                    </w:rPr>
                    <w:t>。</w:t>
                  </w:r>
                </w:p>
              </w:tc>
            </w:tr>
            <w:tr w14:paraId="0D8212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424" w:type="pct"/>
                  <w:vMerge w:val="continue"/>
                  <w:tcBorders>
                    <w:tl2br w:val="nil"/>
                    <w:tr2bl w:val="nil"/>
                  </w:tcBorders>
                  <w:noWrap w:val="0"/>
                  <w:vAlign w:val="center"/>
                </w:tcPr>
                <w:p w14:paraId="784CB0C5">
                  <w:pPr>
                    <w:jc w:val="center"/>
                    <w:rPr>
                      <w:rFonts w:hint="default" w:ascii="Times New Roman" w:hAnsi="Times New Roman" w:eastAsia="宋体" w:cs="Times New Roman"/>
                      <w:i w:val="0"/>
                      <w:iCs w:val="0"/>
                      <w:color w:val="auto"/>
                      <w:sz w:val="21"/>
                      <w:szCs w:val="21"/>
                      <w:u w:val="none"/>
                    </w:rPr>
                  </w:pPr>
                </w:p>
              </w:tc>
              <w:tc>
                <w:tcPr>
                  <w:tcW w:w="3575" w:type="pct"/>
                  <w:gridSpan w:val="4"/>
                  <w:vMerge w:val="continue"/>
                  <w:tcBorders>
                    <w:tl2br w:val="nil"/>
                    <w:tr2bl w:val="nil"/>
                  </w:tcBorders>
                  <w:noWrap w:val="0"/>
                  <w:vAlign w:val="center"/>
                </w:tcPr>
                <w:p w14:paraId="3EC3403F">
                  <w:pPr>
                    <w:jc w:val="left"/>
                    <w:rPr>
                      <w:rFonts w:hint="default" w:ascii="Times New Roman" w:hAnsi="Times New Roman" w:eastAsia="宋体" w:cs="Times New Roman"/>
                      <w:i w:val="0"/>
                      <w:iCs w:val="0"/>
                      <w:color w:val="auto"/>
                      <w:sz w:val="21"/>
                      <w:szCs w:val="21"/>
                      <w:u w:val="none"/>
                    </w:rPr>
                  </w:pPr>
                </w:p>
              </w:tc>
            </w:tr>
            <w:tr w14:paraId="36D1BA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424" w:type="pct"/>
                  <w:vMerge w:val="restart"/>
                  <w:tcBorders>
                    <w:tl2br w:val="nil"/>
                    <w:tr2bl w:val="nil"/>
                  </w:tcBorders>
                  <w:noWrap w:val="0"/>
                  <w:vAlign w:val="center"/>
                </w:tcPr>
                <w:p w14:paraId="4890AD4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风险防范措施要求</w:t>
                  </w:r>
                </w:p>
              </w:tc>
              <w:tc>
                <w:tcPr>
                  <w:tcW w:w="3575" w:type="pct"/>
                  <w:gridSpan w:val="4"/>
                  <w:tcBorders>
                    <w:tl2br w:val="nil"/>
                    <w:tr2bl w:val="nil"/>
                  </w:tcBorders>
                  <w:noWrap w:val="0"/>
                  <w:vAlign w:val="center"/>
                </w:tcPr>
                <w:p w14:paraId="46DFE433">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1、针对生产过程所涉及的废润滑油、废油桶的转运和储存应加强管理，尽量减少泄漏的发生，并对发生泄漏的场所及时发现，及时处理；</w:t>
                  </w:r>
                </w:p>
              </w:tc>
            </w:tr>
            <w:tr w14:paraId="21BD98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424" w:type="pct"/>
                  <w:vMerge w:val="continue"/>
                  <w:tcBorders>
                    <w:tl2br w:val="nil"/>
                    <w:tr2bl w:val="nil"/>
                  </w:tcBorders>
                  <w:noWrap w:val="0"/>
                  <w:vAlign w:val="center"/>
                </w:tcPr>
                <w:p w14:paraId="5DE8D4FD">
                  <w:pPr>
                    <w:jc w:val="center"/>
                    <w:rPr>
                      <w:rFonts w:hint="default" w:ascii="Times New Roman" w:hAnsi="Times New Roman" w:eastAsia="宋体" w:cs="Times New Roman"/>
                      <w:i w:val="0"/>
                      <w:iCs w:val="0"/>
                      <w:color w:val="auto"/>
                      <w:sz w:val="21"/>
                      <w:szCs w:val="21"/>
                      <w:u w:val="none"/>
                    </w:rPr>
                  </w:pPr>
                </w:p>
              </w:tc>
              <w:tc>
                <w:tcPr>
                  <w:tcW w:w="3575" w:type="pct"/>
                  <w:gridSpan w:val="4"/>
                  <w:tcBorders>
                    <w:tl2br w:val="nil"/>
                    <w:tr2bl w:val="nil"/>
                  </w:tcBorders>
                  <w:noWrap w:val="0"/>
                  <w:vAlign w:val="center"/>
                </w:tcPr>
                <w:p w14:paraId="5D144B64">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2一旦发生事故情况须进行应急监测；</w:t>
                  </w:r>
                </w:p>
              </w:tc>
            </w:tr>
            <w:tr w14:paraId="5CD6D4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424" w:type="pct"/>
                  <w:vMerge w:val="continue"/>
                  <w:tcBorders>
                    <w:tl2br w:val="nil"/>
                    <w:tr2bl w:val="nil"/>
                  </w:tcBorders>
                  <w:noWrap w:val="0"/>
                  <w:vAlign w:val="center"/>
                </w:tcPr>
                <w:p w14:paraId="23260163">
                  <w:pPr>
                    <w:jc w:val="center"/>
                    <w:rPr>
                      <w:rFonts w:hint="default" w:ascii="Times New Roman" w:hAnsi="Times New Roman" w:eastAsia="宋体" w:cs="Times New Roman"/>
                      <w:i w:val="0"/>
                      <w:iCs w:val="0"/>
                      <w:color w:val="auto"/>
                      <w:sz w:val="21"/>
                      <w:szCs w:val="21"/>
                      <w:u w:val="none"/>
                    </w:rPr>
                  </w:pPr>
                </w:p>
              </w:tc>
              <w:tc>
                <w:tcPr>
                  <w:tcW w:w="3575" w:type="pct"/>
                  <w:gridSpan w:val="4"/>
                  <w:tcBorders>
                    <w:tl2br w:val="nil"/>
                    <w:tr2bl w:val="nil"/>
                  </w:tcBorders>
                  <w:noWrap w:val="0"/>
                  <w:vAlign w:val="center"/>
                </w:tcPr>
                <w:p w14:paraId="1F9567F7">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3、防渗措施：项目区内生产车间、危废暂存间采用水泥硬化地面。</w:t>
                  </w:r>
                </w:p>
              </w:tc>
            </w:tr>
            <w:tr w14:paraId="35ED89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1424" w:type="pct"/>
                  <w:tcBorders>
                    <w:tl2br w:val="nil"/>
                    <w:tr2bl w:val="nil"/>
                  </w:tcBorders>
                  <w:noWrap w:val="0"/>
                  <w:vAlign w:val="center"/>
                </w:tcPr>
                <w:p w14:paraId="4E7854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填表说明(列出项目相关信息及评价说明)</w:t>
                  </w:r>
                </w:p>
              </w:tc>
              <w:tc>
                <w:tcPr>
                  <w:tcW w:w="3575" w:type="pct"/>
                  <w:gridSpan w:val="4"/>
                  <w:tcBorders>
                    <w:tl2br w:val="nil"/>
                    <w:tr2bl w:val="nil"/>
                  </w:tcBorders>
                  <w:noWrap w:val="0"/>
                  <w:vAlign w:val="center"/>
                </w:tcPr>
                <w:p w14:paraId="3A6B02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本项目Q值为</w:t>
                  </w:r>
                  <w:r>
                    <w:rPr>
                      <w:rFonts w:hint="eastAsia" w:cs="Times New Roman"/>
                      <w:i w:val="0"/>
                      <w:iCs w:val="0"/>
                      <w:color w:val="auto"/>
                      <w:kern w:val="0"/>
                      <w:sz w:val="21"/>
                      <w:szCs w:val="21"/>
                      <w:u w:val="none"/>
                      <w:lang w:val="en-US" w:eastAsia="zh-CN" w:bidi="ar"/>
                    </w:rPr>
                    <w:t>0.010008</w:t>
                  </w:r>
                  <w:r>
                    <w:rPr>
                      <w:rFonts w:hint="default" w:ascii="Times New Roman" w:hAnsi="Times New Roman" w:eastAsia="宋体" w:cs="Times New Roman"/>
                      <w:i w:val="0"/>
                      <w:iCs w:val="0"/>
                      <w:color w:val="auto"/>
                      <w:kern w:val="0"/>
                      <w:sz w:val="21"/>
                      <w:szCs w:val="21"/>
                      <w:u w:val="none"/>
                      <w:lang w:val="en-US" w:eastAsia="zh-CN" w:bidi="ar"/>
                    </w:rPr>
                    <w:t>，小于1，直接判定该项目环境风险潜势为Ⅰ，开展简单分析</w:t>
                  </w:r>
                </w:p>
              </w:tc>
            </w:tr>
          </w:tbl>
          <w:p w14:paraId="7CDBBFD7">
            <w:pPr>
              <w:spacing w:line="360" w:lineRule="auto"/>
              <w:rPr>
                <w:rFonts w:hint="default" w:ascii="Times New Roman" w:hAnsi="Times New Roman" w:eastAsia="黑体" w:cs="Times New Roman"/>
                <w:color w:val="auto"/>
                <w:sz w:val="24"/>
                <w:szCs w:val="24"/>
                <w:highlight w:val="none"/>
              </w:rPr>
            </w:pPr>
            <w:r>
              <w:rPr>
                <w:rFonts w:hint="eastAsia" w:eastAsia="黑体" w:cs="Times New Roman"/>
                <w:color w:val="auto"/>
                <w:sz w:val="24"/>
                <w:szCs w:val="24"/>
                <w:highlight w:val="none"/>
                <w:lang w:val="en-US" w:eastAsia="zh-CN"/>
              </w:rPr>
              <w:t>八</w:t>
            </w:r>
            <w:r>
              <w:rPr>
                <w:rFonts w:hint="default" w:ascii="Times New Roman" w:hAnsi="Times New Roman" w:eastAsia="黑体" w:cs="Times New Roman"/>
                <w:color w:val="auto"/>
                <w:sz w:val="24"/>
                <w:szCs w:val="24"/>
                <w:highlight w:val="none"/>
              </w:rPr>
              <w:t>、环境管理</w:t>
            </w:r>
          </w:p>
          <w:p w14:paraId="39DC6072">
            <w:pPr>
              <w:keepNext w:val="0"/>
              <w:keepLines w:val="0"/>
              <w:pageBreakBefore w:val="0"/>
              <w:widowControl w:val="0"/>
              <w:kinsoku/>
              <w:wordWrap/>
              <w:overflowPunct/>
              <w:topLinePunct w:val="0"/>
              <w:bidi w:val="0"/>
              <w:snapToGrid/>
              <w:spacing w:line="360" w:lineRule="auto"/>
              <w:ind w:left="0" w:right="0" w:firstLine="56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0"/>
                <w:sz w:val="24"/>
                <w:szCs w:val="24"/>
              </w:rPr>
              <w:t>(</w:t>
            </w:r>
            <w:r>
              <w:rPr>
                <w:rFonts w:hint="default" w:ascii="Times New Roman" w:hAnsi="Times New Roman" w:eastAsia="宋体" w:cs="Times New Roman"/>
                <w:color w:val="auto"/>
                <w:spacing w:val="13"/>
                <w:sz w:val="24"/>
                <w:szCs w:val="24"/>
              </w:rPr>
              <w:t>一</w:t>
            </w:r>
            <w:r>
              <w:rPr>
                <w:rFonts w:hint="default" w:ascii="Times New Roman" w:hAnsi="Times New Roman" w:eastAsia="宋体" w:cs="Times New Roman"/>
                <w:color w:val="auto"/>
                <w:spacing w:val="10"/>
                <w:sz w:val="24"/>
                <w:szCs w:val="24"/>
              </w:rPr>
              <w:t>)环保机构设置及环保规章制度落实情况</w:t>
            </w:r>
          </w:p>
          <w:p w14:paraId="7DFAFBDB">
            <w:pPr>
              <w:keepNext w:val="0"/>
              <w:keepLines w:val="0"/>
              <w:pageBreakBefore w:val="0"/>
              <w:widowControl w:val="0"/>
              <w:kinsoku/>
              <w:wordWrap/>
              <w:overflowPunct/>
              <w:topLinePunct w:val="0"/>
              <w:bidi w:val="0"/>
              <w:snapToGrid/>
              <w:spacing w:line="360" w:lineRule="auto"/>
              <w:ind w:left="0" w:right="0" w:firstLine="46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5"/>
                <w:sz w:val="24"/>
                <w:szCs w:val="24"/>
              </w:rPr>
              <w:t>按照各级环保部门要求，</w:t>
            </w:r>
            <w:r>
              <w:rPr>
                <w:rFonts w:hint="default" w:ascii="Times New Roman" w:hAnsi="Times New Roman" w:cs="Times New Roman"/>
                <w:color w:val="auto"/>
                <w:spacing w:val="-5"/>
                <w:sz w:val="24"/>
                <w:szCs w:val="24"/>
                <w:lang w:eastAsia="zh-CN"/>
              </w:rPr>
              <w:t>淄博锦明陶瓷材料有限公司</w:t>
            </w:r>
            <w:r>
              <w:rPr>
                <w:rFonts w:hint="default" w:ascii="Times New Roman" w:hAnsi="Times New Roman" w:eastAsia="宋体" w:cs="Times New Roman"/>
                <w:color w:val="auto"/>
                <w:spacing w:val="-5"/>
                <w:sz w:val="24"/>
                <w:szCs w:val="24"/>
              </w:rPr>
              <w:t>应认真落实环境保护工作责任</w:t>
            </w:r>
            <w:r>
              <w:rPr>
                <w:rFonts w:hint="default" w:ascii="Times New Roman" w:hAnsi="Times New Roman" w:eastAsia="宋体" w:cs="Times New Roman"/>
                <w:color w:val="auto"/>
                <w:spacing w:val="-4"/>
                <w:sz w:val="24"/>
                <w:szCs w:val="24"/>
              </w:rPr>
              <w:t>制</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pacing w:val="-12"/>
                <w:sz w:val="24"/>
                <w:szCs w:val="24"/>
              </w:rPr>
              <w:t>完善</w:t>
            </w:r>
            <w:r>
              <w:rPr>
                <w:rFonts w:hint="default" w:ascii="Times New Roman" w:hAnsi="Times New Roman" w:eastAsia="宋体" w:cs="Times New Roman"/>
                <w:color w:val="auto"/>
                <w:spacing w:val="-7"/>
                <w:sz w:val="24"/>
                <w:szCs w:val="24"/>
              </w:rPr>
              <w:t>环</w:t>
            </w:r>
            <w:r>
              <w:rPr>
                <w:rFonts w:hint="default" w:ascii="Times New Roman" w:hAnsi="Times New Roman" w:eastAsia="宋体" w:cs="Times New Roman"/>
                <w:color w:val="auto"/>
                <w:spacing w:val="-6"/>
                <w:sz w:val="24"/>
                <w:szCs w:val="24"/>
              </w:rPr>
              <w:t>保制度，建有专门的环境保护机构，在环保组织机构及职责、环保技术监督、环境监测、技术</w:t>
            </w:r>
            <w:r>
              <w:rPr>
                <w:rFonts w:hint="default" w:ascii="Times New Roman" w:hAnsi="Times New Roman" w:eastAsia="宋体" w:cs="Times New Roman"/>
                <w:color w:val="auto"/>
                <w:spacing w:val="-3"/>
                <w:sz w:val="24"/>
                <w:szCs w:val="24"/>
              </w:rPr>
              <w:t>管理、环保设施运行管理等方面进行详细的规定，并建立环境保护档案管理制</w:t>
            </w:r>
            <w:r>
              <w:rPr>
                <w:rFonts w:hint="default" w:ascii="Times New Roman" w:hAnsi="Times New Roman" w:eastAsia="宋体" w:cs="Times New Roman"/>
                <w:color w:val="auto"/>
                <w:spacing w:val="-15"/>
                <w:sz w:val="24"/>
                <w:szCs w:val="24"/>
              </w:rPr>
              <w:t>度</w:t>
            </w:r>
            <w:r>
              <w:rPr>
                <w:rFonts w:hint="default" w:ascii="Times New Roman" w:hAnsi="Times New Roman" w:eastAsia="宋体" w:cs="Times New Roman"/>
                <w:color w:val="auto"/>
                <w:spacing w:val="-14"/>
                <w:sz w:val="24"/>
                <w:szCs w:val="24"/>
              </w:rPr>
              <w:t>，由专人负责管理。</w:t>
            </w:r>
          </w:p>
          <w:p w14:paraId="1D43201C">
            <w:pPr>
              <w:keepNext w:val="0"/>
              <w:keepLines w:val="0"/>
              <w:pageBreakBefore w:val="0"/>
              <w:widowControl w:val="0"/>
              <w:kinsoku/>
              <w:wordWrap/>
              <w:overflowPunct/>
              <w:topLinePunct w:val="0"/>
              <w:bidi w:val="0"/>
              <w:snapToGrid/>
              <w:spacing w:line="360" w:lineRule="auto"/>
              <w:ind w:left="0" w:right="0" w:firstLine="544"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6"/>
                <w:sz w:val="24"/>
                <w:szCs w:val="24"/>
              </w:rPr>
              <w:t>(</w:t>
            </w:r>
            <w:r>
              <w:rPr>
                <w:rFonts w:hint="default" w:ascii="Times New Roman" w:hAnsi="Times New Roman" w:eastAsia="宋体" w:cs="Times New Roman"/>
                <w:color w:val="auto"/>
                <w:spacing w:val="13"/>
                <w:sz w:val="24"/>
                <w:szCs w:val="24"/>
              </w:rPr>
              <w:t>二)突发环境应急处置方案执行情况</w:t>
            </w:r>
          </w:p>
          <w:p w14:paraId="506BBC1A">
            <w:pPr>
              <w:keepNext w:val="0"/>
              <w:keepLines w:val="0"/>
              <w:pageBreakBefore w:val="0"/>
              <w:widowControl w:val="0"/>
              <w:kinsoku/>
              <w:wordWrap/>
              <w:overflowPunct/>
              <w:topLinePunct w:val="0"/>
              <w:bidi w:val="0"/>
              <w:snapToGrid/>
              <w:spacing w:line="360" w:lineRule="auto"/>
              <w:ind w:left="0" w:right="0" w:firstLine="43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2"/>
                <w:sz w:val="24"/>
                <w:szCs w:val="24"/>
              </w:rPr>
              <w:t>建设单位</w:t>
            </w:r>
            <w:r>
              <w:rPr>
                <w:rFonts w:hint="default" w:ascii="Times New Roman" w:hAnsi="Times New Roman" w:eastAsia="宋体" w:cs="Times New Roman"/>
                <w:color w:val="auto"/>
                <w:spacing w:val="-10"/>
                <w:sz w:val="24"/>
                <w:szCs w:val="24"/>
              </w:rPr>
              <w:t>应</w:t>
            </w:r>
            <w:r>
              <w:rPr>
                <w:rFonts w:hint="default" w:ascii="Times New Roman" w:hAnsi="Times New Roman" w:eastAsia="宋体" w:cs="Times New Roman"/>
                <w:color w:val="auto"/>
                <w:spacing w:val="-6"/>
                <w:sz w:val="24"/>
                <w:szCs w:val="24"/>
              </w:rPr>
              <w:t>制定突发环境事件应急处置方案，以加强对各种突发事件的应急管理，保证应急工作</w:t>
            </w:r>
            <w:r>
              <w:rPr>
                <w:rFonts w:hint="default" w:ascii="Times New Roman" w:hAnsi="Times New Roman" w:eastAsia="宋体" w:cs="Times New Roman"/>
                <w:color w:val="auto"/>
                <w:spacing w:val="-4"/>
                <w:sz w:val="24"/>
                <w:szCs w:val="24"/>
              </w:rPr>
              <w:t>高</w:t>
            </w:r>
            <w:r>
              <w:rPr>
                <w:rFonts w:hint="default" w:ascii="Times New Roman" w:hAnsi="Times New Roman" w:eastAsia="宋体" w:cs="Times New Roman"/>
                <w:color w:val="auto"/>
                <w:spacing w:val="-3"/>
                <w:sz w:val="24"/>
                <w:szCs w:val="24"/>
              </w:rPr>
              <w:t>效、有序的进行。应明确发生应急事故时各部门人员的责任分工，并且加强</w:t>
            </w:r>
            <w:r>
              <w:rPr>
                <w:rFonts w:hint="default" w:ascii="Times New Roman" w:hAnsi="Times New Roman" w:eastAsia="宋体" w:cs="Times New Roman"/>
                <w:color w:val="auto"/>
                <w:spacing w:val="-4"/>
                <w:sz w:val="24"/>
                <w:szCs w:val="24"/>
              </w:rPr>
              <w:t>宣</w:t>
            </w:r>
            <w:r>
              <w:rPr>
                <w:rFonts w:hint="default" w:ascii="Times New Roman" w:hAnsi="Times New Roman" w:eastAsia="宋体" w:cs="Times New Roman"/>
                <w:color w:val="auto"/>
                <w:spacing w:val="-2"/>
                <w:sz w:val="24"/>
                <w:szCs w:val="24"/>
              </w:rPr>
              <w:t>传教育，使员工树立防范环境风险的意识。</w:t>
            </w:r>
          </w:p>
          <w:p w14:paraId="6CBD31DD">
            <w:pPr>
              <w:keepNext w:val="0"/>
              <w:keepLines w:val="0"/>
              <w:pageBreakBefore w:val="0"/>
              <w:widowControl w:val="0"/>
              <w:kinsoku/>
              <w:wordWrap/>
              <w:overflowPunct/>
              <w:topLinePunct w:val="0"/>
              <w:bidi w:val="0"/>
              <w:snapToGrid/>
              <w:spacing w:line="360" w:lineRule="auto"/>
              <w:ind w:left="0" w:right="0" w:firstLine="53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3"/>
                <w:sz w:val="24"/>
                <w:szCs w:val="24"/>
              </w:rPr>
              <w:t>(三)风险防范设施日常检查及维</w:t>
            </w:r>
            <w:r>
              <w:rPr>
                <w:rFonts w:hint="default" w:ascii="Times New Roman" w:hAnsi="Times New Roman" w:eastAsia="宋体" w:cs="Times New Roman"/>
                <w:color w:val="auto"/>
                <w:spacing w:val="11"/>
                <w:sz w:val="24"/>
                <w:szCs w:val="24"/>
              </w:rPr>
              <w:t>护</w:t>
            </w:r>
          </w:p>
          <w:p w14:paraId="6438BCED">
            <w:pPr>
              <w:pStyle w:val="30"/>
              <w:keepNext w:val="0"/>
              <w:keepLines w:val="0"/>
              <w:pageBreakBefore w:val="0"/>
              <w:widowControl w:val="0"/>
              <w:kinsoku/>
              <w:wordWrap/>
              <w:overflowPunct/>
              <w:topLinePunct w:val="0"/>
              <w:bidi w:val="0"/>
              <w:snapToGrid/>
              <w:spacing w:line="360" w:lineRule="auto"/>
              <w:ind w:left="0" w:right="0" w:firstLine="456" w:firstLineChars="200"/>
              <w:textAlignment w:val="auto"/>
              <w:rPr>
                <w:rFonts w:hint="default" w:ascii="Times New Roman" w:hAnsi="Times New Roman" w:cs="Times New Roman"/>
                <w:color w:val="auto"/>
                <w:kern w:val="0"/>
                <w:sz w:val="24"/>
                <w:szCs w:val="24"/>
                <w:highlight w:val="none"/>
              </w:rPr>
            </w:pPr>
            <w:r>
              <w:rPr>
                <w:rFonts w:hint="default" w:ascii="Times New Roman" w:hAnsi="Times New Roman" w:eastAsia="宋体" w:cs="Times New Roman"/>
                <w:color w:val="auto"/>
                <w:spacing w:val="-6"/>
                <w:sz w:val="24"/>
                <w:szCs w:val="24"/>
              </w:rPr>
              <w:t>为了确保布袋除尘器</w:t>
            </w:r>
            <w:r>
              <w:rPr>
                <w:rFonts w:hint="default" w:ascii="Times New Roman" w:hAnsi="Times New Roman" w:eastAsia="宋体" w:cs="Times New Roman"/>
                <w:color w:val="auto"/>
                <w:spacing w:val="-3"/>
                <w:sz w:val="24"/>
                <w:szCs w:val="24"/>
              </w:rPr>
              <w:t>、</w:t>
            </w:r>
            <w:r>
              <w:rPr>
                <w:rFonts w:hint="default" w:ascii="Times New Roman" w:hAnsi="Times New Roman" w:eastAsia="宋体" w:cs="Times New Roman"/>
                <w:color w:val="auto"/>
                <w:spacing w:val="-3"/>
                <w:sz w:val="24"/>
                <w:szCs w:val="24"/>
                <w:lang w:val="en-US" w:eastAsia="zh-CN"/>
              </w:rPr>
              <w:t>活性炭吸附装置、</w:t>
            </w:r>
            <w:r>
              <w:rPr>
                <w:rFonts w:hint="eastAsia" w:ascii="Times New Roman" w:eastAsia="宋体" w:cs="Times New Roman"/>
                <w:color w:val="auto"/>
                <w:spacing w:val="-3"/>
                <w:sz w:val="24"/>
                <w:szCs w:val="24"/>
                <w:lang w:eastAsia="zh-CN"/>
              </w:rPr>
              <w:t>SNCR脱硝装置</w:t>
            </w:r>
            <w:r>
              <w:rPr>
                <w:rFonts w:hint="default" w:ascii="Times New Roman" w:hAnsi="Times New Roman" w:eastAsia="宋体" w:cs="Times New Roman"/>
                <w:color w:val="auto"/>
                <w:spacing w:val="-3"/>
                <w:sz w:val="24"/>
                <w:szCs w:val="24"/>
              </w:rPr>
              <w:t>装置等重点部位的风险防范设施的有效运行，</w:t>
            </w:r>
            <w:r>
              <w:rPr>
                <w:rFonts w:hint="default" w:ascii="Times New Roman" w:hAnsi="Times New Roman" w:eastAsia="宋体" w:cs="Times New Roman"/>
                <w:color w:val="auto"/>
                <w:spacing w:val="-3"/>
                <w:sz w:val="24"/>
                <w:szCs w:val="24"/>
                <w:lang w:eastAsia="zh-CN"/>
              </w:rPr>
              <w:t>淄博锦明陶瓷材料有限公司</w:t>
            </w:r>
            <w:r>
              <w:rPr>
                <w:rFonts w:hint="default" w:ascii="Times New Roman" w:hAnsi="Times New Roman" w:eastAsia="宋体" w:cs="Times New Roman"/>
                <w:color w:val="auto"/>
                <w:spacing w:val="-3"/>
                <w:sz w:val="24"/>
                <w:szCs w:val="24"/>
              </w:rPr>
              <w:t>应制定相应的日常检查及维护检修制度，通过定期巡查、演练等方式</w:t>
            </w:r>
            <w:r>
              <w:rPr>
                <w:rFonts w:hint="default" w:ascii="Times New Roman" w:hAnsi="Times New Roman" w:eastAsia="宋体" w:cs="Times New Roman"/>
                <w:color w:val="auto"/>
                <w:spacing w:val="-1"/>
                <w:sz w:val="24"/>
                <w:szCs w:val="24"/>
              </w:rPr>
              <w:t>及时发现问题，并</w:t>
            </w:r>
            <w:r>
              <w:rPr>
                <w:rFonts w:hint="default" w:ascii="Times New Roman" w:hAnsi="Times New Roman" w:eastAsia="宋体" w:cs="Times New Roman"/>
                <w:color w:val="auto"/>
                <w:sz w:val="24"/>
                <w:szCs w:val="24"/>
              </w:rPr>
              <w:t>针对存在的问题及时进行改进。</w:t>
            </w:r>
          </w:p>
          <w:p w14:paraId="4EB0C3D9">
            <w:pPr>
              <w:spacing w:line="360" w:lineRule="auto"/>
              <w:rPr>
                <w:rFonts w:hint="default" w:ascii="Times New Roman" w:hAnsi="Times New Roman" w:eastAsia="黑体" w:cs="Times New Roman"/>
                <w:color w:val="auto"/>
                <w:sz w:val="24"/>
                <w:szCs w:val="24"/>
                <w:highlight w:val="none"/>
              </w:rPr>
            </w:pPr>
            <w:r>
              <w:rPr>
                <w:rFonts w:hint="eastAsia" w:ascii="Times New Roman" w:hAnsi="Times New Roman" w:eastAsia="黑体" w:cs="Times New Roman"/>
                <w:color w:val="auto"/>
                <w:sz w:val="24"/>
                <w:szCs w:val="24"/>
                <w:highlight w:val="none"/>
                <w:lang w:val="en-US" w:eastAsia="zh-CN"/>
              </w:rPr>
              <w:t>九、</w:t>
            </w:r>
            <w:r>
              <w:rPr>
                <w:rFonts w:hint="eastAsia" w:ascii="Times New Roman" w:hAnsi="Times New Roman" w:eastAsia="黑体" w:cs="Times New Roman"/>
                <w:color w:val="auto"/>
                <w:sz w:val="24"/>
                <w:szCs w:val="24"/>
                <w:highlight w:val="none"/>
              </w:rPr>
              <w:t>固定污染源排污许可相关要求</w:t>
            </w:r>
          </w:p>
          <w:p w14:paraId="0B0AC8F5">
            <w:pPr>
              <w:keepNext w:val="0"/>
              <w:keepLines w:val="0"/>
              <w:pageBreakBefore w:val="0"/>
              <w:widowControl w:val="0"/>
              <w:shd w:val="clear" w:color="auto"/>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kern w:val="0"/>
                <w:sz w:val="24"/>
                <w:szCs w:val="24"/>
                <w:highlight w:val="none"/>
                <w:lang w:val="en-US" w:eastAsia="zh-CN"/>
              </w:rPr>
            </w:pPr>
            <w:r>
              <w:rPr>
                <w:rFonts w:hint="eastAsia" w:cs="Times New Roman"/>
                <w:color w:val="auto"/>
                <w:sz w:val="24"/>
                <w:szCs w:val="24"/>
                <w:highlight w:val="none"/>
                <w:lang w:val="en-US" w:eastAsia="zh-CN"/>
              </w:rPr>
              <w:t>现有</w:t>
            </w:r>
            <w:r>
              <w:rPr>
                <w:rFonts w:hint="default" w:ascii="Times New Roman" w:hAnsi="Times New Roman" w:cs="Times New Roman"/>
                <w:color w:val="auto"/>
                <w:sz w:val="24"/>
                <w:szCs w:val="24"/>
                <w:highlight w:val="none"/>
                <w:lang w:eastAsia="zh-CN"/>
              </w:rPr>
              <w:t>项目</w:t>
            </w:r>
            <w:r>
              <w:rPr>
                <w:rFonts w:hint="eastAsia" w:cs="Times New Roman"/>
                <w:color w:val="auto"/>
                <w:sz w:val="24"/>
                <w:szCs w:val="24"/>
                <w:highlight w:val="none"/>
                <w:lang w:val="en-US" w:eastAsia="zh-CN"/>
              </w:rPr>
              <w:t>国民经济行业代码为</w:t>
            </w:r>
            <w:r>
              <w:rPr>
                <w:rFonts w:hint="eastAsia" w:ascii="宋体" w:hAnsi="宋体"/>
                <w:color w:val="auto"/>
                <w:sz w:val="24"/>
              </w:rPr>
              <w:t>C2643</w:t>
            </w:r>
            <w:r>
              <w:rPr>
                <w:rFonts w:hint="eastAsia" w:ascii="宋体" w:hAnsi="宋体"/>
                <w:color w:val="auto"/>
                <w:sz w:val="24"/>
                <w:lang w:val="en-US" w:eastAsia="zh-CN"/>
              </w:rPr>
              <w:t>工业颜料制造，</w:t>
            </w:r>
            <w:r>
              <w:rPr>
                <w:rFonts w:hint="default" w:ascii="Times New Roman" w:hAnsi="Times New Roman" w:cs="Times New Roman"/>
                <w:color w:val="auto"/>
                <w:sz w:val="24"/>
                <w:szCs w:val="24"/>
                <w:highlight w:val="none"/>
                <w:lang w:eastAsia="zh-CN"/>
              </w:rPr>
              <w:t>实行排污许可</w:t>
            </w:r>
            <w:r>
              <w:rPr>
                <w:rFonts w:hint="default" w:ascii="Times New Roman" w:hAnsi="Times New Roman" w:cs="Times New Roman"/>
                <w:color w:val="auto"/>
                <w:sz w:val="24"/>
                <w:szCs w:val="24"/>
                <w:highlight w:val="none"/>
                <w:lang w:val="en-US" w:eastAsia="zh-CN"/>
              </w:rPr>
              <w:t>登记</w:t>
            </w:r>
            <w:r>
              <w:rPr>
                <w:rFonts w:hint="default" w:ascii="Times New Roman" w:hAnsi="Times New Roman" w:cs="Times New Roman"/>
                <w:color w:val="auto"/>
                <w:sz w:val="24"/>
                <w:szCs w:val="24"/>
                <w:highlight w:val="none"/>
                <w:lang w:eastAsia="zh-CN"/>
              </w:rPr>
              <w:t>管理。</w:t>
            </w:r>
            <w:r>
              <w:rPr>
                <w:rFonts w:hint="default" w:ascii="Times New Roman" w:hAnsi="Times New Roman" w:cs="Times New Roman"/>
                <w:color w:val="auto"/>
                <w:sz w:val="24"/>
                <w:szCs w:val="24"/>
                <w:highlight w:val="none"/>
                <w:lang w:val="en-US" w:eastAsia="zh-CN"/>
              </w:rPr>
              <w:t>登记</w:t>
            </w:r>
            <w:r>
              <w:rPr>
                <w:rFonts w:hint="default" w:ascii="Times New Roman" w:hAnsi="Times New Roman" w:cs="Times New Roman"/>
                <w:color w:val="auto"/>
                <w:sz w:val="24"/>
                <w:szCs w:val="24"/>
                <w:highlight w:val="none"/>
              </w:rPr>
              <w:t>编号：</w:t>
            </w:r>
            <w:r>
              <w:rPr>
                <w:rFonts w:hint="default" w:ascii="Times New Roman" w:hAnsi="Times New Roman" w:cs="Times New Roman"/>
                <w:color w:val="auto"/>
                <w:sz w:val="24"/>
                <w:szCs w:val="24"/>
                <w:highlight w:val="none"/>
                <w:lang w:eastAsia="zh-CN"/>
              </w:rPr>
              <w:t>91370302570475542K001Y</w:t>
            </w:r>
            <w:r>
              <w:rPr>
                <w:rFonts w:hint="default" w:ascii="Times New Roman" w:hAnsi="Times New Roman" w:cs="Times New Roman"/>
                <w:color w:val="auto"/>
                <w:sz w:val="24"/>
                <w:szCs w:val="24"/>
                <w:highlight w:val="none"/>
              </w:rPr>
              <w:t>，有效期为</w:t>
            </w:r>
            <w:r>
              <w:rPr>
                <w:rFonts w:hint="default" w:ascii="Times New Roman" w:hAnsi="Times New Roman" w:cs="Times New Roman"/>
                <w:color w:val="auto"/>
                <w:sz w:val="24"/>
                <w:szCs w:val="24"/>
                <w:highlight w:val="none"/>
                <w:lang w:eastAsia="zh-CN"/>
              </w:rPr>
              <w:t>2021年12月21日至2026年12月20日</w:t>
            </w:r>
            <w:r>
              <w:rPr>
                <w:rFonts w:hint="default" w:ascii="Times New Roman" w:hAnsi="Times New Roman" w:cs="Times New Roman"/>
                <w:color w:val="auto"/>
                <w:sz w:val="24"/>
                <w:szCs w:val="24"/>
                <w:highlight w:val="none"/>
              </w:rPr>
              <w:t>止</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本次技改项目国民经济行业代码为</w:t>
            </w:r>
            <w:r>
              <w:rPr>
                <w:rFonts w:hint="default" w:ascii="Times New Roman" w:hAnsi="Times New Roman" w:cs="Times New Roman"/>
                <w:color w:val="auto"/>
                <w:sz w:val="24"/>
                <w:szCs w:val="24"/>
                <w:highlight w:val="none"/>
                <w:lang w:val="en-US" w:eastAsia="zh-CN"/>
              </w:rPr>
              <w:t>C2642油墨及类似产品制造行业</w:t>
            </w:r>
            <w:r>
              <w:rPr>
                <w:rFonts w:hint="eastAsia" w:ascii="Times New Roman" w:hAnsi="Times New Roman" w:cs="Times New Roman"/>
                <w:color w:val="auto"/>
                <w:sz w:val="24"/>
                <w:szCs w:val="24"/>
                <w:highlight w:val="none"/>
                <w:lang w:val="en-US" w:eastAsia="zh-CN"/>
              </w:rPr>
              <w:t>，</w:t>
            </w:r>
            <w:r>
              <w:rPr>
                <w:rFonts w:hint="eastAsia" w:hAnsi="宋体"/>
                <w:color w:val="auto"/>
                <w:sz w:val="24"/>
                <w:szCs w:val="24"/>
              </w:rPr>
              <w:t>对照《</w:t>
            </w:r>
            <w:r>
              <w:rPr>
                <w:rFonts w:hAnsi="宋体"/>
                <w:color w:val="auto"/>
                <w:sz w:val="24"/>
                <w:szCs w:val="24"/>
              </w:rPr>
              <w:t>固定</w:t>
            </w:r>
            <w:r>
              <w:rPr>
                <w:rFonts w:hint="eastAsia" w:hAnsi="宋体"/>
                <w:color w:val="auto"/>
                <w:sz w:val="24"/>
                <w:szCs w:val="24"/>
              </w:rPr>
              <w:t>污染源排污许可分类管理名录（2019年版）</w:t>
            </w:r>
            <w:r>
              <w:rPr>
                <w:rFonts w:hAnsi="宋体"/>
                <w:color w:val="auto"/>
                <w:sz w:val="24"/>
                <w:szCs w:val="24"/>
              </w:rPr>
              <w:t>》，</w:t>
            </w:r>
          </w:p>
          <w:p w14:paraId="5206EC2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color w:val="auto"/>
                <w:kern w:val="0"/>
                <w:sz w:val="24"/>
                <w:szCs w:val="24"/>
                <w:highlight w:val="none"/>
                <w:lang w:val="en-US" w:eastAsia="zh-CN"/>
              </w:rPr>
            </w:pPr>
            <w:r>
              <w:rPr>
                <w:rFonts w:hint="default" w:ascii="Times New Roman" w:hAnsi="Times New Roman" w:cs="Times New Roman"/>
                <w:color w:val="auto"/>
                <w:sz w:val="24"/>
                <w:szCs w:val="24"/>
                <w:highlight w:val="none"/>
                <w:lang w:eastAsia="zh-CN"/>
              </w:rPr>
              <w:t>属于“二十一、化学原料和化学制品制造业 26”中“48、涂料、油墨、颜料及类似产品制造 264”中“</w:t>
            </w:r>
            <w:r>
              <w:rPr>
                <w:rFonts w:hint="eastAsia" w:ascii="Times New Roman" w:hAnsi="Times New Roman" w:cs="Times New Roman"/>
                <w:color w:val="auto"/>
                <w:sz w:val="24"/>
                <w:szCs w:val="24"/>
                <w:highlight w:val="none"/>
                <w:lang w:val="en-US" w:eastAsia="zh-CN"/>
              </w:rPr>
              <w:t>单纯混合或者分装的油墨及类似产品制造2642</w:t>
            </w:r>
            <w:r>
              <w:rPr>
                <w:rFonts w:hint="default" w:ascii="Times New Roman" w:hAnsi="Times New Roman" w:cs="Times New Roman"/>
                <w:color w:val="auto"/>
                <w:sz w:val="24"/>
                <w:szCs w:val="24"/>
                <w:highlight w:val="none"/>
                <w:lang w:eastAsia="zh-CN"/>
              </w:rPr>
              <w:t>”，实行排污许可</w:t>
            </w:r>
            <w:r>
              <w:rPr>
                <w:rFonts w:hint="eastAsia" w:ascii="Times New Roman" w:hAnsi="Times New Roman" w:cs="Times New Roman"/>
                <w:color w:val="auto"/>
                <w:sz w:val="24"/>
                <w:szCs w:val="24"/>
                <w:highlight w:val="none"/>
                <w:lang w:val="en-US" w:eastAsia="zh-CN"/>
              </w:rPr>
              <w:t>简化管理，</w:t>
            </w:r>
            <w:r>
              <w:rPr>
                <w:rFonts w:hint="default" w:ascii="Times New Roman" w:hAnsi="Times New Roman" w:cs="Times New Roman"/>
                <w:color w:val="auto"/>
                <w:sz w:val="24"/>
                <w:szCs w:val="24"/>
                <w:highlight w:val="none"/>
                <w:lang w:eastAsia="zh-CN"/>
              </w:rPr>
              <w:t>应在投产前重新申请排污许可证。</w:t>
            </w:r>
          </w:p>
        </w:tc>
      </w:tr>
    </w:tbl>
    <w:p w14:paraId="060BBEF4">
      <w:pPr>
        <w:pStyle w:val="30"/>
        <w:rPr>
          <w:rFonts w:hint="default" w:ascii="Times New Roman" w:hAnsi="Times New Roman" w:cs="Times New Roman"/>
          <w:color w:val="auto"/>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8397660">
      <w:pPr>
        <w:pStyle w:val="21"/>
        <w:shd w:val="clear"/>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五、</w:t>
      </w:r>
      <w:bookmarkStart w:id="2" w:name="_Hlk54167917"/>
      <w:r>
        <w:rPr>
          <w:rFonts w:hint="default" w:ascii="Times New Roman" w:hAnsi="Times New Roman" w:eastAsia="黑体" w:cs="Times New Roman"/>
          <w:snapToGrid w:val="0"/>
          <w:color w:val="auto"/>
          <w:sz w:val="30"/>
          <w:szCs w:val="30"/>
          <w:highlight w:val="none"/>
        </w:rPr>
        <w:t>环境保护措施监督检查清单</w:t>
      </w:r>
      <w:bookmarkEnd w:id="2"/>
    </w:p>
    <w:tbl>
      <w:tblPr>
        <w:tblStyle w:val="24"/>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570"/>
        <w:gridCol w:w="1661"/>
        <w:gridCol w:w="1355"/>
        <w:gridCol w:w="1664"/>
        <w:gridCol w:w="2803"/>
      </w:tblGrid>
      <w:tr w14:paraId="74FEAB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7" w:type="pct"/>
            <w:tcBorders>
              <w:tl2br w:val="single" w:color="auto" w:sz="4" w:space="0"/>
            </w:tcBorders>
            <w:noWrap w:val="0"/>
            <w:vAlign w:val="top"/>
          </w:tcPr>
          <w:p w14:paraId="3DF7F745">
            <w:pPr>
              <w:adjustRightInd w:val="0"/>
              <w:snapToGrid w:val="0"/>
              <w:spacing w:line="360" w:lineRule="exact"/>
              <w:ind w:firstLine="84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内容</w:t>
            </w:r>
          </w:p>
          <w:p w14:paraId="61AF3DB8">
            <w:pPr>
              <w:adjustRightInd w:val="0"/>
              <w:snapToGrid w:val="0"/>
              <w:spacing w:line="360" w:lineRule="exac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要素</w:t>
            </w:r>
          </w:p>
        </w:tc>
        <w:tc>
          <w:tcPr>
            <w:tcW w:w="917" w:type="pct"/>
            <w:noWrap w:val="0"/>
            <w:vAlign w:val="center"/>
          </w:tcPr>
          <w:p w14:paraId="44A124A0">
            <w:pPr>
              <w:adjustRightInd w:val="0"/>
              <w:snapToGrid w:val="0"/>
              <w:spacing w:line="3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排放口(编号、</w:t>
            </w:r>
          </w:p>
          <w:p w14:paraId="6F9DAFFA">
            <w:pPr>
              <w:adjustRightInd w:val="0"/>
              <w:snapToGrid w:val="0"/>
              <w:spacing w:line="3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名称)/污染源</w:t>
            </w:r>
          </w:p>
        </w:tc>
        <w:tc>
          <w:tcPr>
            <w:tcW w:w="748" w:type="pct"/>
            <w:noWrap w:val="0"/>
            <w:vAlign w:val="center"/>
          </w:tcPr>
          <w:p w14:paraId="435195B9">
            <w:pPr>
              <w:adjustRightInd w:val="0"/>
              <w:snapToGrid w:val="0"/>
              <w:spacing w:line="3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污染物项目</w:t>
            </w:r>
          </w:p>
        </w:tc>
        <w:tc>
          <w:tcPr>
            <w:tcW w:w="919" w:type="pct"/>
            <w:noWrap w:val="0"/>
            <w:vAlign w:val="center"/>
          </w:tcPr>
          <w:p w14:paraId="3A35A1A5">
            <w:pPr>
              <w:adjustRightInd w:val="0"/>
              <w:snapToGrid w:val="0"/>
              <w:spacing w:line="3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环境保护措施</w:t>
            </w:r>
          </w:p>
        </w:tc>
        <w:tc>
          <w:tcPr>
            <w:tcW w:w="1548" w:type="pct"/>
            <w:noWrap w:val="0"/>
            <w:vAlign w:val="center"/>
          </w:tcPr>
          <w:p w14:paraId="2C4F1B7E">
            <w:pPr>
              <w:adjustRightInd w:val="0"/>
              <w:snapToGrid w:val="0"/>
              <w:spacing w:line="3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执行标准</w:t>
            </w:r>
          </w:p>
        </w:tc>
      </w:tr>
      <w:tr w14:paraId="01781F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1" w:hRule="atLeast"/>
          <w:jc w:val="center"/>
        </w:trPr>
        <w:tc>
          <w:tcPr>
            <w:tcW w:w="867" w:type="pct"/>
            <w:vMerge w:val="restart"/>
            <w:noWrap w:val="0"/>
            <w:vAlign w:val="center"/>
          </w:tcPr>
          <w:p w14:paraId="5056A86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大气环境</w:t>
            </w:r>
          </w:p>
        </w:tc>
        <w:tc>
          <w:tcPr>
            <w:tcW w:w="917" w:type="pct"/>
            <w:noWrap w:val="0"/>
            <w:vAlign w:val="center"/>
          </w:tcPr>
          <w:p w14:paraId="4516454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排气筒</w:t>
            </w:r>
            <w:r>
              <w:rPr>
                <w:rFonts w:hint="default" w:ascii="Times New Roman" w:hAnsi="Times New Roman" w:eastAsia="宋体" w:cs="Times New Roman"/>
                <w:color w:val="auto"/>
                <w:sz w:val="21"/>
                <w:szCs w:val="21"/>
                <w:highlight w:val="none"/>
                <w:lang w:eastAsia="zh-CN"/>
              </w:rPr>
              <w:t>DA00</w:t>
            </w:r>
            <w:r>
              <w:rPr>
                <w:rFonts w:hint="default" w:ascii="Times New Roman" w:hAnsi="Times New Roman" w:eastAsia="宋体" w:cs="Times New Roman"/>
                <w:color w:val="auto"/>
                <w:sz w:val="21"/>
                <w:szCs w:val="21"/>
                <w:highlight w:val="none"/>
                <w:lang w:val="en-US" w:eastAsia="zh-CN"/>
              </w:rPr>
              <w:t>1</w:t>
            </w:r>
          </w:p>
        </w:tc>
        <w:tc>
          <w:tcPr>
            <w:tcW w:w="748" w:type="pct"/>
            <w:noWrap w:val="0"/>
            <w:vAlign w:val="center"/>
          </w:tcPr>
          <w:p w14:paraId="5316C35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919" w:type="pct"/>
            <w:noWrap w:val="0"/>
            <w:vAlign w:val="center"/>
          </w:tcPr>
          <w:p w14:paraId="3EAD89D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TA001：</w:t>
            </w:r>
            <w:r>
              <w:rPr>
                <w:rFonts w:hint="default" w:ascii="Times New Roman" w:hAnsi="Times New Roman" w:eastAsia="宋体" w:cs="Times New Roman"/>
                <w:color w:val="auto"/>
                <w:sz w:val="21"/>
                <w:szCs w:val="21"/>
                <w:highlight w:val="none"/>
                <w:lang w:val="en-US" w:eastAsia="zh-CN"/>
              </w:rPr>
              <w:t>袋式除尘器</w:t>
            </w:r>
          </w:p>
        </w:tc>
        <w:tc>
          <w:tcPr>
            <w:tcW w:w="1548" w:type="pct"/>
            <w:noWrap w:val="0"/>
            <w:vAlign w:val="center"/>
          </w:tcPr>
          <w:p w14:paraId="183F3CC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《区域性大气污染物综合排放标准》(DB37/2376-2019)中表1中重点控制区限值</w:t>
            </w:r>
          </w:p>
        </w:tc>
      </w:tr>
      <w:tr w14:paraId="1E569C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867" w:type="pct"/>
            <w:vMerge w:val="continue"/>
            <w:noWrap w:val="0"/>
            <w:vAlign w:val="center"/>
          </w:tcPr>
          <w:p w14:paraId="72BFBE3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p>
        </w:tc>
        <w:tc>
          <w:tcPr>
            <w:tcW w:w="917" w:type="pct"/>
            <w:vMerge w:val="restart"/>
            <w:noWrap w:val="0"/>
            <w:vAlign w:val="center"/>
          </w:tcPr>
          <w:p w14:paraId="620F616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排气筒DA002</w:t>
            </w:r>
          </w:p>
        </w:tc>
        <w:tc>
          <w:tcPr>
            <w:tcW w:w="748" w:type="pct"/>
            <w:noWrap w:val="0"/>
            <w:vAlign w:val="center"/>
          </w:tcPr>
          <w:p w14:paraId="0758FEB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颗粒物、二氧化硫、氮氧化物</w:t>
            </w:r>
          </w:p>
        </w:tc>
        <w:tc>
          <w:tcPr>
            <w:tcW w:w="919" w:type="pct"/>
            <w:vMerge w:val="restart"/>
            <w:noWrap w:val="0"/>
            <w:vAlign w:val="center"/>
          </w:tcPr>
          <w:p w14:paraId="7AEBD16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TA004：SNCR脱硝装置处理</w:t>
            </w:r>
          </w:p>
        </w:tc>
        <w:tc>
          <w:tcPr>
            <w:tcW w:w="1548" w:type="pct"/>
            <w:noWrap w:val="0"/>
            <w:vAlign w:val="center"/>
          </w:tcPr>
          <w:p w14:paraId="2094FB8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《区域性大气污染物综合排放标准》(DB37/2376-2019)中表1中重点控制区限值</w:t>
            </w:r>
          </w:p>
        </w:tc>
      </w:tr>
      <w:tr w14:paraId="5681E8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867" w:type="pct"/>
            <w:vMerge w:val="continue"/>
            <w:noWrap w:val="0"/>
            <w:vAlign w:val="center"/>
          </w:tcPr>
          <w:p w14:paraId="4F62E4F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p>
        </w:tc>
        <w:tc>
          <w:tcPr>
            <w:tcW w:w="917" w:type="pct"/>
            <w:vMerge w:val="continue"/>
            <w:noWrap w:val="0"/>
            <w:vAlign w:val="center"/>
          </w:tcPr>
          <w:p w14:paraId="419E50E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p>
        </w:tc>
        <w:tc>
          <w:tcPr>
            <w:tcW w:w="748" w:type="pct"/>
            <w:tcBorders>
              <w:bottom w:val="single" w:color="auto" w:sz="4" w:space="0"/>
            </w:tcBorders>
            <w:noWrap w:val="0"/>
            <w:vAlign w:val="center"/>
          </w:tcPr>
          <w:p w14:paraId="15B6BA7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烟气黑度</w:t>
            </w:r>
          </w:p>
        </w:tc>
        <w:tc>
          <w:tcPr>
            <w:tcW w:w="919" w:type="pct"/>
            <w:vMerge w:val="continue"/>
            <w:tcBorders>
              <w:bottom w:val="single" w:color="auto" w:sz="4" w:space="0"/>
            </w:tcBorders>
            <w:noWrap w:val="0"/>
            <w:vAlign w:val="center"/>
          </w:tcPr>
          <w:p w14:paraId="350241D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p>
        </w:tc>
        <w:tc>
          <w:tcPr>
            <w:tcW w:w="1548" w:type="pct"/>
            <w:tcBorders>
              <w:bottom w:val="single" w:color="auto" w:sz="4" w:space="0"/>
              <w:right w:val="single" w:color="auto" w:sz="4" w:space="0"/>
            </w:tcBorders>
            <w:noWrap w:val="0"/>
            <w:vAlign w:val="center"/>
          </w:tcPr>
          <w:p w14:paraId="3443AB6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《工业炉窑大气污染物排放标准》(DB37/2375-2019)标准要求</w:t>
            </w:r>
          </w:p>
        </w:tc>
      </w:tr>
      <w:tr w14:paraId="3BF368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67" w:type="pct"/>
            <w:vMerge w:val="continue"/>
            <w:noWrap w:val="0"/>
            <w:vAlign w:val="center"/>
          </w:tcPr>
          <w:p w14:paraId="64D6506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p>
        </w:tc>
        <w:tc>
          <w:tcPr>
            <w:tcW w:w="917" w:type="pct"/>
            <w:vMerge w:val="continue"/>
            <w:noWrap w:val="0"/>
            <w:vAlign w:val="center"/>
          </w:tcPr>
          <w:p w14:paraId="61A5572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p>
        </w:tc>
        <w:tc>
          <w:tcPr>
            <w:tcW w:w="748" w:type="pct"/>
            <w:tcBorders>
              <w:top w:val="single" w:color="auto" w:sz="4" w:space="0"/>
            </w:tcBorders>
            <w:noWrap w:val="0"/>
            <w:vAlign w:val="center"/>
          </w:tcPr>
          <w:p w14:paraId="5807056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919" w:type="pct"/>
            <w:tcBorders>
              <w:top w:val="single" w:color="auto" w:sz="4" w:space="0"/>
            </w:tcBorders>
            <w:noWrap w:val="0"/>
            <w:vAlign w:val="center"/>
          </w:tcPr>
          <w:p w14:paraId="3886971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548" w:type="pct"/>
            <w:tcBorders>
              <w:top w:val="single" w:color="auto" w:sz="4" w:space="0"/>
              <w:right w:val="single" w:color="auto" w:sz="4" w:space="0"/>
            </w:tcBorders>
            <w:noWrap w:val="0"/>
            <w:vAlign w:val="center"/>
          </w:tcPr>
          <w:p w14:paraId="2272A37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《淄川区重污染天气消除攻坚行动方案》要求</w:t>
            </w:r>
          </w:p>
        </w:tc>
      </w:tr>
      <w:tr w14:paraId="1D000F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867" w:type="pct"/>
            <w:vMerge w:val="continue"/>
            <w:noWrap w:val="0"/>
            <w:vAlign w:val="center"/>
          </w:tcPr>
          <w:p w14:paraId="7F08A14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p>
        </w:tc>
        <w:tc>
          <w:tcPr>
            <w:tcW w:w="917" w:type="pct"/>
            <w:noWrap w:val="0"/>
            <w:vAlign w:val="center"/>
          </w:tcPr>
          <w:p w14:paraId="604AED2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排气筒DA003</w:t>
            </w:r>
          </w:p>
        </w:tc>
        <w:tc>
          <w:tcPr>
            <w:tcW w:w="748" w:type="pct"/>
            <w:noWrap w:val="0"/>
            <w:vAlign w:val="center"/>
          </w:tcPr>
          <w:p w14:paraId="70BA124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919" w:type="pct"/>
            <w:noWrap w:val="0"/>
            <w:vAlign w:val="center"/>
          </w:tcPr>
          <w:p w14:paraId="560F3B4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TA002：</w:t>
            </w:r>
            <w:r>
              <w:rPr>
                <w:rFonts w:hint="default" w:ascii="Times New Roman" w:hAnsi="Times New Roman" w:eastAsia="宋体" w:cs="Times New Roman"/>
                <w:color w:val="auto"/>
                <w:sz w:val="21"/>
                <w:szCs w:val="21"/>
                <w:highlight w:val="none"/>
                <w:lang w:val="en-US" w:eastAsia="zh-CN"/>
              </w:rPr>
              <w:t>袋式除尘器</w:t>
            </w:r>
          </w:p>
        </w:tc>
        <w:tc>
          <w:tcPr>
            <w:tcW w:w="1548" w:type="pct"/>
            <w:noWrap w:val="0"/>
            <w:vAlign w:val="center"/>
          </w:tcPr>
          <w:p w14:paraId="7252C5C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《区域性大气污染物综合排放标准》(DB37/2376-2019)中表1中重点控制区限值</w:t>
            </w:r>
          </w:p>
        </w:tc>
      </w:tr>
      <w:tr w14:paraId="5289A4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867" w:type="pct"/>
            <w:vMerge w:val="continue"/>
            <w:noWrap w:val="0"/>
            <w:vAlign w:val="center"/>
          </w:tcPr>
          <w:p w14:paraId="246C6C4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p>
        </w:tc>
        <w:tc>
          <w:tcPr>
            <w:tcW w:w="917" w:type="pct"/>
            <w:noWrap w:val="0"/>
            <w:vAlign w:val="center"/>
          </w:tcPr>
          <w:p w14:paraId="6CD00B0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排气筒DA004</w:t>
            </w:r>
          </w:p>
        </w:tc>
        <w:tc>
          <w:tcPr>
            <w:tcW w:w="748" w:type="pct"/>
            <w:noWrap w:val="0"/>
            <w:vAlign w:val="center"/>
          </w:tcPr>
          <w:p w14:paraId="3ECC245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919" w:type="pct"/>
            <w:noWrap w:val="0"/>
            <w:vAlign w:val="center"/>
          </w:tcPr>
          <w:p w14:paraId="5CC573C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TA003：</w:t>
            </w:r>
            <w:r>
              <w:rPr>
                <w:rFonts w:hint="default" w:ascii="Times New Roman" w:hAnsi="Times New Roman" w:eastAsia="宋体" w:cs="Times New Roman"/>
                <w:color w:val="auto"/>
                <w:sz w:val="21"/>
                <w:szCs w:val="21"/>
                <w:highlight w:val="none"/>
                <w:lang w:val="en-US" w:eastAsia="zh-CN"/>
              </w:rPr>
              <w:t>袋式除尘器</w:t>
            </w:r>
          </w:p>
        </w:tc>
        <w:tc>
          <w:tcPr>
            <w:tcW w:w="1548" w:type="pct"/>
            <w:noWrap w:val="0"/>
            <w:vAlign w:val="center"/>
          </w:tcPr>
          <w:p w14:paraId="748F10A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《区域性大气污染物综合排放标准》(DB37/2376-2019)中表1中重点控制区限值</w:t>
            </w:r>
          </w:p>
        </w:tc>
      </w:tr>
      <w:tr w14:paraId="0CEE4E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867" w:type="pct"/>
            <w:vMerge w:val="continue"/>
            <w:noWrap w:val="0"/>
            <w:vAlign w:val="center"/>
          </w:tcPr>
          <w:p w14:paraId="5FB12C9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p>
        </w:tc>
        <w:tc>
          <w:tcPr>
            <w:tcW w:w="917" w:type="pct"/>
            <w:noWrap w:val="0"/>
            <w:vAlign w:val="center"/>
          </w:tcPr>
          <w:p w14:paraId="61E3DEC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排气筒DA005</w:t>
            </w:r>
          </w:p>
        </w:tc>
        <w:tc>
          <w:tcPr>
            <w:tcW w:w="748" w:type="pct"/>
            <w:noWrap w:val="0"/>
            <w:vAlign w:val="center"/>
          </w:tcPr>
          <w:p w14:paraId="6726690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VOCs</w:t>
            </w:r>
          </w:p>
        </w:tc>
        <w:tc>
          <w:tcPr>
            <w:tcW w:w="919" w:type="pct"/>
            <w:noWrap w:val="0"/>
            <w:vAlign w:val="center"/>
          </w:tcPr>
          <w:p w14:paraId="4F43F57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TA005</w:t>
            </w:r>
            <w:r>
              <w:rPr>
                <w:rFonts w:hint="default" w:ascii="Times New Roman" w:hAnsi="Times New Roman" w:cs="Times New Roman"/>
                <w:color w:val="auto"/>
                <w:sz w:val="21"/>
                <w:szCs w:val="21"/>
                <w:highlight w:val="none"/>
                <w:lang w:val="en-US" w:eastAsia="zh-CN"/>
              </w:rPr>
              <w:t>：除尘器+二级活性炭</w:t>
            </w:r>
          </w:p>
        </w:tc>
        <w:tc>
          <w:tcPr>
            <w:tcW w:w="1548" w:type="pct"/>
            <w:noWrap w:val="0"/>
            <w:vAlign w:val="center"/>
          </w:tcPr>
          <w:p w14:paraId="5C11455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挥发性有机物排放标准 第6部分：有机化工行业</w:t>
            </w:r>
            <w:r>
              <w:rPr>
                <w:rFonts w:hint="default" w:ascii="Times New Roman" w:hAnsi="Times New Roman" w:cs="Times New Roman"/>
                <w:color w:val="auto"/>
                <w:sz w:val="21"/>
                <w:szCs w:val="21"/>
                <w:highlight w:val="none"/>
              </w:rPr>
              <w:t>》(DB37/2</w:t>
            </w:r>
            <w:r>
              <w:rPr>
                <w:rFonts w:hint="default" w:ascii="Times New Roman" w:hAnsi="Times New Roman" w:cs="Times New Roman"/>
                <w:color w:val="auto"/>
                <w:sz w:val="21"/>
                <w:szCs w:val="21"/>
                <w:highlight w:val="none"/>
                <w:lang w:val="en-US" w:eastAsia="zh-CN"/>
              </w:rPr>
              <w:t>801.6-2018</w:t>
            </w:r>
            <w:r>
              <w:rPr>
                <w:rFonts w:hint="default" w:ascii="Times New Roman" w:hAnsi="Times New Roman" w:cs="Times New Roman"/>
                <w:color w:val="auto"/>
                <w:sz w:val="21"/>
                <w:szCs w:val="21"/>
                <w:highlight w:val="none"/>
              </w:rPr>
              <w:t>)中表1中Ⅱ时段限值要求</w:t>
            </w:r>
          </w:p>
        </w:tc>
      </w:tr>
      <w:tr w14:paraId="15C80B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867" w:type="pct"/>
            <w:vMerge w:val="continue"/>
            <w:noWrap w:val="0"/>
            <w:vAlign w:val="center"/>
          </w:tcPr>
          <w:p w14:paraId="6263798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p>
        </w:tc>
        <w:tc>
          <w:tcPr>
            <w:tcW w:w="917" w:type="pct"/>
            <w:vMerge w:val="restart"/>
            <w:noWrap w:val="0"/>
            <w:vAlign w:val="center"/>
          </w:tcPr>
          <w:p w14:paraId="214EC1E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厂界</w:t>
            </w:r>
          </w:p>
        </w:tc>
        <w:tc>
          <w:tcPr>
            <w:tcW w:w="748" w:type="pct"/>
            <w:tcBorders>
              <w:bottom w:val="single" w:color="auto" w:sz="4" w:space="0"/>
            </w:tcBorders>
            <w:noWrap w:val="0"/>
            <w:vAlign w:val="center"/>
          </w:tcPr>
          <w:p w14:paraId="3E506E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颗粒物</w:t>
            </w:r>
          </w:p>
        </w:tc>
        <w:tc>
          <w:tcPr>
            <w:tcW w:w="919" w:type="pct"/>
            <w:tcBorders>
              <w:bottom w:val="single" w:color="auto" w:sz="4" w:space="0"/>
            </w:tcBorders>
            <w:noWrap w:val="0"/>
            <w:vAlign w:val="center"/>
          </w:tcPr>
          <w:p w14:paraId="6C60675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加强车间密闭</w:t>
            </w:r>
          </w:p>
        </w:tc>
        <w:tc>
          <w:tcPr>
            <w:tcW w:w="1548" w:type="pct"/>
            <w:tcBorders>
              <w:bottom w:val="single" w:color="auto" w:sz="4" w:space="0"/>
              <w:right w:val="single" w:color="auto" w:sz="4" w:space="0"/>
            </w:tcBorders>
            <w:noWrap w:val="0"/>
            <w:vAlign w:val="center"/>
          </w:tcPr>
          <w:p w14:paraId="2D75DFED">
            <w:pPr>
              <w:spacing w:before="31" w:line="239" w:lineRule="auto"/>
              <w:ind w:right="101"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《大</w:t>
            </w:r>
            <w:r>
              <w:rPr>
                <w:rFonts w:hint="default" w:ascii="Times New Roman" w:hAnsi="Times New Roman" w:eastAsia="宋体" w:cs="Times New Roman"/>
                <w:color w:val="auto"/>
                <w:spacing w:val="-1"/>
                <w:sz w:val="21"/>
                <w:szCs w:val="21"/>
                <w:highlight w:val="none"/>
              </w:rPr>
              <w:t>气污染物综合排放标准》</w:t>
            </w:r>
            <w:r>
              <w:rPr>
                <w:rFonts w:hint="default" w:ascii="Times New Roman" w:hAnsi="Times New Roman" w:eastAsia="宋体" w:cs="Times New Roman"/>
                <w:color w:val="auto"/>
                <w:spacing w:val="4"/>
                <w:sz w:val="21"/>
                <w:szCs w:val="21"/>
                <w:highlight w:val="none"/>
              </w:rPr>
              <w:t>(</w:t>
            </w:r>
            <w:r>
              <w:rPr>
                <w:rFonts w:hint="default" w:ascii="Times New Roman" w:hAnsi="Times New Roman" w:eastAsia="Times New Roman" w:cs="Times New Roman"/>
                <w:color w:val="auto"/>
                <w:sz w:val="21"/>
                <w:szCs w:val="21"/>
                <w:highlight w:val="none"/>
              </w:rPr>
              <w:t>GB</w:t>
            </w:r>
            <w:r>
              <w:rPr>
                <w:rFonts w:hint="default" w:ascii="Times New Roman" w:hAnsi="Times New Roman" w:eastAsia="Times New Roman" w:cs="Times New Roman"/>
                <w:color w:val="auto"/>
                <w:spacing w:val="4"/>
                <w:sz w:val="21"/>
                <w:szCs w:val="21"/>
                <w:highlight w:val="none"/>
              </w:rPr>
              <w:t>1629</w:t>
            </w:r>
            <w:r>
              <w:rPr>
                <w:rFonts w:hint="default" w:ascii="Times New Roman" w:hAnsi="Times New Roman" w:eastAsia="Times New Roman" w:cs="Times New Roman"/>
                <w:color w:val="auto"/>
                <w:spacing w:val="2"/>
                <w:sz w:val="21"/>
                <w:szCs w:val="21"/>
                <w:highlight w:val="none"/>
              </w:rPr>
              <w:t>7-1996</w:t>
            </w:r>
            <w:r>
              <w:rPr>
                <w:rFonts w:hint="default" w:ascii="Times New Roman" w:hAnsi="Times New Roman" w:eastAsia="宋体" w:cs="Times New Roman"/>
                <w:color w:val="auto"/>
                <w:spacing w:val="2"/>
                <w:sz w:val="21"/>
                <w:szCs w:val="21"/>
                <w:highlight w:val="none"/>
              </w:rPr>
              <w:t>)表</w:t>
            </w:r>
            <w:r>
              <w:rPr>
                <w:rFonts w:hint="default" w:ascii="Times New Roman" w:hAnsi="Times New Roman" w:eastAsia="Times New Roman" w:cs="Times New Roman"/>
                <w:color w:val="auto"/>
                <w:spacing w:val="2"/>
                <w:sz w:val="21"/>
                <w:szCs w:val="21"/>
                <w:highlight w:val="none"/>
              </w:rPr>
              <w:t>2</w:t>
            </w:r>
            <w:r>
              <w:rPr>
                <w:rFonts w:hint="default" w:ascii="Times New Roman" w:hAnsi="Times New Roman" w:eastAsia="宋体" w:cs="Times New Roman"/>
                <w:color w:val="auto"/>
                <w:spacing w:val="2"/>
                <w:sz w:val="21"/>
                <w:szCs w:val="21"/>
                <w:highlight w:val="none"/>
              </w:rPr>
              <w:t>中颗粒物无组织监</w:t>
            </w:r>
            <w:r>
              <w:rPr>
                <w:rFonts w:hint="default" w:ascii="Times New Roman" w:hAnsi="Times New Roman" w:eastAsia="宋体" w:cs="Times New Roman"/>
                <w:color w:val="auto"/>
                <w:spacing w:val="-1"/>
                <w:sz w:val="21"/>
                <w:szCs w:val="21"/>
                <w:highlight w:val="none"/>
              </w:rPr>
              <w:t>控点浓度</w:t>
            </w:r>
            <w:r>
              <w:rPr>
                <w:rFonts w:hint="default" w:ascii="Times New Roman" w:hAnsi="Times New Roman" w:eastAsia="宋体" w:cs="Times New Roman"/>
                <w:color w:val="auto"/>
                <w:sz w:val="21"/>
                <w:szCs w:val="21"/>
                <w:highlight w:val="none"/>
              </w:rPr>
              <w:t>限值</w:t>
            </w:r>
          </w:p>
        </w:tc>
      </w:tr>
      <w:tr w14:paraId="05AFA4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867" w:type="pct"/>
            <w:vMerge w:val="continue"/>
            <w:noWrap w:val="0"/>
            <w:vAlign w:val="center"/>
          </w:tcPr>
          <w:p w14:paraId="0E97C4D5">
            <w:pPr>
              <w:spacing w:before="31" w:line="239" w:lineRule="auto"/>
              <w:ind w:right="101" w:rightChars="0"/>
              <w:jc w:val="center"/>
              <w:rPr>
                <w:color w:val="auto"/>
              </w:rPr>
            </w:pPr>
          </w:p>
        </w:tc>
        <w:tc>
          <w:tcPr>
            <w:tcW w:w="917" w:type="pct"/>
            <w:vMerge w:val="continue"/>
            <w:tcBorders>
              <w:bottom w:val="single" w:color="auto" w:sz="4" w:space="0"/>
            </w:tcBorders>
            <w:noWrap w:val="0"/>
            <w:vAlign w:val="center"/>
          </w:tcPr>
          <w:p w14:paraId="7F51BAA0">
            <w:pPr>
              <w:spacing w:before="31" w:line="239" w:lineRule="auto"/>
              <w:ind w:right="101" w:rightChars="0"/>
              <w:jc w:val="center"/>
              <w:rPr>
                <w:color w:val="auto"/>
              </w:rPr>
            </w:pPr>
          </w:p>
        </w:tc>
        <w:tc>
          <w:tcPr>
            <w:tcW w:w="748" w:type="pct"/>
            <w:tcBorders>
              <w:bottom w:val="single" w:color="auto" w:sz="4" w:space="0"/>
            </w:tcBorders>
            <w:noWrap w:val="0"/>
            <w:vAlign w:val="center"/>
          </w:tcPr>
          <w:p w14:paraId="1D43E248">
            <w:pPr>
              <w:spacing w:before="31" w:line="239" w:lineRule="auto"/>
              <w:ind w:right="101" w:rightChars="0"/>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氨</w:t>
            </w:r>
          </w:p>
        </w:tc>
        <w:tc>
          <w:tcPr>
            <w:tcW w:w="919" w:type="pct"/>
            <w:tcBorders>
              <w:bottom w:val="single" w:color="auto" w:sz="4" w:space="0"/>
            </w:tcBorders>
            <w:noWrap w:val="0"/>
            <w:vAlign w:val="center"/>
          </w:tcPr>
          <w:p w14:paraId="78815DAC">
            <w:pPr>
              <w:spacing w:before="31" w:line="239" w:lineRule="auto"/>
              <w:ind w:right="101" w:rightChars="0"/>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48" w:type="pct"/>
            <w:tcBorders>
              <w:bottom w:val="single" w:color="auto" w:sz="4" w:space="0"/>
              <w:right w:val="single" w:color="auto" w:sz="4" w:space="0"/>
            </w:tcBorders>
            <w:noWrap w:val="0"/>
            <w:vAlign w:val="center"/>
          </w:tcPr>
          <w:p w14:paraId="7FD142B0">
            <w:pPr>
              <w:spacing w:before="31" w:line="239" w:lineRule="auto"/>
              <w:ind w:right="101" w:rightChars="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《恶臭污染物排放标准》（GB14554-93）表1恶臭污染物厂界标准值</w:t>
            </w:r>
          </w:p>
        </w:tc>
      </w:tr>
      <w:tr w14:paraId="0C5E7A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867" w:type="pct"/>
            <w:vMerge w:val="continue"/>
            <w:noWrap w:val="0"/>
            <w:vAlign w:val="center"/>
          </w:tcPr>
          <w:p w14:paraId="0681C6C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p>
        </w:tc>
        <w:tc>
          <w:tcPr>
            <w:tcW w:w="917" w:type="pct"/>
            <w:vMerge w:val="continue"/>
            <w:tcBorders>
              <w:top w:val="single" w:color="auto" w:sz="4" w:space="0"/>
              <w:bottom w:val="single" w:color="auto" w:sz="4" w:space="0"/>
            </w:tcBorders>
            <w:noWrap w:val="0"/>
            <w:vAlign w:val="center"/>
          </w:tcPr>
          <w:p w14:paraId="42EA989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p>
        </w:tc>
        <w:tc>
          <w:tcPr>
            <w:tcW w:w="748" w:type="pct"/>
            <w:tcBorders>
              <w:top w:val="single" w:color="auto" w:sz="4" w:space="0"/>
              <w:bottom w:val="single" w:color="auto" w:sz="4" w:space="0"/>
            </w:tcBorders>
            <w:noWrap w:val="0"/>
            <w:vAlign w:val="center"/>
          </w:tcPr>
          <w:p w14:paraId="29F38F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VOCs</w:t>
            </w:r>
          </w:p>
        </w:tc>
        <w:tc>
          <w:tcPr>
            <w:tcW w:w="919" w:type="pct"/>
            <w:tcBorders>
              <w:top w:val="single" w:color="auto" w:sz="4" w:space="0"/>
              <w:bottom w:val="single" w:color="auto" w:sz="4" w:space="0"/>
            </w:tcBorders>
            <w:noWrap w:val="0"/>
            <w:vAlign w:val="center"/>
          </w:tcPr>
          <w:p w14:paraId="5BA21AE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加强车间密闭</w:t>
            </w:r>
          </w:p>
        </w:tc>
        <w:tc>
          <w:tcPr>
            <w:tcW w:w="1548" w:type="pct"/>
            <w:tcBorders>
              <w:top w:val="single" w:color="auto" w:sz="4" w:space="0"/>
              <w:bottom w:val="single" w:color="auto" w:sz="4" w:space="0"/>
              <w:right w:val="single" w:color="auto" w:sz="4" w:space="0"/>
            </w:tcBorders>
            <w:noWrap w:val="0"/>
            <w:vAlign w:val="center"/>
          </w:tcPr>
          <w:p w14:paraId="4FC429AA">
            <w:pPr>
              <w:spacing w:before="31" w:line="239" w:lineRule="auto"/>
              <w:ind w:right="101"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《挥发性有机物排放标准 第6部分 有机化工行业》（DB37/2801.6-2018）表3厂界监控点浓度限值</w:t>
            </w:r>
          </w:p>
        </w:tc>
      </w:tr>
      <w:tr w14:paraId="54EF26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67" w:type="pct"/>
            <w:vMerge w:val="continue"/>
            <w:noWrap w:val="0"/>
            <w:vAlign w:val="center"/>
          </w:tcPr>
          <w:p w14:paraId="4E708CC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p>
        </w:tc>
        <w:tc>
          <w:tcPr>
            <w:tcW w:w="917" w:type="pct"/>
            <w:tcBorders>
              <w:top w:val="single" w:color="auto" w:sz="4" w:space="0"/>
            </w:tcBorders>
            <w:noWrap w:val="0"/>
            <w:vAlign w:val="center"/>
          </w:tcPr>
          <w:p w14:paraId="48BA655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厂内</w:t>
            </w:r>
          </w:p>
        </w:tc>
        <w:tc>
          <w:tcPr>
            <w:tcW w:w="748" w:type="pct"/>
            <w:tcBorders>
              <w:top w:val="single" w:color="auto" w:sz="4" w:space="0"/>
            </w:tcBorders>
            <w:noWrap w:val="0"/>
            <w:vAlign w:val="center"/>
          </w:tcPr>
          <w:p w14:paraId="12452C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VOCs</w:t>
            </w:r>
          </w:p>
        </w:tc>
        <w:tc>
          <w:tcPr>
            <w:tcW w:w="919" w:type="pct"/>
            <w:tcBorders>
              <w:top w:val="single" w:color="auto" w:sz="4" w:space="0"/>
            </w:tcBorders>
            <w:noWrap w:val="0"/>
            <w:vAlign w:val="center"/>
          </w:tcPr>
          <w:p w14:paraId="379E046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加强车间密闭</w:t>
            </w:r>
          </w:p>
        </w:tc>
        <w:tc>
          <w:tcPr>
            <w:tcW w:w="1548" w:type="pct"/>
            <w:tcBorders>
              <w:top w:val="single" w:color="auto" w:sz="4" w:space="0"/>
              <w:right w:val="single" w:color="auto" w:sz="4" w:space="0"/>
            </w:tcBorders>
            <w:noWrap w:val="0"/>
            <w:vAlign w:val="center"/>
          </w:tcPr>
          <w:p w14:paraId="6070D52A">
            <w:pPr>
              <w:spacing w:before="31" w:line="239" w:lineRule="auto"/>
              <w:ind w:right="101" w:rightChars="0"/>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《挥发性有机物无组织排放控制标准》（GB37822-2019）表A.1中特别排放限值</w:t>
            </w:r>
          </w:p>
        </w:tc>
      </w:tr>
      <w:tr w14:paraId="66A03B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867" w:type="pct"/>
            <w:noWrap w:val="0"/>
            <w:vAlign w:val="center"/>
          </w:tcPr>
          <w:p w14:paraId="1A0C51E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地表水环境</w:t>
            </w:r>
          </w:p>
        </w:tc>
        <w:tc>
          <w:tcPr>
            <w:tcW w:w="4132" w:type="pct"/>
            <w:gridSpan w:val="4"/>
            <w:noWrap w:val="0"/>
            <w:vAlign w:val="center"/>
          </w:tcPr>
          <w:p w14:paraId="410D0BC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2"/>
                <w:sz w:val="21"/>
                <w:szCs w:val="21"/>
                <w:highlight w:val="none"/>
                <w:lang w:val="en-US" w:eastAsia="zh-CN"/>
              </w:rPr>
              <w:t>本技改项目无废水产生。原有项目生活污水经化粪池收集后，定期清挖堆肥。</w:t>
            </w:r>
          </w:p>
        </w:tc>
      </w:tr>
      <w:tr w14:paraId="52982E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7" w:type="pct"/>
            <w:noWrap w:val="0"/>
            <w:vAlign w:val="center"/>
          </w:tcPr>
          <w:p w14:paraId="2988077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声环境</w:t>
            </w:r>
          </w:p>
        </w:tc>
        <w:tc>
          <w:tcPr>
            <w:tcW w:w="917" w:type="pct"/>
            <w:noWrap w:val="0"/>
            <w:vAlign w:val="center"/>
          </w:tcPr>
          <w:p w14:paraId="34E0307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生产设备、风机等</w:t>
            </w:r>
          </w:p>
        </w:tc>
        <w:tc>
          <w:tcPr>
            <w:tcW w:w="748" w:type="pct"/>
            <w:noWrap w:val="0"/>
            <w:vAlign w:val="center"/>
          </w:tcPr>
          <w:p w14:paraId="6B1047E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Leq</w:t>
            </w:r>
          </w:p>
        </w:tc>
        <w:tc>
          <w:tcPr>
            <w:tcW w:w="919" w:type="pct"/>
            <w:noWrap w:val="0"/>
            <w:vAlign w:val="center"/>
          </w:tcPr>
          <w:p w14:paraId="2118E3D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基础减震，厂房隔声、距离衰减</w:t>
            </w:r>
          </w:p>
        </w:tc>
        <w:tc>
          <w:tcPr>
            <w:tcW w:w="1548" w:type="pct"/>
            <w:noWrap w:val="0"/>
            <w:vAlign w:val="center"/>
          </w:tcPr>
          <w:p w14:paraId="249EFB0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类标准</w:t>
            </w:r>
          </w:p>
        </w:tc>
      </w:tr>
      <w:tr w14:paraId="2A4F3B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7" w:type="pct"/>
            <w:noWrap w:val="0"/>
            <w:vAlign w:val="center"/>
          </w:tcPr>
          <w:p w14:paraId="6A2B116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电磁辐射</w:t>
            </w:r>
          </w:p>
        </w:tc>
        <w:tc>
          <w:tcPr>
            <w:tcW w:w="917" w:type="pct"/>
            <w:noWrap w:val="0"/>
            <w:vAlign w:val="center"/>
          </w:tcPr>
          <w:p w14:paraId="559C76E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748" w:type="pct"/>
            <w:noWrap w:val="0"/>
            <w:vAlign w:val="center"/>
          </w:tcPr>
          <w:p w14:paraId="46C1861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919" w:type="pct"/>
            <w:noWrap w:val="0"/>
            <w:vAlign w:val="center"/>
          </w:tcPr>
          <w:p w14:paraId="470E520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548" w:type="pct"/>
            <w:noWrap w:val="0"/>
            <w:vAlign w:val="center"/>
          </w:tcPr>
          <w:p w14:paraId="74A3DDE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294F2F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7" w:type="pct"/>
            <w:noWrap w:val="0"/>
            <w:vAlign w:val="center"/>
          </w:tcPr>
          <w:p w14:paraId="4D480AE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固体废物</w:t>
            </w:r>
          </w:p>
        </w:tc>
        <w:tc>
          <w:tcPr>
            <w:tcW w:w="4132" w:type="pct"/>
            <w:gridSpan w:val="4"/>
            <w:noWrap w:val="0"/>
            <w:vAlign w:val="center"/>
          </w:tcPr>
          <w:p w14:paraId="31BEE40B">
            <w:pPr>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一般固废：袋式除尘粉尘作为原料回用于烘干工序；废包装袋外售综合利用；危险废物：废包装桶、废润滑油、废油桶、废滤芯、废活性炭在危废暂存间暂存后，定期委托有资质单位进行处置；生活垃圾由环卫部门定期清远。</w:t>
            </w:r>
          </w:p>
        </w:tc>
      </w:tr>
      <w:tr w14:paraId="53FBF2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7" w:type="pct"/>
            <w:noWrap w:val="0"/>
            <w:vAlign w:val="center"/>
          </w:tcPr>
          <w:p w14:paraId="78DF0A9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土壤及地下水</w:t>
            </w:r>
          </w:p>
          <w:p w14:paraId="7CA4909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污染防治措施</w:t>
            </w:r>
          </w:p>
        </w:tc>
        <w:tc>
          <w:tcPr>
            <w:tcW w:w="4132" w:type="pct"/>
            <w:gridSpan w:val="4"/>
            <w:noWrap w:val="0"/>
            <w:vAlign w:val="center"/>
          </w:tcPr>
          <w:p w14:paraId="1F758201">
            <w:pPr>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化粪池和危废暂存间防渗层需满足</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环境影响评价技术导则 地下水环境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HJ610-2016</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重点防渗区等效黏土防渗层Mb≥6.0m，K≤1×10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cm/s、或参照GB18598要求；</w:t>
            </w:r>
            <w:r>
              <w:rPr>
                <w:rFonts w:hint="default" w:ascii="Times New Roman" w:hAnsi="Times New Roman" w:cs="Times New Roman"/>
                <w:color w:val="auto"/>
                <w:sz w:val="21"/>
                <w:szCs w:val="21"/>
                <w:highlight w:val="none"/>
                <w:lang w:val="en-US" w:eastAsia="zh-CN"/>
              </w:rPr>
              <w:t>其他为一般防渗区</w:t>
            </w:r>
          </w:p>
        </w:tc>
      </w:tr>
      <w:tr w14:paraId="468708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7" w:type="pct"/>
            <w:noWrap w:val="0"/>
            <w:vAlign w:val="center"/>
          </w:tcPr>
          <w:p w14:paraId="3F1D4FD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生态保护措施</w:t>
            </w:r>
          </w:p>
        </w:tc>
        <w:tc>
          <w:tcPr>
            <w:tcW w:w="4132" w:type="pct"/>
            <w:gridSpan w:val="4"/>
            <w:noWrap w:val="0"/>
            <w:vAlign w:val="center"/>
          </w:tcPr>
          <w:p w14:paraId="086DF85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24BE18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7" w:type="pct"/>
            <w:noWrap w:val="0"/>
            <w:vAlign w:val="center"/>
          </w:tcPr>
          <w:p w14:paraId="03A94F9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pacing w:val="-8"/>
                <w:sz w:val="21"/>
                <w:szCs w:val="21"/>
                <w:highlight w:val="none"/>
              </w:rPr>
            </w:pPr>
            <w:r>
              <w:rPr>
                <w:rFonts w:hint="default" w:ascii="Times New Roman" w:hAnsi="Times New Roman" w:eastAsia="黑体" w:cs="Times New Roman"/>
                <w:color w:val="auto"/>
                <w:spacing w:val="-8"/>
                <w:sz w:val="21"/>
                <w:szCs w:val="21"/>
                <w:highlight w:val="none"/>
              </w:rPr>
              <w:t>环境风险</w:t>
            </w:r>
          </w:p>
          <w:p w14:paraId="22F78E1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pacing w:val="-8"/>
                <w:sz w:val="21"/>
                <w:szCs w:val="21"/>
                <w:highlight w:val="none"/>
              </w:rPr>
            </w:pPr>
            <w:r>
              <w:rPr>
                <w:rFonts w:hint="default" w:ascii="Times New Roman" w:hAnsi="Times New Roman" w:eastAsia="黑体" w:cs="Times New Roman"/>
                <w:color w:val="auto"/>
                <w:spacing w:val="-8"/>
                <w:sz w:val="21"/>
                <w:szCs w:val="21"/>
                <w:highlight w:val="none"/>
              </w:rPr>
              <w:t>防范措施</w:t>
            </w:r>
          </w:p>
        </w:tc>
        <w:tc>
          <w:tcPr>
            <w:tcW w:w="4132" w:type="pct"/>
            <w:gridSpan w:val="4"/>
            <w:noWrap w:val="0"/>
            <w:vAlign w:val="center"/>
          </w:tcPr>
          <w:p w14:paraId="5A6DCDD5">
            <w:pPr>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1、危废暂存间地面要用坚固、防渗的材料建造，须做好地面硬化且表面无裂缝；</w:t>
            </w:r>
          </w:p>
          <w:p w14:paraId="583D96C6">
            <w:pPr>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2、厂区内配备必要的消防设备；</w:t>
            </w:r>
          </w:p>
          <w:p w14:paraId="249A0614">
            <w:pPr>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3、厂区内各设施留有的防火间距，对无法留足防火间距的采用防火墙进行分隔；</w:t>
            </w:r>
          </w:p>
          <w:p w14:paraId="3247CA44">
            <w:pPr>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4、建立巡检机制，对堆放具有可燃性的原料、产品的车间按时检查，车间内物料不易堆放过多，并应具有一定间隔。</w:t>
            </w:r>
          </w:p>
          <w:p w14:paraId="01B390EA">
            <w:pPr>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5、督促企业进行定期、不定期的自检自查，落实各项消防安全管理制度，不断加强消防工作。</w:t>
            </w:r>
          </w:p>
        </w:tc>
      </w:tr>
      <w:tr w14:paraId="5B74D0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67" w:type="pct"/>
            <w:noWrap w:val="0"/>
            <w:vAlign w:val="center"/>
          </w:tcPr>
          <w:p w14:paraId="0CAFE5D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pacing w:val="-8"/>
                <w:sz w:val="21"/>
                <w:szCs w:val="21"/>
                <w:highlight w:val="none"/>
              </w:rPr>
            </w:pPr>
            <w:r>
              <w:rPr>
                <w:rFonts w:hint="default" w:ascii="Times New Roman" w:hAnsi="Times New Roman" w:eastAsia="黑体" w:cs="Times New Roman"/>
                <w:color w:val="auto"/>
                <w:spacing w:val="-8"/>
                <w:sz w:val="21"/>
                <w:szCs w:val="21"/>
                <w:highlight w:val="none"/>
              </w:rPr>
              <w:t>其他环境</w:t>
            </w:r>
          </w:p>
          <w:p w14:paraId="039AA44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黑体" w:cs="Times New Roman"/>
                <w:color w:val="auto"/>
                <w:spacing w:val="-8"/>
                <w:sz w:val="21"/>
                <w:szCs w:val="21"/>
                <w:highlight w:val="none"/>
              </w:rPr>
            </w:pPr>
            <w:r>
              <w:rPr>
                <w:rFonts w:hint="default" w:ascii="Times New Roman" w:hAnsi="Times New Roman" w:eastAsia="黑体" w:cs="Times New Roman"/>
                <w:color w:val="auto"/>
                <w:spacing w:val="-8"/>
                <w:sz w:val="21"/>
                <w:szCs w:val="21"/>
                <w:highlight w:val="none"/>
              </w:rPr>
              <w:t>管理要求</w:t>
            </w:r>
          </w:p>
        </w:tc>
        <w:tc>
          <w:tcPr>
            <w:tcW w:w="4132" w:type="pct"/>
            <w:gridSpan w:val="4"/>
            <w:noWrap w:val="0"/>
            <w:vAlign w:val="center"/>
          </w:tcPr>
          <w:p w14:paraId="3C8B11C0">
            <w:pPr>
              <w:pStyle w:val="30"/>
              <w:keepNext w:val="0"/>
              <w:keepLines w:val="0"/>
              <w:pageBreakBefore w:val="0"/>
              <w:widowControl w:val="0"/>
              <w:kinsoku/>
              <w:wordWrap/>
              <w:overflowPunct/>
              <w:topLinePunct w:val="0"/>
              <w:autoSpaceDE/>
              <w:autoSpaceDN/>
              <w:bidi w:val="0"/>
              <w:adjustRightInd w:val="0"/>
              <w:spacing w:line="320" w:lineRule="exact"/>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1、本项目需按照申请排污许可证申请与核发技术规范要求</w:t>
            </w:r>
            <w:r>
              <w:rPr>
                <w:rFonts w:hint="default" w:ascii="Times New Roman" w:hAnsi="Times New Roman" w:eastAsia="宋体" w:cs="Times New Roman"/>
                <w:bCs/>
                <w:color w:val="auto"/>
                <w:sz w:val="21"/>
                <w:szCs w:val="21"/>
                <w:highlight w:val="none"/>
                <w:lang w:val="en-US" w:eastAsia="zh-CN"/>
              </w:rPr>
              <w:t>重新</w:t>
            </w:r>
            <w:r>
              <w:rPr>
                <w:rFonts w:hint="default" w:ascii="Times New Roman" w:hAnsi="Times New Roman" w:eastAsia="宋体" w:cs="Times New Roman"/>
                <w:bCs/>
                <w:color w:val="auto"/>
                <w:sz w:val="21"/>
                <w:szCs w:val="21"/>
                <w:highlight w:val="none"/>
              </w:rPr>
              <w:t>申领许可证；</w:t>
            </w:r>
          </w:p>
          <w:p w14:paraId="49A908CF">
            <w:pPr>
              <w:pStyle w:val="30"/>
              <w:keepNext w:val="0"/>
              <w:keepLines w:val="0"/>
              <w:pageBreakBefore w:val="0"/>
              <w:widowControl w:val="0"/>
              <w:kinsoku/>
              <w:wordWrap/>
              <w:overflowPunct/>
              <w:topLinePunct w:val="0"/>
              <w:autoSpaceDE/>
              <w:autoSpaceDN/>
              <w:bidi w:val="0"/>
              <w:adjustRightInd w:val="0"/>
              <w:spacing w:line="320" w:lineRule="exact"/>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2、项目建设完成后，需根据《建设项目竣工环境保护验收暂行办法》等法律法规及时开展竣工环境保护验收；</w:t>
            </w:r>
          </w:p>
          <w:p w14:paraId="782E9C8A">
            <w:pPr>
              <w:pStyle w:val="30"/>
              <w:keepNext w:val="0"/>
              <w:keepLines w:val="0"/>
              <w:pageBreakBefore w:val="0"/>
              <w:widowControl w:val="0"/>
              <w:kinsoku/>
              <w:wordWrap/>
              <w:overflowPunct/>
              <w:topLinePunct w:val="0"/>
              <w:autoSpaceDE/>
              <w:autoSpaceDN/>
              <w:bidi w:val="0"/>
              <w:adjustRightInd w:val="0"/>
              <w:spacing w:line="320" w:lineRule="exact"/>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3、本项目在后期生产中需根据本报告提出的各因素监测计划及时开展例行监测</w:t>
            </w:r>
            <w:r>
              <w:rPr>
                <w:rFonts w:hint="default" w:ascii="Times New Roman" w:hAnsi="Times New Roman" w:eastAsia="宋体" w:cs="Times New Roman"/>
                <w:bCs/>
                <w:color w:val="auto"/>
                <w:sz w:val="21"/>
                <w:szCs w:val="21"/>
                <w:highlight w:val="none"/>
                <w:lang w:eastAsia="zh-CN"/>
              </w:rPr>
              <w:t>，并进行信息公开</w:t>
            </w:r>
            <w:r>
              <w:rPr>
                <w:rFonts w:hint="default" w:ascii="Times New Roman" w:hAnsi="Times New Roman" w:eastAsia="宋体" w:cs="Times New Roman"/>
                <w:bCs/>
                <w:color w:val="auto"/>
                <w:sz w:val="21"/>
                <w:szCs w:val="21"/>
                <w:highlight w:val="none"/>
              </w:rPr>
              <w:t>。</w:t>
            </w:r>
          </w:p>
        </w:tc>
      </w:tr>
    </w:tbl>
    <w:p w14:paraId="297634DB">
      <w:pPr>
        <w:pStyle w:val="21"/>
        <w:shd w:val="clear"/>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none"/>
        </w:rPr>
        <w:br w:type="page"/>
      </w:r>
      <w:r>
        <w:rPr>
          <w:rFonts w:hint="default" w:ascii="Times New Roman" w:hAnsi="Times New Roman" w:eastAsia="黑体" w:cs="Times New Roman"/>
          <w:snapToGrid w:val="0"/>
          <w:color w:val="auto"/>
          <w:sz w:val="30"/>
          <w:szCs w:val="30"/>
          <w:highlight w:val="none"/>
        </w:rPr>
        <w:t>六、结论</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E37A6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1F325C60">
            <w:pPr>
              <w:pStyle w:val="17"/>
              <w:adjustRightInd w:val="0"/>
              <w:snapToGrid w:val="0"/>
              <w:spacing w:after="0" w:line="360" w:lineRule="auto"/>
              <w:ind w:left="0" w:leftChars="0" w:firstLine="480" w:firstLineChars="200"/>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综上所述，本项目</w:t>
            </w:r>
            <w:r>
              <w:rPr>
                <w:rFonts w:hint="default" w:ascii="Times New Roman" w:hAnsi="Times New Roman" w:eastAsia="黑体" w:cs="Times New Roman"/>
                <w:bCs/>
                <w:color w:val="auto"/>
                <w:sz w:val="24"/>
                <w:szCs w:val="24"/>
                <w:highlight w:val="none"/>
              </w:rPr>
              <w:t>符合国家产业政策，符合规划要求，</w:t>
            </w:r>
            <w:r>
              <w:rPr>
                <w:rFonts w:hint="eastAsia" w:eastAsia="黑体" w:cs="Times New Roman"/>
                <w:bCs/>
                <w:color w:val="auto"/>
                <w:sz w:val="24"/>
                <w:szCs w:val="24"/>
                <w:highlight w:val="none"/>
                <w:lang w:val="en-US" w:eastAsia="zh-CN"/>
              </w:rPr>
              <w:t>选址合理，</w:t>
            </w:r>
            <w:r>
              <w:rPr>
                <w:rFonts w:hint="default" w:ascii="Times New Roman" w:hAnsi="Times New Roman" w:eastAsia="黑体" w:cs="Times New Roman"/>
                <w:bCs/>
                <w:color w:val="auto"/>
                <w:sz w:val="24"/>
                <w:szCs w:val="24"/>
                <w:highlight w:val="none"/>
              </w:rPr>
              <w:t>符合</w:t>
            </w:r>
            <w:r>
              <w:rPr>
                <w:rFonts w:hint="eastAsia" w:ascii="Times New Roman" w:hAnsi="Times New Roman" w:eastAsia="黑体" w:cs="Times New Roman"/>
                <w:bCs/>
                <w:color w:val="auto"/>
                <w:sz w:val="24"/>
                <w:szCs w:val="24"/>
                <w:highlight w:val="none"/>
                <w:lang w:val="en-US" w:eastAsia="zh-CN"/>
              </w:rPr>
              <w:t>生态环境分区管控</w:t>
            </w:r>
            <w:r>
              <w:rPr>
                <w:rFonts w:hint="default" w:ascii="Times New Roman" w:hAnsi="Times New Roman" w:eastAsia="黑体" w:cs="Times New Roman"/>
                <w:bCs/>
                <w:color w:val="auto"/>
                <w:sz w:val="24"/>
                <w:szCs w:val="24"/>
                <w:highlight w:val="none"/>
              </w:rPr>
              <w:t>的要求，</w:t>
            </w:r>
            <w:r>
              <w:rPr>
                <w:rFonts w:hint="default" w:ascii="Times New Roman" w:hAnsi="Times New Roman" w:eastAsia="黑体" w:cs="Times New Roman"/>
                <w:color w:val="auto"/>
                <w:sz w:val="24"/>
                <w:szCs w:val="24"/>
                <w:highlight w:val="none"/>
              </w:rPr>
              <w:t>在落实各种污染防治措施的条件下，各项污染物可达标排放，对周边环境影响较小。从环境保护角度分析，项目建设是可行的。</w:t>
            </w:r>
          </w:p>
          <w:p w14:paraId="758706FB">
            <w:pPr>
              <w:keepNext w:val="0"/>
              <w:keepLines w:val="0"/>
              <w:pageBreakBefore w:val="0"/>
              <w:widowControl w:val="0"/>
              <w:shd w:val="clear"/>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sz w:val="24"/>
                <w:highlight w:val="none"/>
              </w:rPr>
            </w:pPr>
          </w:p>
        </w:tc>
      </w:tr>
    </w:tbl>
    <w:p w14:paraId="593B78DC">
      <w:pPr>
        <w:shd w:val="clear"/>
        <w:rPr>
          <w:rFonts w:hint="default" w:ascii="Times New Roman" w:hAnsi="Times New Roman" w:cs="Times New Roman"/>
          <w:color w:val="auto"/>
          <w:highlight w:val="none"/>
        </w:rPr>
      </w:pPr>
    </w:p>
    <w:p w14:paraId="50D3C4F0">
      <w:pPr>
        <w:pStyle w:val="23"/>
        <w:shd w:val="clea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CB08CDB">
      <w:pPr>
        <w:pStyle w:val="21"/>
        <w:keepNext w:val="0"/>
        <w:keepLines w:val="0"/>
        <w:pageBreakBefore w:val="0"/>
        <w:widowControl/>
        <w:shd w:val="clear"/>
        <w:kinsoku/>
        <w:wordWrap/>
        <w:overflowPunct/>
        <w:topLinePunct w:val="0"/>
        <w:autoSpaceDE/>
        <w:autoSpaceDN/>
        <w:bidi w:val="0"/>
        <w:adjustRightInd w:val="0"/>
        <w:snapToGrid w:val="0"/>
        <w:spacing w:before="0" w:beforeAutospacing="0" w:after="0" w:afterAutospacing="0" w:line="240" w:lineRule="auto"/>
        <w:textAlignment w:val="auto"/>
        <w:outlineLvl w:val="0"/>
        <w:rPr>
          <w:rFonts w:hint="default" w:ascii="Times New Roman" w:hAnsi="Times New Roman" w:eastAsia="黑体" w:cs="Times New Roman"/>
          <w:snapToGrid w:val="0"/>
          <w:color w:val="auto"/>
          <w:sz w:val="32"/>
          <w:szCs w:val="32"/>
          <w:highlight w:val="none"/>
        </w:rPr>
      </w:pPr>
      <w:r>
        <w:rPr>
          <w:rFonts w:hint="default" w:ascii="Times New Roman" w:hAnsi="Times New Roman" w:eastAsia="黑体" w:cs="Times New Roman"/>
          <w:snapToGrid w:val="0"/>
          <w:color w:val="auto"/>
          <w:sz w:val="32"/>
          <w:szCs w:val="32"/>
          <w:highlight w:val="none"/>
        </w:rPr>
        <w:t>附表</w:t>
      </w:r>
    </w:p>
    <w:p w14:paraId="397181B1">
      <w:pPr>
        <w:pStyle w:val="21"/>
        <w:keepNext w:val="0"/>
        <w:keepLines w:val="0"/>
        <w:pageBreakBefore w:val="0"/>
        <w:widowControl/>
        <w:shd w:val="clear"/>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default" w:ascii="Times New Roman" w:hAnsi="Times New Roman" w:eastAsia="方正小标宋_GBK" w:cs="Times New Roman"/>
          <w:snapToGrid w:val="0"/>
          <w:color w:val="auto"/>
          <w:sz w:val="38"/>
          <w:szCs w:val="38"/>
          <w:highlight w:val="none"/>
        </w:rPr>
      </w:pPr>
      <w:r>
        <w:rPr>
          <w:rFonts w:hint="default" w:ascii="Times New Roman" w:hAnsi="Times New Roman" w:eastAsia="方正小标宋_GBK" w:cs="Times New Roman"/>
          <w:snapToGrid w:val="0"/>
          <w:color w:val="auto"/>
          <w:sz w:val="38"/>
          <w:szCs w:val="38"/>
          <w:highlight w:val="none"/>
        </w:rPr>
        <w:t>建设项目污染物排放量汇总表</w:t>
      </w:r>
    </w:p>
    <w:tbl>
      <w:tblPr>
        <w:tblStyle w:val="24"/>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959"/>
        <w:gridCol w:w="826"/>
      </w:tblGrid>
      <w:tr w14:paraId="21A69A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3F839DFC">
            <w:pPr>
              <w:pStyle w:val="46"/>
              <w:keepNext w:val="0"/>
              <w:keepLines w:val="0"/>
              <w:pageBreakBefore w:val="0"/>
              <w:shd w:val="clear"/>
              <w:kinsoku/>
              <w:wordWrap/>
              <w:overflowPunct/>
              <w:topLinePunct w:val="0"/>
              <w:autoSpaceDE/>
              <w:autoSpaceDN/>
              <w:bidi w:val="0"/>
              <w:spacing w:beforeLines="0" w:afterLines="0" w:line="240" w:lineRule="auto"/>
              <w:ind w:firstLine="0" w:firstLineChars="0"/>
              <w:jc w:val="right"/>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项目</w:t>
            </w:r>
          </w:p>
          <w:p w14:paraId="04E18F1C">
            <w:pPr>
              <w:pStyle w:val="46"/>
              <w:keepNext w:val="0"/>
              <w:keepLines w:val="0"/>
              <w:pageBreakBefore w:val="0"/>
              <w:shd w:val="clear"/>
              <w:kinsoku/>
              <w:wordWrap/>
              <w:overflowPunct/>
              <w:topLinePunct w:val="0"/>
              <w:autoSpaceDE/>
              <w:autoSpaceDN/>
              <w:bidi w:val="0"/>
              <w:spacing w:beforeLines="0" w:afterLines="0" w:line="240" w:lineRule="auto"/>
              <w:ind w:firstLine="0" w:firstLineChars="0"/>
              <w:jc w:val="left"/>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分类</w:t>
            </w:r>
          </w:p>
        </w:tc>
        <w:tc>
          <w:tcPr>
            <w:tcW w:w="1417" w:type="dxa"/>
            <w:noWrap w:val="0"/>
            <w:tcMar>
              <w:left w:w="28" w:type="dxa"/>
              <w:right w:w="28" w:type="dxa"/>
            </w:tcMar>
            <w:vAlign w:val="center"/>
          </w:tcPr>
          <w:p w14:paraId="096BB424">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污染物名称</w:t>
            </w:r>
          </w:p>
        </w:tc>
        <w:tc>
          <w:tcPr>
            <w:tcW w:w="1701" w:type="dxa"/>
            <w:noWrap w:val="0"/>
            <w:tcMar>
              <w:left w:w="28" w:type="dxa"/>
              <w:right w:w="28" w:type="dxa"/>
            </w:tcMar>
            <w:vAlign w:val="center"/>
          </w:tcPr>
          <w:p w14:paraId="7E1CE4AC">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现有工程</w:t>
            </w:r>
          </w:p>
          <w:p w14:paraId="72172C6F">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排放量（固体废物产生量）</w:t>
            </w:r>
            <w:r>
              <w:rPr>
                <w:rFonts w:hint="default" w:ascii="Times New Roman" w:hAnsi="Times New Roman" w:eastAsia="黑体" w:cs="Times New Roman"/>
                <w:snapToGrid w:val="0"/>
                <w:color w:val="auto"/>
                <w:spacing w:val="-6"/>
                <w:kern w:val="21"/>
                <w:szCs w:val="21"/>
                <w:highlight w:val="none"/>
              </w:rPr>
              <w:fldChar w:fldCharType="begin"/>
            </w:r>
            <w:r>
              <w:rPr>
                <w:rFonts w:hint="default" w:ascii="Times New Roman" w:hAnsi="Times New Roman" w:eastAsia="黑体" w:cs="Times New Roman"/>
                <w:snapToGrid w:val="0"/>
                <w:color w:val="auto"/>
                <w:spacing w:val="-6"/>
                <w:kern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Cs w:val="21"/>
                <w:highlight w:val="none"/>
              </w:rPr>
              <w:fldChar w:fldCharType="separate"/>
            </w:r>
            <w:r>
              <w:rPr>
                <w:rFonts w:hint="default" w:ascii="Times New Roman" w:hAnsi="Times New Roman" w:eastAsia="黑体" w:cs="Times New Roman"/>
                <w:color w:val="auto"/>
                <w:kern w:val="2"/>
                <w:szCs w:val="21"/>
                <w:highlight w:val="none"/>
              </w:rPr>
              <w:t>①</w:t>
            </w:r>
            <w:r>
              <w:rPr>
                <w:rFonts w:hint="default" w:ascii="Times New Roman" w:hAnsi="Times New Roman" w:eastAsia="黑体" w:cs="Times New Roman"/>
                <w:snapToGrid w:val="0"/>
                <w:color w:val="auto"/>
                <w:spacing w:val="-6"/>
                <w:kern w:val="21"/>
                <w:szCs w:val="21"/>
                <w:highlight w:val="none"/>
              </w:rPr>
              <w:fldChar w:fldCharType="end"/>
            </w:r>
          </w:p>
        </w:tc>
        <w:tc>
          <w:tcPr>
            <w:tcW w:w="1276" w:type="dxa"/>
            <w:noWrap w:val="0"/>
            <w:tcMar>
              <w:left w:w="28" w:type="dxa"/>
              <w:right w:w="28" w:type="dxa"/>
            </w:tcMar>
            <w:vAlign w:val="center"/>
          </w:tcPr>
          <w:p w14:paraId="3269D262">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现有工程</w:t>
            </w:r>
          </w:p>
          <w:p w14:paraId="5FE0F4AF">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许可排放量</w:t>
            </w:r>
          </w:p>
          <w:p w14:paraId="2686AE8D">
            <w:pPr>
              <w:pStyle w:val="46"/>
              <w:keepNext w:val="0"/>
              <w:keepLines w:val="0"/>
              <w:pageBreakBefore w:val="0"/>
              <w:shd w:val="clear"/>
              <w:kinsoku/>
              <w:wordWrap/>
              <w:overflowPunct/>
              <w:topLinePunct w:val="0"/>
              <w:autoSpaceDE/>
              <w:autoSpaceDN/>
              <w:bidi w:val="0"/>
              <w:spacing w:beforeLines="0" w:afterLines="0"/>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fldChar w:fldCharType="begin"/>
            </w:r>
            <w:r>
              <w:rPr>
                <w:rFonts w:hint="default" w:ascii="Times New Roman" w:hAnsi="Times New Roman" w:eastAsia="黑体" w:cs="Times New Roman"/>
                <w:snapToGrid w:val="0"/>
                <w:color w:val="auto"/>
                <w:spacing w:val="-6"/>
                <w:kern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Cs w:val="21"/>
                <w:highlight w:val="none"/>
              </w:rPr>
              <w:fldChar w:fldCharType="separate"/>
            </w:r>
            <w:r>
              <w:rPr>
                <w:rFonts w:hint="default" w:ascii="Times New Roman" w:hAnsi="Times New Roman" w:eastAsia="黑体" w:cs="Times New Roman"/>
                <w:snapToGrid w:val="0"/>
                <w:color w:val="auto"/>
                <w:spacing w:val="-6"/>
                <w:kern w:val="21"/>
                <w:szCs w:val="21"/>
                <w:highlight w:val="none"/>
              </w:rPr>
              <w:t>②</w:t>
            </w:r>
            <w:r>
              <w:rPr>
                <w:rFonts w:hint="default" w:ascii="Times New Roman" w:hAnsi="Times New Roman" w:eastAsia="黑体" w:cs="Times New Roman"/>
                <w:snapToGrid w:val="0"/>
                <w:color w:val="auto"/>
                <w:spacing w:val="-6"/>
                <w:kern w:val="21"/>
                <w:szCs w:val="21"/>
                <w:highlight w:val="none"/>
              </w:rPr>
              <w:fldChar w:fldCharType="end"/>
            </w:r>
          </w:p>
        </w:tc>
        <w:tc>
          <w:tcPr>
            <w:tcW w:w="1701" w:type="dxa"/>
            <w:noWrap w:val="0"/>
            <w:tcMar>
              <w:left w:w="28" w:type="dxa"/>
              <w:right w:w="28" w:type="dxa"/>
            </w:tcMar>
            <w:vAlign w:val="center"/>
          </w:tcPr>
          <w:p w14:paraId="27066547">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在建工程</w:t>
            </w:r>
          </w:p>
          <w:p w14:paraId="24E3CE9A">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排放量（固体废物产生量）</w:t>
            </w:r>
            <w:r>
              <w:rPr>
                <w:rFonts w:hint="default" w:ascii="Times New Roman" w:hAnsi="Times New Roman" w:eastAsia="黑体" w:cs="Times New Roman"/>
                <w:snapToGrid w:val="0"/>
                <w:color w:val="auto"/>
                <w:spacing w:val="-6"/>
                <w:kern w:val="21"/>
                <w:szCs w:val="21"/>
                <w:highlight w:val="none"/>
              </w:rPr>
              <w:fldChar w:fldCharType="begin"/>
            </w:r>
            <w:r>
              <w:rPr>
                <w:rFonts w:hint="default" w:ascii="Times New Roman" w:hAnsi="Times New Roman" w:eastAsia="黑体" w:cs="Times New Roman"/>
                <w:snapToGrid w:val="0"/>
                <w:color w:val="auto"/>
                <w:spacing w:val="-6"/>
                <w:kern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Cs w:val="21"/>
                <w:highlight w:val="none"/>
              </w:rPr>
              <w:fldChar w:fldCharType="separate"/>
            </w:r>
            <w:r>
              <w:rPr>
                <w:rFonts w:hint="default" w:ascii="Times New Roman" w:hAnsi="Times New Roman" w:eastAsia="黑体" w:cs="Times New Roman"/>
                <w:color w:val="auto"/>
                <w:kern w:val="2"/>
                <w:szCs w:val="21"/>
                <w:highlight w:val="none"/>
              </w:rPr>
              <w:t>③</w:t>
            </w:r>
            <w:r>
              <w:rPr>
                <w:rFonts w:hint="default" w:ascii="Times New Roman" w:hAnsi="Times New Roman" w:eastAsia="黑体" w:cs="Times New Roman"/>
                <w:snapToGrid w:val="0"/>
                <w:color w:val="auto"/>
                <w:spacing w:val="-6"/>
                <w:kern w:val="21"/>
                <w:szCs w:val="21"/>
                <w:highlight w:val="none"/>
              </w:rPr>
              <w:fldChar w:fldCharType="end"/>
            </w:r>
          </w:p>
        </w:tc>
        <w:tc>
          <w:tcPr>
            <w:tcW w:w="1559" w:type="dxa"/>
            <w:noWrap w:val="0"/>
            <w:tcMar>
              <w:left w:w="28" w:type="dxa"/>
              <w:right w:w="28" w:type="dxa"/>
            </w:tcMar>
            <w:vAlign w:val="center"/>
          </w:tcPr>
          <w:p w14:paraId="28C02880">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本项目</w:t>
            </w:r>
          </w:p>
          <w:p w14:paraId="417E2AA4">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排放量（固体废物产生量）</w:t>
            </w:r>
            <w:r>
              <w:rPr>
                <w:rFonts w:hint="default" w:ascii="Times New Roman" w:hAnsi="Times New Roman" w:eastAsia="黑体" w:cs="Times New Roman"/>
                <w:snapToGrid w:val="0"/>
                <w:color w:val="auto"/>
                <w:spacing w:val="-6"/>
                <w:kern w:val="21"/>
                <w:szCs w:val="21"/>
                <w:highlight w:val="none"/>
              </w:rPr>
              <w:fldChar w:fldCharType="begin"/>
            </w:r>
            <w:r>
              <w:rPr>
                <w:rFonts w:hint="default" w:ascii="Times New Roman" w:hAnsi="Times New Roman" w:eastAsia="黑体" w:cs="Times New Roman"/>
                <w:snapToGrid w:val="0"/>
                <w:color w:val="auto"/>
                <w:spacing w:val="-6"/>
                <w:kern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Cs w:val="21"/>
                <w:highlight w:val="none"/>
              </w:rPr>
              <w:fldChar w:fldCharType="separate"/>
            </w:r>
            <w:r>
              <w:rPr>
                <w:rFonts w:hint="default" w:ascii="Times New Roman" w:hAnsi="Times New Roman" w:eastAsia="黑体" w:cs="Times New Roman"/>
                <w:color w:val="auto"/>
                <w:kern w:val="2"/>
                <w:szCs w:val="21"/>
                <w:highlight w:val="none"/>
              </w:rPr>
              <w:t>④</w:t>
            </w:r>
            <w:r>
              <w:rPr>
                <w:rFonts w:hint="default" w:ascii="Times New Roman" w:hAnsi="Times New Roman" w:eastAsia="黑体" w:cs="Times New Roman"/>
                <w:snapToGrid w:val="0"/>
                <w:color w:val="auto"/>
                <w:spacing w:val="-6"/>
                <w:kern w:val="21"/>
                <w:szCs w:val="21"/>
                <w:highlight w:val="none"/>
              </w:rPr>
              <w:fldChar w:fldCharType="end"/>
            </w:r>
          </w:p>
        </w:tc>
        <w:tc>
          <w:tcPr>
            <w:tcW w:w="1761" w:type="dxa"/>
            <w:noWrap w:val="0"/>
            <w:tcMar>
              <w:left w:w="28" w:type="dxa"/>
              <w:right w:w="28" w:type="dxa"/>
            </w:tcMar>
            <w:vAlign w:val="center"/>
          </w:tcPr>
          <w:p w14:paraId="5754F70B">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16"/>
                <w:kern w:val="21"/>
                <w:szCs w:val="21"/>
                <w:highlight w:val="none"/>
              </w:rPr>
            </w:pPr>
            <w:r>
              <w:rPr>
                <w:rFonts w:hint="default" w:ascii="Times New Roman" w:hAnsi="Times New Roman" w:eastAsia="黑体" w:cs="Times New Roman"/>
                <w:snapToGrid w:val="0"/>
                <w:color w:val="auto"/>
                <w:spacing w:val="-16"/>
                <w:kern w:val="21"/>
                <w:szCs w:val="21"/>
                <w:highlight w:val="none"/>
              </w:rPr>
              <w:t>以新带老削减量</w:t>
            </w:r>
          </w:p>
          <w:p w14:paraId="44C87D1C">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16"/>
                <w:kern w:val="21"/>
                <w:szCs w:val="21"/>
                <w:highlight w:val="none"/>
              </w:rPr>
            </w:pPr>
            <w:r>
              <w:rPr>
                <w:rFonts w:hint="default" w:ascii="Times New Roman" w:hAnsi="Times New Roman" w:eastAsia="黑体" w:cs="Times New Roman"/>
                <w:snapToGrid w:val="0"/>
                <w:color w:val="auto"/>
                <w:spacing w:val="-16"/>
                <w:kern w:val="21"/>
                <w:szCs w:val="21"/>
                <w:highlight w:val="none"/>
              </w:rPr>
              <w:t>（新建项目不填）</w:t>
            </w:r>
            <w:r>
              <w:rPr>
                <w:rFonts w:hint="default" w:ascii="Times New Roman" w:hAnsi="Times New Roman" w:eastAsia="黑体" w:cs="Times New Roman"/>
                <w:snapToGrid w:val="0"/>
                <w:color w:val="auto"/>
                <w:spacing w:val="-16"/>
                <w:kern w:val="21"/>
                <w:szCs w:val="21"/>
                <w:highlight w:val="none"/>
              </w:rPr>
              <w:fldChar w:fldCharType="begin"/>
            </w:r>
            <w:r>
              <w:rPr>
                <w:rFonts w:hint="default" w:ascii="Times New Roman" w:hAnsi="Times New Roman" w:eastAsia="黑体" w:cs="Times New Roman"/>
                <w:snapToGrid w:val="0"/>
                <w:color w:val="auto"/>
                <w:spacing w:val="-16"/>
                <w:kern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Cs w:val="21"/>
                <w:highlight w:val="none"/>
              </w:rPr>
              <w:fldChar w:fldCharType="separate"/>
            </w:r>
            <w:r>
              <w:rPr>
                <w:rFonts w:hint="default" w:ascii="Times New Roman" w:hAnsi="Times New Roman" w:eastAsia="黑体" w:cs="Times New Roman"/>
                <w:color w:val="auto"/>
                <w:kern w:val="2"/>
                <w:szCs w:val="21"/>
                <w:highlight w:val="none"/>
              </w:rPr>
              <w:t>⑤</w:t>
            </w:r>
            <w:r>
              <w:rPr>
                <w:rFonts w:hint="default" w:ascii="Times New Roman" w:hAnsi="Times New Roman" w:eastAsia="黑体" w:cs="Times New Roman"/>
                <w:snapToGrid w:val="0"/>
                <w:color w:val="auto"/>
                <w:spacing w:val="-16"/>
                <w:kern w:val="21"/>
                <w:szCs w:val="21"/>
                <w:highlight w:val="none"/>
              </w:rPr>
              <w:fldChar w:fldCharType="end"/>
            </w:r>
          </w:p>
        </w:tc>
        <w:tc>
          <w:tcPr>
            <w:tcW w:w="1959" w:type="dxa"/>
            <w:noWrap w:val="0"/>
            <w:tcMar>
              <w:left w:w="28" w:type="dxa"/>
              <w:right w:w="28" w:type="dxa"/>
            </w:tcMar>
            <w:vAlign w:val="center"/>
          </w:tcPr>
          <w:p w14:paraId="686482DF">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16"/>
                <w:kern w:val="21"/>
                <w:szCs w:val="21"/>
                <w:highlight w:val="none"/>
              </w:rPr>
            </w:pPr>
            <w:r>
              <w:rPr>
                <w:rFonts w:hint="default" w:ascii="Times New Roman" w:hAnsi="Times New Roman" w:eastAsia="黑体" w:cs="Times New Roman"/>
                <w:snapToGrid w:val="0"/>
                <w:color w:val="auto"/>
                <w:spacing w:val="-16"/>
                <w:kern w:val="21"/>
                <w:szCs w:val="21"/>
                <w:highlight w:val="none"/>
              </w:rPr>
              <w:t>本项目建成后</w:t>
            </w:r>
          </w:p>
          <w:p w14:paraId="17A52BBE">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16"/>
                <w:kern w:val="21"/>
                <w:szCs w:val="21"/>
                <w:highlight w:val="none"/>
              </w:rPr>
            </w:pPr>
            <w:r>
              <w:rPr>
                <w:rFonts w:hint="default" w:ascii="Times New Roman" w:hAnsi="Times New Roman" w:eastAsia="黑体" w:cs="Times New Roman"/>
                <w:snapToGrid w:val="0"/>
                <w:color w:val="auto"/>
                <w:spacing w:val="-16"/>
                <w:kern w:val="21"/>
                <w:szCs w:val="21"/>
                <w:highlight w:val="none"/>
              </w:rPr>
              <w:t>全厂排放量（固体废物产生量）</w:t>
            </w:r>
            <w:r>
              <w:rPr>
                <w:rFonts w:hint="default" w:ascii="Times New Roman" w:hAnsi="Times New Roman" w:eastAsia="黑体" w:cs="Times New Roman"/>
                <w:snapToGrid w:val="0"/>
                <w:color w:val="auto"/>
                <w:spacing w:val="-16"/>
                <w:kern w:val="21"/>
                <w:szCs w:val="21"/>
                <w:highlight w:val="none"/>
              </w:rPr>
              <w:fldChar w:fldCharType="begin"/>
            </w:r>
            <w:r>
              <w:rPr>
                <w:rFonts w:hint="default" w:ascii="Times New Roman" w:hAnsi="Times New Roman" w:eastAsia="黑体" w:cs="Times New Roman"/>
                <w:snapToGrid w:val="0"/>
                <w:color w:val="auto"/>
                <w:spacing w:val="-16"/>
                <w:kern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Cs w:val="21"/>
                <w:highlight w:val="none"/>
              </w:rPr>
              <w:fldChar w:fldCharType="separate"/>
            </w:r>
            <w:r>
              <w:rPr>
                <w:rFonts w:hint="default" w:ascii="Times New Roman" w:hAnsi="Times New Roman" w:eastAsia="黑体" w:cs="Times New Roman"/>
                <w:color w:val="auto"/>
                <w:kern w:val="2"/>
                <w:szCs w:val="21"/>
                <w:highlight w:val="none"/>
              </w:rPr>
              <w:t>⑥</w:t>
            </w:r>
            <w:r>
              <w:rPr>
                <w:rFonts w:hint="default" w:ascii="Times New Roman" w:hAnsi="Times New Roman" w:eastAsia="黑体" w:cs="Times New Roman"/>
                <w:snapToGrid w:val="0"/>
                <w:color w:val="auto"/>
                <w:spacing w:val="-16"/>
                <w:kern w:val="21"/>
                <w:szCs w:val="21"/>
                <w:highlight w:val="none"/>
              </w:rPr>
              <w:fldChar w:fldCharType="end"/>
            </w:r>
          </w:p>
        </w:tc>
        <w:tc>
          <w:tcPr>
            <w:tcW w:w="826" w:type="dxa"/>
            <w:noWrap w:val="0"/>
            <w:tcMar>
              <w:left w:w="28" w:type="dxa"/>
              <w:right w:w="28" w:type="dxa"/>
            </w:tcMar>
            <w:vAlign w:val="center"/>
          </w:tcPr>
          <w:p w14:paraId="45323B97">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t>变化量</w:t>
            </w:r>
          </w:p>
          <w:p w14:paraId="2C609062">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黑体" w:cs="Times New Roman"/>
                <w:snapToGrid w:val="0"/>
                <w:color w:val="auto"/>
                <w:spacing w:val="-6"/>
                <w:kern w:val="21"/>
                <w:szCs w:val="21"/>
                <w:highlight w:val="none"/>
              </w:rPr>
            </w:pPr>
            <w:r>
              <w:rPr>
                <w:rFonts w:hint="default" w:ascii="Times New Roman" w:hAnsi="Times New Roman" w:eastAsia="黑体" w:cs="Times New Roman"/>
                <w:snapToGrid w:val="0"/>
                <w:color w:val="auto"/>
                <w:spacing w:val="-6"/>
                <w:kern w:val="21"/>
                <w:szCs w:val="21"/>
                <w:highlight w:val="none"/>
              </w:rPr>
              <w:fldChar w:fldCharType="begin"/>
            </w:r>
            <w:r>
              <w:rPr>
                <w:rFonts w:hint="default" w:ascii="Times New Roman" w:hAnsi="Times New Roman" w:eastAsia="黑体" w:cs="Times New Roman"/>
                <w:snapToGrid w:val="0"/>
                <w:color w:val="auto"/>
                <w:spacing w:val="-6"/>
                <w:kern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Cs w:val="21"/>
                <w:highlight w:val="none"/>
              </w:rPr>
              <w:fldChar w:fldCharType="separate"/>
            </w:r>
            <w:r>
              <w:rPr>
                <w:rFonts w:hint="default" w:ascii="Times New Roman" w:hAnsi="Times New Roman" w:eastAsia="黑体" w:cs="Times New Roman"/>
                <w:color w:val="auto"/>
                <w:kern w:val="2"/>
                <w:szCs w:val="21"/>
                <w:highlight w:val="none"/>
              </w:rPr>
              <w:t>⑦</w:t>
            </w:r>
            <w:r>
              <w:rPr>
                <w:rFonts w:hint="default" w:ascii="Times New Roman" w:hAnsi="Times New Roman" w:eastAsia="黑体" w:cs="Times New Roman"/>
                <w:snapToGrid w:val="0"/>
                <w:color w:val="auto"/>
                <w:spacing w:val="-6"/>
                <w:kern w:val="21"/>
                <w:szCs w:val="21"/>
                <w:highlight w:val="none"/>
              </w:rPr>
              <w:fldChar w:fldCharType="end"/>
            </w:r>
          </w:p>
        </w:tc>
      </w:tr>
      <w:tr w14:paraId="1A20A5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restart"/>
            <w:noWrap w:val="0"/>
            <w:vAlign w:val="center"/>
          </w:tcPr>
          <w:p w14:paraId="3F24ED23">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废气</w:t>
            </w:r>
          </w:p>
        </w:tc>
        <w:tc>
          <w:tcPr>
            <w:tcW w:w="1417" w:type="dxa"/>
            <w:noWrap w:val="0"/>
            <w:vAlign w:val="center"/>
          </w:tcPr>
          <w:p w14:paraId="7F3C07E4">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宋体" w:cs="Times New Roman"/>
                <w:snapToGrid w:val="0"/>
                <w:color w:val="auto"/>
                <w:kern w:val="21"/>
                <w:szCs w:val="21"/>
                <w:highlight w:val="none"/>
                <w:lang w:eastAsia="zh-CN"/>
              </w:rPr>
            </w:pPr>
            <w:r>
              <w:rPr>
                <w:rFonts w:hint="default" w:ascii="Times New Roman" w:hAnsi="Times New Roman" w:cs="Times New Roman"/>
                <w:snapToGrid w:val="0"/>
                <w:color w:val="auto"/>
                <w:kern w:val="21"/>
                <w:szCs w:val="21"/>
                <w:highlight w:val="none"/>
                <w:lang w:eastAsia="zh-CN"/>
              </w:rPr>
              <w:t>颗粒物</w:t>
            </w:r>
          </w:p>
        </w:tc>
        <w:tc>
          <w:tcPr>
            <w:tcW w:w="1701" w:type="dxa"/>
            <w:noWrap w:val="0"/>
            <w:vAlign w:val="center"/>
          </w:tcPr>
          <w:p w14:paraId="0751999C">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snapToGrid w:val="0"/>
                <w:color w:val="auto"/>
                <w:kern w:val="21"/>
                <w:szCs w:val="21"/>
                <w:highlight w:val="none"/>
                <w:lang w:val="en-US" w:eastAsia="zh-CN"/>
              </w:rPr>
            </w:pPr>
            <w:r>
              <w:rPr>
                <w:rFonts w:hint="eastAsia" w:cs="Times New Roman"/>
                <w:i w:val="0"/>
                <w:iCs w:val="0"/>
                <w:color w:val="auto"/>
                <w:kern w:val="0"/>
                <w:sz w:val="21"/>
                <w:szCs w:val="21"/>
                <w:u w:val="none"/>
                <w:lang w:val="en-US" w:eastAsia="zh-CN" w:bidi="ar"/>
              </w:rPr>
              <w:t>0.123</w:t>
            </w:r>
          </w:p>
        </w:tc>
        <w:tc>
          <w:tcPr>
            <w:tcW w:w="1276" w:type="dxa"/>
            <w:noWrap w:val="0"/>
            <w:vAlign w:val="center"/>
          </w:tcPr>
          <w:p w14:paraId="5DCB0DCE">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0.51</w:t>
            </w:r>
          </w:p>
        </w:tc>
        <w:tc>
          <w:tcPr>
            <w:tcW w:w="1701" w:type="dxa"/>
            <w:noWrap w:val="0"/>
            <w:vAlign w:val="center"/>
          </w:tcPr>
          <w:p w14:paraId="79AC363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noWrap w:val="0"/>
            <w:vAlign w:val="center"/>
          </w:tcPr>
          <w:p w14:paraId="52A5EF70">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snapToGrid w:val="0"/>
                <w:color w:val="auto"/>
                <w:kern w:val="21"/>
                <w:szCs w:val="21"/>
                <w:highlight w:val="none"/>
                <w:lang w:val="en-US" w:eastAsia="zh-CN"/>
              </w:rPr>
            </w:pPr>
            <w:r>
              <w:rPr>
                <w:rFonts w:hint="eastAsia" w:cs="Times New Roman"/>
                <w:i w:val="0"/>
                <w:iCs w:val="0"/>
                <w:color w:val="auto"/>
                <w:kern w:val="0"/>
                <w:sz w:val="21"/>
                <w:szCs w:val="21"/>
                <w:u w:val="none"/>
                <w:lang w:val="en-US" w:eastAsia="zh-CN" w:bidi="ar"/>
              </w:rPr>
              <w:t>0.141</w:t>
            </w:r>
          </w:p>
        </w:tc>
        <w:tc>
          <w:tcPr>
            <w:tcW w:w="1761" w:type="dxa"/>
            <w:noWrap w:val="0"/>
            <w:vAlign w:val="center"/>
          </w:tcPr>
          <w:p w14:paraId="1B9AE578">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1959" w:type="dxa"/>
            <w:noWrap w:val="0"/>
            <w:vAlign w:val="center"/>
          </w:tcPr>
          <w:p w14:paraId="122EB749">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rPr>
            </w:pPr>
            <w:r>
              <w:rPr>
                <w:rFonts w:hint="eastAsia" w:cs="Times New Roman"/>
                <w:i w:val="0"/>
                <w:iCs w:val="0"/>
                <w:color w:val="auto"/>
                <w:kern w:val="0"/>
                <w:sz w:val="21"/>
                <w:szCs w:val="21"/>
                <w:u w:val="none"/>
                <w:lang w:val="en-US" w:eastAsia="zh-CN" w:bidi="ar"/>
              </w:rPr>
              <w:t>0.141</w:t>
            </w:r>
          </w:p>
        </w:tc>
        <w:tc>
          <w:tcPr>
            <w:tcW w:w="826" w:type="dxa"/>
            <w:noWrap w:val="0"/>
            <w:vAlign w:val="center"/>
          </w:tcPr>
          <w:p w14:paraId="1E54889E">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lang w:val="en-US"/>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18</w:t>
            </w:r>
          </w:p>
        </w:tc>
      </w:tr>
      <w:tr w14:paraId="535B1A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noWrap w:val="0"/>
            <w:vAlign w:val="center"/>
          </w:tcPr>
          <w:p w14:paraId="1D51911F">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p>
        </w:tc>
        <w:tc>
          <w:tcPr>
            <w:tcW w:w="1417" w:type="dxa"/>
            <w:noWrap w:val="0"/>
            <w:vAlign w:val="center"/>
          </w:tcPr>
          <w:p w14:paraId="17777CBB">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二氧化硫</w:t>
            </w:r>
          </w:p>
        </w:tc>
        <w:tc>
          <w:tcPr>
            <w:tcW w:w="1701" w:type="dxa"/>
            <w:noWrap w:val="0"/>
            <w:vAlign w:val="center"/>
          </w:tcPr>
          <w:p w14:paraId="689C8883">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eastAsia" w:cs="Times New Roman"/>
                <w:i w:val="0"/>
                <w:iCs w:val="0"/>
                <w:color w:val="auto"/>
                <w:kern w:val="0"/>
                <w:sz w:val="21"/>
                <w:szCs w:val="21"/>
                <w:u w:val="none"/>
                <w:lang w:val="en-US" w:eastAsia="zh-CN" w:bidi="ar"/>
              </w:rPr>
              <w:t>0.011</w:t>
            </w:r>
          </w:p>
        </w:tc>
        <w:tc>
          <w:tcPr>
            <w:tcW w:w="1276" w:type="dxa"/>
            <w:noWrap w:val="0"/>
            <w:vAlign w:val="center"/>
          </w:tcPr>
          <w:p w14:paraId="1933D498">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0.06</w:t>
            </w:r>
          </w:p>
        </w:tc>
        <w:tc>
          <w:tcPr>
            <w:tcW w:w="1701" w:type="dxa"/>
            <w:noWrap w:val="0"/>
            <w:vAlign w:val="center"/>
          </w:tcPr>
          <w:p w14:paraId="44815A7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noWrap w:val="0"/>
            <w:vAlign w:val="center"/>
          </w:tcPr>
          <w:p w14:paraId="7BA0F35C">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eastAsia" w:cs="Times New Roman"/>
                <w:i w:val="0"/>
                <w:iCs w:val="0"/>
                <w:color w:val="auto"/>
                <w:kern w:val="0"/>
                <w:sz w:val="21"/>
                <w:szCs w:val="21"/>
                <w:u w:val="none"/>
                <w:lang w:val="en-US" w:eastAsia="zh-CN" w:bidi="ar"/>
              </w:rPr>
              <w:t>0.009</w:t>
            </w:r>
          </w:p>
        </w:tc>
        <w:tc>
          <w:tcPr>
            <w:tcW w:w="1761" w:type="dxa"/>
            <w:noWrap w:val="0"/>
            <w:vAlign w:val="center"/>
          </w:tcPr>
          <w:p w14:paraId="684D3C75">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0.002</w:t>
            </w:r>
          </w:p>
        </w:tc>
        <w:tc>
          <w:tcPr>
            <w:tcW w:w="1959" w:type="dxa"/>
            <w:noWrap w:val="0"/>
            <w:vAlign w:val="center"/>
          </w:tcPr>
          <w:p w14:paraId="013B8BFC">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eastAsia" w:cs="Times New Roman"/>
                <w:i w:val="0"/>
                <w:iCs w:val="0"/>
                <w:color w:val="auto"/>
                <w:kern w:val="0"/>
                <w:sz w:val="21"/>
                <w:szCs w:val="21"/>
                <w:u w:val="none"/>
                <w:lang w:val="en-US" w:eastAsia="zh-CN" w:bidi="ar"/>
              </w:rPr>
              <w:t>0.009</w:t>
            </w:r>
          </w:p>
        </w:tc>
        <w:tc>
          <w:tcPr>
            <w:tcW w:w="826" w:type="dxa"/>
            <w:noWrap w:val="0"/>
            <w:vAlign w:val="center"/>
          </w:tcPr>
          <w:p w14:paraId="664857AF">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-0.002</w:t>
            </w:r>
          </w:p>
        </w:tc>
      </w:tr>
      <w:tr w14:paraId="3ED54A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588" w:type="dxa"/>
            <w:vMerge w:val="continue"/>
            <w:noWrap w:val="0"/>
            <w:vAlign w:val="center"/>
          </w:tcPr>
          <w:p w14:paraId="05879E22">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p>
        </w:tc>
        <w:tc>
          <w:tcPr>
            <w:tcW w:w="1417" w:type="dxa"/>
            <w:tcBorders>
              <w:bottom w:val="single" w:color="000000" w:sz="4" w:space="0"/>
            </w:tcBorders>
            <w:noWrap w:val="0"/>
            <w:vAlign w:val="center"/>
          </w:tcPr>
          <w:p w14:paraId="549B4751">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氮氧化物</w:t>
            </w:r>
          </w:p>
        </w:tc>
        <w:tc>
          <w:tcPr>
            <w:tcW w:w="1701" w:type="dxa"/>
            <w:tcBorders>
              <w:bottom w:val="single" w:color="000000" w:sz="4" w:space="0"/>
            </w:tcBorders>
            <w:noWrap w:val="0"/>
            <w:vAlign w:val="center"/>
          </w:tcPr>
          <w:p w14:paraId="1DABD7AA">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eastAsia" w:cs="Times New Roman"/>
                <w:i w:val="0"/>
                <w:iCs w:val="0"/>
                <w:color w:val="auto"/>
                <w:kern w:val="0"/>
                <w:sz w:val="21"/>
                <w:szCs w:val="21"/>
                <w:u w:val="none"/>
                <w:lang w:val="en-US" w:eastAsia="zh-CN" w:bidi="ar"/>
              </w:rPr>
              <w:t>0.101</w:t>
            </w:r>
          </w:p>
        </w:tc>
        <w:tc>
          <w:tcPr>
            <w:tcW w:w="1276" w:type="dxa"/>
            <w:tcBorders>
              <w:bottom w:val="single" w:color="000000" w:sz="4" w:space="0"/>
            </w:tcBorders>
            <w:noWrap w:val="0"/>
            <w:vAlign w:val="center"/>
          </w:tcPr>
          <w:p w14:paraId="1D7D276D">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0.2</w:t>
            </w:r>
          </w:p>
        </w:tc>
        <w:tc>
          <w:tcPr>
            <w:tcW w:w="1701" w:type="dxa"/>
            <w:tcBorders>
              <w:bottom w:val="single" w:color="000000" w:sz="4" w:space="0"/>
            </w:tcBorders>
            <w:noWrap w:val="0"/>
            <w:vAlign w:val="center"/>
          </w:tcPr>
          <w:p w14:paraId="7C7A2A6B">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tcBorders>
              <w:bottom w:val="single" w:color="000000" w:sz="4" w:space="0"/>
            </w:tcBorders>
            <w:noWrap w:val="0"/>
            <w:vAlign w:val="center"/>
          </w:tcPr>
          <w:p w14:paraId="73816071">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eastAsia" w:cs="Times New Roman"/>
                <w:i w:val="0"/>
                <w:iCs w:val="0"/>
                <w:color w:val="auto"/>
                <w:kern w:val="0"/>
                <w:sz w:val="21"/>
                <w:szCs w:val="21"/>
                <w:u w:val="none"/>
                <w:lang w:val="en-US" w:eastAsia="zh-CN" w:bidi="ar"/>
              </w:rPr>
              <w:t>0.085</w:t>
            </w:r>
          </w:p>
        </w:tc>
        <w:tc>
          <w:tcPr>
            <w:tcW w:w="1761" w:type="dxa"/>
            <w:tcBorders>
              <w:bottom w:val="single" w:color="000000" w:sz="4" w:space="0"/>
            </w:tcBorders>
            <w:noWrap w:val="0"/>
            <w:vAlign w:val="center"/>
          </w:tcPr>
          <w:p w14:paraId="54291EB1">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6</w:t>
            </w:r>
          </w:p>
        </w:tc>
        <w:tc>
          <w:tcPr>
            <w:tcW w:w="1959" w:type="dxa"/>
            <w:tcBorders>
              <w:bottom w:val="single" w:color="000000" w:sz="4" w:space="0"/>
            </w:tcBorders>
            <w:noWrap w:val="0"/>
            <w:vAlign w:val="center"/>
          </w:tcPr>
          <w:p w14:paraId="48906FCA">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eastAsia" w:cs="Times New Roman"/>
                <w:i w:val="0"/>
                <w:iCs w:val="0"/>
                <w:color w:val="auto"/>
                <w:kern w:val="0"/>
                <w:sz w:val="21"/>
                <w:szCs w:val="21"/>
                <w:u w:val="none"/>
                <w:lang w:val="en-US" w:eastAsia="zh-CN" w:bidi="ar"/>
              </w:rPr>
              <w:t>0.085</w:t>
            </w:r>
          </w:p>
        </w:tc>
        <w:tc>
          <w:tcPr>
            <w:tcW w:w="826" w:type="dxa"/>
            <w:tcBorders>
              <w:bottom w:val="single" w:color="000000" w:sz="4" w:space="0"/>
            </w:tcBorders>
            <w:noWrap w:val="0"/>
            <w:vAlign w:val="center"/>
          </w:tcPr>
          <w:p w14:paraId="42AC749E">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6</w:t>
            </w:r>
          </w:p>
        </w:tc>
      </w:tr>
      <w:tr w14:paraId="45BD77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9" w:hRule="atLeast"/>
        </w:trPr>
        <w:tc>
          <w:tcPr>
            <w:tcW w:w="1588" w:type="dxa"/>
            <w:vMerge w:val="continue"/>
            <w:noWrap w:val="0"/>
            <w:vAlign w:val="center"/>
          </w:tcPr>
          <w:p w14:paraId="71DCD29E">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p>
        </w:tc>
        <w:tc>
          <w:tcPr>
            <w:tcW w:w="1417" w:type="dxa"/>
            <w:tcBorders>
              <w:top w:val="single" w:color="000000" w:sz="4" w:space="0"/>
            </w:tcBorders>
            <w:noWrap w:val="0"/>
            <w:vAlign w:val="center"/>
          </w:tcPr>
          <w:p w14:paraId="721448E7">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氨</w:t>
            </w:r>
          </w:p>
        </w:tc>
        <w:tc>
          <w:tcPr>
            <w:tcW w:w="1701" w:type="dxa"/>
            <w:tcBorders>
              <w:top w:val="single" w:color="000000" w:sz="4" w:space="0"/>
            </w:tcBorders>
            <w:noWrap w:val="0"/>
            <w:vAlign w:val="center"/>
          </w:tcPr>
          <w:p w14:paraId="0DD98CAA">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0.096</w:t>
            </w:r>
          </w:p>
        </w:tc>
        <w:tc>
          <w:tcPr>
            <w:tcW w:w="1276" w:type="dxa"/>
            <w:tcBorders>
              <w:top w:val="single" w:color="000000" w:sz="4" w:space="0"/>
            </w:tcBorders>
            <w:noWrap w:val="0"/>
            <w:vAlign w:val="center"/>
          </w:tcPr>
          <w:p w14:paraId="49015157">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1701" w:type="dxa"/>
            <w:tcBorders>
              <w:top w:val="single" w:color="000000" w:sz="4" w:space="0"/>
            </w:tcBorders>
            <w:noWrap w:val="0"/>
            <w:vAlign w:val="center"/>
          </w:tcPr>
          <w:p w14:paraId="1D78FDF8">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1559" w:type="dxa"/>
            <w:tcBorders>
              <w:top w:val="single" w:color="000000" w:sz="4" w:space="0"/>
            </w:tcBorders>
            <w:noWrap w:val="0"/>
            <w:vAlign w:val="center"/>
          </w:tcPr>
          <w:p w14:paraId="0C69D339">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0.096</w:t>
            </w:r>
          </w:p>
        </w:tc>
        <w:tc>
          <w:tcPr>
            <w:tcW w:w="1761" w:type="dxa"/>
            <w:tcBorders>
              <w:top w:val="single" w:color="000000" w:sz="4" w:space="0"/>
            </w:tcBorders>
            <w:noWrap w:val="0"/>
            <w:vAlign w:val="center"/>
          </w:tcPr>
          <w:p w14:paraId="15400F1A">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1959" w:type="dxa"/>
            <w:tcBorders>
              <w:top w:val="single" w:color="000000" w:sz="4" w:space="0"/>
            </w:tcBorders>
            <w:noWrap w:val="0"/>
            <w:vAlign w:val="center"/>
          </w:tcPr>
          <w:p w14:paraId="76F32AF0">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0.096</w:t>
            </w:r>
          </w:p>
        </w:tc>
        <w:tc>
          <w:tcPr>
            <w:tcW w:w="826" w:type="dxa"/>
            <w:tcBorders>
              <w:top w:val="single" w:color="000000" w:sz="4" w:space="0"/>
            </w:tcBorders>
            <w:noWrap w:val="0"/>
            <w:vAlign w:val="center"/>
          </w:tcPr>
          <w:p w14:paraId="02695F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w:t>
            </w:r>
          </w:p>
        </w:tc>
      </w:tr>
      <w:tr w14:paraId="02EADD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noWrap w:val="0"/>
            <w:vAlign w:val="center"/>
          </w:tcPr>
          <w:p w14:paraId="7FCD4837">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p>
        </w:tc>
        <w:tc>
          <w:tcPr>
            <w:tcW w:w="1417" w:type="dxa"/>
            <w:noWrap w:val="0"/>
            <w:vAlign w:val="center"/>
          </w:tcPr>
          <w:p w14:paraId="598B6AAA">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VOCs</w:t>
            </w:r>
          </w:p>
        </w:tc>
        <w:tc>
          <w:tcPr>
            <w:tcW w:w="1701" w:type="dxa"/>
            <w:noWrap w:val="0"/>
            <w:vAlign w:val="center"/>
          </w:tcPr>
          <w:p w14:paraId="75D97D20">
            <w:pPr>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w:t>
            </w:r>
          </w:p>
        </w:tc>
        <w:tc>
          <w:tcPr>
            <w:tcW w:w="1276" w:type="dxa"/>
            <w:noWrap w:val="0"/>
            <w:vAlign w:val="center"/>
          </w:tcPr>
          <w:p w14:paraId="4B874D42">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1701" w:type="dxa"/>
            <w:noWrap w:val="0"/>
            <w:vAlign w:val="center"/>
          </w:tcPr>
          <w:p w14:paraId="7EC4FC21">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noWrap w:val="0"/>
            <w:vAlign w:val="center"/>
          </w:tcPr>
          <w:p w14:paraId="4FCAB7A0">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0.013</w:t>
            </w:r>
          </w:p>
        </w:tc>
        <w:tc>
          <w:tcPr>
            <w:tcW w:w="1761" w:type="dxa"/>
            <w:noWrap w:val="0"/>
            <w:vAlign w:val="center"/>
          </w:tcPr>
          <w:p w14:paraId="5C29D167">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1959" w:type="dxa"/>
            <w:noWrap w:val="0"/>
            <w:vAlign w:val="center"/>
          </w:tcPr>
          <w:p w14:paraId="1714FDE0">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0.013</w:t>
            </w:r>
          </w:p>
        </w:tc>
        <w:tc>
          <w:tcPr>
            <w:tcW w:w="826" w:type="dxa"/>
            <w:noWrap w:val="0"/>
            <w:vAlign w:val="center"/>
          </w:tcPr>
          <w:p w14:paraId="58F80B06">
            <w:pPr>
              <w:keepNext w:val="0"/>
              <w:keepLines w:val="0"/>
              <w:widowControl/>
              <w:suppressLineNumbers w:val="0"/>
              <w:jc w:val="center"/>
              <w:textAlignment w:val="center"/>
              <w:rPr>
                <w:rFonts w:hint="default" w:ascii="Times New Roman" w:hAnsi="Times New Roman" w:cs="Times New Roman"/>
                <w:snapToGrid w:val="0"/>
                <w:color w:val="auto"/>
                <w:kern w:val="21"/>
                <w:szCs w:val="21"/>
                <w:highlight w:val="none"/>
                <w:lang w:val="en-US" w:eastAsia="zh-CN"/>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0.013</w:t>
            </w:r>
          </w:p>
        </w:tc>
      </w:tr>
      <w:tr w14:paraId="79B45D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restart"/>
            <w:noWrap w:val="0"/>
            <w:vAlign w:val="center"/>
          </w:tcPr>
          <w:p w14:paraId="7CF2008F">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废水</w:t>
            </w:r>
          </w:p>
        </w:tc>
        <w:tc>
          <w:tcPr>
            <w:tcW w:w="1417" w:type="dxa"/>
            <w:noWrap w:val="0"/>
            <w:vAlign w:val="center"/>
          </w:tcPr>
          <w:p w14:paraId="72CFD50C">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COD</w:t>
            </w:r>
          </w:p>
        </w:tc>
        <w:tc>
          <w:tcPr>
            <w:tcW w:w="1701" w:type="dxa"/>
            <w:noWrap w:val="0"/>
            <w:vAlign w:val="center"/>
          </w:tcPr>
          <w:p w14:paraId="391038BA">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w:t>
            </w:r>
          </w:p>
        </w:tc>
        <w:tc>
          <w:tcPr>
            <w:tcW w:w="1276" w:type="dxa"/>
            <w:noWrap w:val="0"/>
            <w:vAlign w:val="center"/>
          </w:tcPr>
          <w:p w14:paraId="2AB05A2B">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w:t>
            </w:r>
          </w:p>
        </w:tc>
        <w:tc>
          <w:tcPr>
            <w:tcW w:w="1701" w:type="dxa"/>
            <w:noWrap w:val="0"/>
            <w:vAlign w:val="center"/>
          </w:tcPr>
          <w:p w14:paraId="1FB809B7">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w:t>
            </w:r>
          </w:p>
        </w:tc>
        <w:tc>
          <w:tcPr>
            <w:tcW w:w="1559" w:type="dxa"/>
            <w:noWrap w:val="0"/>
            <w:vAlign w:val="center"/>
          </w:tcPr>
          <w:p w14:paraId="7C57247E">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w:t>
            </w:r>
          </w:p>
        </w:tc>
        <w:tc>
          <w:tcPr>
            <w:tcW w:w="1761" w:type="dxa"/>
            <w:noWrap w:val="0"/>
            <w:vAlign w:val="center"/>
          </w:tcPr>
          <w:p w14:paraId="4831F717">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w:t>
            </w:r>
          </w:p>
        </w:tc>
        <w:tc>
          <w:tcPr>
            <w:tcW w:w="1959" w:type="dxa"/>
            <w:noWrap w:val="0"/>
            <w:vAlign w:val="center"/>
          </w:tcPr>
          <w:p w14:paraId="3F03A87A">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lang w:val="en-US"/>
              </w:rPr>
            </w:pPr>
            <w:r>
              <w:rPr>
                <w:rFonts w:hint="default" w:ascii="Times New Roman" w:hAnsi="Times New Roman" w:cs="Times New Roman"/>
                <w:snapToGrid w:val="0"/>
                <w:color w:val="auto"/>
                <w:kern w:val="21"/>
                <w:szCs w:val="21"/>
                <w:highlight w:val="none"/>
                <w:lang w:val="en-US" w:eastAsia="zh-CN"/>
              </w:rPr>
              <w:t>/</w:t>
            </w:r>
          </w:p>
        </w:tc>
        <w:tc>
          <w:tcPr>
            <w:tcW w:w="826" w:type="dxa"/>
            <w:noWrap w:val="0"/>
            <w:vAlign w:val="center"/>
          </w:tcPr>
          <w:p w14:paraId="787E18EF">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lang w:val="en-US"/>
              </w:rPr>
            </w:pPr>
            <w:r>
              <w:rPr>
                <w:rFonts w:hint="default" w:ascii="Times New Roman" w:hAnsi="Times New Roman" w:cs="Times New Roman"/>
                <w:snapToGrid w:val="0"/>
                <w:color w:val="auto"/>
                <w:kern w:val="21"/>
                <w:szCs w:val="21"/>
                <w:highlight w:val="none"/>
                <w:lang w:val="en-US" w:eastAsia="zh-CN"/>
              </w:rPr>
              <w:t>/</w:t>
            </w:r>
          </w:p>
        </w:tc>
      </w:tr>
      <w:tr w14:paraId="425D0A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noWrap w:val="0"/>
            <w:vAlign w:val="center"/>
          </w:tcPr>
          <w:p w14:paraId="18B1C453">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p>
        </w:tc>
        <w:tc>
          <w:tcPr>
            <w:tcW w:w="1417" w:type="dxa"/>
            <w:noWrap w:val="0"/>
            <w:vAlign w:val="center"/>
          </w:tcPr>
          <w:p w14:paraId="74C81326">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NH</w:t>
            </w:r>
            <w:r>
              <w:rPr>
                <w:rFonts w:hint="default" w:ascii="Times New Roman" w:hAnsi="Times New Roman" w:cs="Times New Roman"/>
                <w:snapToGrid w:val="0"/>
                <w:color w:val="auto"/>
                <w:kern w:val="21"/>
                <w:szCs w:val="21"/>
                <w:highlight w:val="none"/>
                <w:vertAlign w:val="subscript"/>
                <w:lang w:val="en-US" w:eastAsia="zh-CN"/>
              </w:rPr>
              <w:t>3</w:t>
            </w:r>
            <w:r>
              <w:rPr>
                <w:rFonts w:hint="default" w:ascii="Times New Roman" w:hAnsi="Times New Roman" w:cs="Times New Roman"/>
                <w:snapToGrid w:val="0"/>
                <w:color w:val="auto"/>
                <w:kern w:val="21"/>
                <w:szCs w:val="21"/>
                <w:highlight w:val="none"/>
                <w:lang w:val="en-US" w:eastAsia="zh-CN"/>
              </w:rPr>
              <w:t>-N</w:t>
            </w:r>
          </w:p>
        </w:tc>
        <w:tc>
          <w:tcPr>
            <w:tcW w:w="1701" w:type="dxa"/>
            <w:noWrap w:val="0"/>
            <w:vAlign w:val="center"/>
          </w:tcPr>
          <w:p w14:paraId="5C51D751">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w:t>
            </w:r>
          </w:p>
        </w:tc>
        <w:tc>
          <w:tcPr>
            <w:tcW w:w="1276" w:type="dxa"/>
            <w:noWrap w:val="0"/>
            <w:vAlign w:val="center"/>
          </w:tcPr>
          <w:p w14:paraId="62D64A8A">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w:t>
            </w:r>
          </w:p>
        </w:tc>
        <w:tc>
          <w:tcPr>
            <w:tcW w:w="1701" w:type="dxa"/>
            <w:noWrap w:val="0"/>
            <w:vAlign w:val="center"/>
          </w:tcPr>
          <w:p w14:paraId="341FD3A9">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w:t>
            </w:r>
          </w:p>
        </w:tc>
        <w:tc>
          <w:tcPr>
            <w:tcW w:w="1559" w:type="dxa"/>
            <w:noWrap w:val="0"/>
            <w:vAlign w:val="center"/>
          </w:tcPr>
          <w:p w14:paraId="40B2A599">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eastAsia="宋体"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w:t>
            </w:r>
          </w:p>
        </w:tc>
        <w:tc>
          <w:tcPr>
            <w:tcW w:w="1761" w:type="dxa"/>
            <w:noWrap w:val="0"/>
            <w:vAlign w:val="center"/>
          </w:tcPr>
          <w:p w14:paraId="3C0D8F1B">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lang w:val="en-US" w:eastAsia="zh-CN"/>
              </w:rPr>
              <w:t>/</w:t>
            </w:r>
          </w:p>
        </w:tc>
        <w:tc>
          <w:tcPr>
            <w:tcW w:w="1959" w:type="dxa"/>
            <w:noWrap w:val="0"/>
            <w:vAlign w:val="center"/>
          </w:tcPr>
          <w:p w14:paraId="729F20A8">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lang w:val="en-US"/>
              </w:rPr>
            </w:pPr>
            <w:r>
              <w:rPr>
                <w:rFonts w:hint="default" w:ascii="Times New Roman" w:hAnsi="Times New Roman" w:cs="Times New Roman"/>
                <w:snapToGrid w:val="0"/>
                <w:color w:val="auto"/>
                <w:kern w:val="21"/>
                <w:szCs w:val="21"/>
                <w:highlight w:val="none"/>
                <w:lang w:val="en-US" w:eastAsia="zh-CN"/>
              </w:rPr>
              <w:t>/</w:t>
            </w:r>
          </w:p>
        </w:tc>
        <w:tc>
          <w:tcPr>
            <w:tcW w:w="826" w:type="dxa"/>
            <w:noWrap w:val="0"/>
            <w:vAlign w:val="center"/>
          </w:tcPr>
          <w:p w14:paraId="7B9255BE">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lang w:val="en-US"/>
              </w:rPr>
            </w:pPr>
            <w:r>
              <w:rPr>
                <w:rFonts w:hint="default" w:ascii="Times New Roman" w:hAnsi="Times New Roman" w:cs="Times New Roman"/>
                <w:snapToGrid w:val="0"/>
                <w:color w:val="auto"/>
                <w:kern w:val="21"/>
                <w:szCs w:val="21"/>
                <w:highlight w:val="none"/>
                <w:lang w:val="en-US" w:eastAsia="zh-CN"/>
              </w:rPr>
              <w:t>/</w:t>
            </w:r>
          </w:p>
        </w:tc>
      </w:tr>
      <w:tr w14:paraId="334CE8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restart"/>
            <w:noWrap w:val="0"/>
            <w:vAlign w:val="center"/>
          </w:tcPr>
          <w:p w14:paraId="1B3AF7E4">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一般工业</w:t>
            </w:r>
          </w:p>
          <w:p w14:paraId="70606F41">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固体废物</w:t>
            </w:r>
          </w:p>
        </w:tc>
        <w:tc>
          <w:tcPr>
            <w:tcW w:w="1417" w:type="dxa"/>
            <w:noWrap w:val="0"/>
            <w:vAlign w:val="center"/>
          </w:tcPr>
          <w:p w14:paraId="7B45B976">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snapToGrid w:val="0"/>
                <w:color w:val="auto"/>
                <w:kern w:val="21"/>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生活垃圾</w:t>
            </w:r>
          </w:p>
        </w:tc>
        <w:tc>
          <w:tcPr>
            <w:tcW w:w="1701" w:type="dxa"/>
            <w:noWrap w:val="0"/>
            <w:vAlign w:val="center"/>
          </w:tcPr>
          <w:p w14:paraId="44318443">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2.25</w:t>
            </w:r>
          </w:p>
        </w:tc>
        <w:tc>
          <w:tcPr>
            <w:tcW w:w="1276" w:type="dxa"/>
            <w:noWrap w:val="0"/>
            <w:vAlign w:val="center"/>
          </w:tcPr>
          <w:p w14:paraId="2290D75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701" w:type="dxa"/>
            <w:noWrap w:val="0"/>
            <w:vAlign w:val="center"/>
          </w:tcPr>
          <w:p w14:paraId="740C2085">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noWrap w:val="0"/>
            <w:vAlign w:val="center"/>
          </w:tcPr>
          <w:p w14:paraId="1FC16BFC">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1761" w:type="dxa"/>
            <w:noWrap w:val="0"/>
            <w:vAlign w:val="center"/>
          </w:tcPr>
          <w:p w14:paraId="43F2E762">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959" w:type="dxa"/>
            <w:noWrap w:val="0"/>
            <w:vAlign w:val="center"/>
          </w:tcPr>
          <w:p w14:paraId="1C4F45DB">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2.25</w:t>
            </w:r>
          </w:p>
        </w:tc>
        <w:tc>
          <w:tcPr>
            <w:tcW w:w="826" w:type="dxa"/>
            <w:noWrap w:val="0"/>
            <w:vAlign w:val="center"/>
          </w:tcPr>
          <w:p w14:paraId="4A8A227D">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r>
      <w:tr w14:paraId="65DF57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noWrap w:val="0"/>
            <w:vAlign w:val="center"/>
          </w:tcPr>
          <w:p w14:paraId="326DD1B0">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p>
        </w:tc>
        <w:tc>
          <w:tcPr>
            <w:tcW w:w="1417" w:type="dxa"/>
            <w:noWrap w:val="0"/>
            <w:vAlign w:val="center"/>
          </w:tcPr>
          <w:p w14:paraId="65104B3F">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snapToGrid w:val="0"/>
                <w:color w:val="auto"/>
                <w:kern w:val="21"/>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收集粉尘</w:t>
            </w:r>
          </w:p>
        </w:tc>
        <w:tc>
          <w:tcPr>
            <w:tcW w:w="1701" w:type="dxa"/>
            <w:noWrap w:val="0"/>
            <w:vAlign w:val="center"/>
          </w:tcPr>
          <w:p w14:paraId="67759DB0">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2.256</w:t>
            </w:r>
          </w:p>
        </w:tc>
        <w:tc>
          <w:tcPr>
            <w:tcW w:w="1276" w:type="dxa"/>
            <w:noWrap w:val="0"/>
            <w:vAlign w:val="center"/>
          </w:tcPr>
          <w:p w14:paraId="769A2B1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701" w:type="dxa"/>
            <w:noWrap w:val="0"/>
            <w:vAlign w:val="center"/>
          </w:tcPr>
          <w:p w14:paraId="4E757BB8">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noWrap w:val="0"/>
            <w:vAlign w:val="center"/>
          </w:tcPr>
          <w:p w14:paraId="06D4033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2.392</w:t>
            </w:r>
          </w:p>
        </w:tc>
        <w:tc>
          <w:tcPr>
            <w:tcW w:w="1761" w:type="dxa"/>
            <w:noWrap w:val="0"/>
            <w:vAlign w:val="center"/>
          </w:tcPr>
          <w:p w14:paraId="168A404A">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0.758</w:t>
            </w:r>
          </w:p>
        </w:tc>
        <w:tc>
          <w:tcPr>
            <w:tcW w:w="1959" w:type="dxa"/>
            <w:noWrap w:val="0"/>
            <w:vAlign w:val="center"/>
          </w:tcPr>
          <w:p w14:paraId="4B9BE9D9">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2.392</w:t>
            </w:r>
          </w:p>
        </w:tc>
        <w:tc>
          <w:tcPr>
            <w:tcW w:w="826" w:type="dxa"/>
            <w:noWrap w:val="0"/>
            <w:vAlign w:val="center"/>
          </w:tcPr>
          <w:p w14:paraId="46D2764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+0.136</w:t>
            </w:r>
          </w:p>
        </w:tc>
      </w:tr>
      <w:tr w14:paraId="637DD3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noWrap w:val="0"/>
            <w:vAlign w:val="center"/>
          </w:tcPr>
          <w:p w14:paraId="4AECA117">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p>
        </w:tc>
        <w:tc>
          <w:tcPr>
            <w:tcW w:w="1417" w:type="dxa"/>
            <w:noWrap w:val="0"/>
            <w:vAlign w:val="center"/>
          </w:tcPr>
          <w:p w14:paraId="62F819F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废包装袋</w:t>
            </w:r>
          </w:p>
        </w:tc>
        <w:tc>
          <w:tcPr>
            <w:tcW w:w="1701" w:type="dxa"/>
            <w:noWrap w:val="0"/>
            <w:vAlign w:val="center"/>
          </w:tcPr>
          <w:p w14:paraId="66E85A0E">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1276" w:type="dxa"/>
            <w:noWrap w:val="0"/>
            <w:vAlign w:val="center"/>
          </w:tcPr>
          <w:p w14:paraId="7AECCC3B">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701" w:type="dxa"/>
            <w:noWrap w:val="0"/>
            <w:vAlign w:val="center"/>
          </w:tcPr>
          <w:p w14:paraId="36AB10BB">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noWrap w:val="0"/>
            <w:vAlign w:val="center"/>
          </w:tcPr>
          <w:p w14:paraId="36728DA6">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0.008</w:t>
            </w:r>
          </w:p>
        </w:tc>
        <w:tc>
          <w:tcPr>
            <w:tcW w:w="1761" w:type="dxa"/>
            <w:noWrap w:val="0"/>
            <w:vAlign w:val="center"/>
          </w:tcPr>
          <w:p w14:paraId="31D183F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0.002</w:t>
            </w:r>
          </w:p>
        </w:tc>
        <w:tc>
          <w:tcPr>
            <w:tcW w:w="1959" w:type="dxa"/>
            <w:noWrap w:val="0"/>
            <w:vAlign w:val="center"/>
          </w:tcPr>
          <w:p w14:paraId="2DF77359">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0.008</w:t>
            </w:r>
          </w:p>
        </w:tc>
        <w:tc>
          <w:tcPr>
            <w:tcW w:w="826" w:type="dxa"/>
            <w:noWrap w:val="0"/>
            <w:vAlign w:val="center"/>
          </w:tcPr>
          <w:p w14:paraId="14D14109">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-0.002</w:t>
            </w:r>
          </w:p>
        </w:tc>
      </w:tr>
      <w:tr w14:paraId="2B1684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restart"/>
            <w:noWrap w:val="0"/>
            <w:vAlign w:val="center"/>
          </w:tcPr>
          <w:p w14:paraId="4CD7804D">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危险废物</w:t>
            </w:r>
          </w:p>
        </w:tc>
        <w:tc>
          <w:tcPr>
            <w:tcW w:w="1417" w:type="dxa"/>
            <w:noWrap w:val="0"/>
            <w:vAlign w:val="center"/>
          </w:tcPr>
          <w:p w14:paraId="06B216F6">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废包装桶</w:t>
            </w:r>
          </w:p>
        </w:tc>
        <w:tc>
          <w:tcPr>
            <w:tcW w:w="1701" w:type="dxa"/>
            <w:noWrap w:val="0"/>
            <w:vAlign w:val="center"/>
          </w:tcPr>
          <w:p w14:paraId="04DFFDB1">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1276" w:type="dxa"/>
            <w:noWrap w:val="0"/>
            <w:vAlign w:val="center"/>
          </w:tcPr>
          <w:p w14:paraId="497D604B">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701" w:type="dxa"/>
            <w:noWrap w:val="0"/>
            <w:vAlign w:val="center"/>
          </w:tcPr>
          <w:p w14:paraId="6D1307A6">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noWrap w:val="0"/>
            <w:vAlign w:val="center"/>
          </w:tcPr>
          <w:p w14:paraId="678C4F6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w:t>
            </w:r>
          </w:p>
        </w:tc>
        <w:tc>
          <w:tcPr>
            <w:tcW w:w="1761" w:type="dxa"/>
            <w:noWrap w:val="0"/>
            <w:vAlign w:val="center"/>
          </w:tcPr>
          <w:p w14:paraId="03FDF7EC">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959" w:type="dxa"/>
            <w:noWrap w:val="0"/>
            <w:vAlign w:val="center"/>
          </w:tcPr>
          <w:p w14:paraId="26759FDB">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w:t>
            </w:r>
          </w:p>
        </w:tc>
        <w:tc>
          <w:tcPr>
            <w:tcW w:w="826" w:type="dxa"/>
            <w:noWrap w:val="0"/>
            <w:vAlign w:val="center"/>
          </w:tcPr>
          <w:p w14:paraId="43EC53CE">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w:t>
            </w:r>
          </w:p>
        </w:tc>
      </w:tr>
      <w:tr w14:paraId="2C8FE2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noWrap w:val="0"/>
            <w:vAlign w:val="center"/>
          </w:tcPr>
          <w:p w14:paraId="404144B1">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p>
        </w:tc>
        <w:tc>
          <w:tcPr>
            <w:tcW w:w="1417" w:type="dxa"/>
            <w:noWrap w:val="0"/>
            <w:vAlign w:val="center"/>
          </w:tcPr>
          <w:p w14:paraId="03D1CBBD">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snapToGrid w:val="0"/>
                <w:color w:val="auto"/>
                <w:kern w:val="21"/>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废润滑油</w:t>
            </w:r>
          </w:p>
        </w:tc>
        <w:tc>
          <w:tcPr>
            <w:tcW w:w="1701" w:type="dxa"/>
            <w:noWrap w:val="0"/>
            <w:vAlign w:val="center"/>
          </w:tcPr>
          <w:p w14:paraId="1CF5F5EC">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1276" w:type="dxa"/>
            <w:noWrap w:val="0"/>
            <w:vAlign w:val="center"/>
          </w:tcPr>
          <w:p w14:paraId="5BD0A03D">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701" w:type="dxa"/>
            <w:noWrap w:val="0"/>
            <w:vAlign w:val="center"/>
          </w:tcPr>
          <w:p w14:paraId="0CFF64EB">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noWrap w:val="0"/>
            <w:vAlign w:val="center"/>
          </w:tcPr>
          <w:p w14:paraId="36C1711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1761" w:type="dxa"/>
            <w:noWrap w:val="0"/>
            <w:vAlign w:val="center"/>
          </w:tcPr>
          <w:p w14:paraId="7A6D5535">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959" w:type="dxa"/>
            <w:noWrap w:val="0"/>
            <w:vAlign w:val="center"/>
          </w:tcPr>
          <w:p w14:paraId="601E67A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w:t>
            </w:r>
          </w:p>
        </w:tc>
        <w:tc>
          <w:tcPr>
            <w:tcW w:w="826" w:type="dxa"/>
            <w:noWrap w:val="0"/>
            <w:vAlign w:val="center"/>
          </w:tcPr>
          <w:p w14:paraId="39BD68EA">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0.02</w:t>
            </w:r>
          </w:p>
        </w:tc>
      </w:tr>
      <w:tr w14:paraId="477FDC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noWrap w:val="0"/>
            <w:vAlign w:val="center"/>
          </w:tcPr>
          <w:p w14:paraId="2B8DC09E">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p>
        </w:tc>
        <w:tc>
          <w:tcPr>
            <w:tcW w:w="1417" w:type="dxa"/>
            <w:noWrap w:val="0"/>
            <w:vAlign w:val="center"/>
          </w:tcPr>
          <w:p w14:paraId="4AA69859">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废油桶</w:t>
            </w:r>
          </w:p>
        </w:tc>
        <w:tc>
          <w:tcPr>
            <w:tcW w:w="1701" w:type="dxa"/>
            <w:noWrap w:val="0"/>
            <w:vAlign w:val="center"/>
          </w:tcPr>
          <w:p w14:paraId="07524545">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1276" w:type="dxa"/>
            <w:noWrap w:val="0"/>
            <w:vAlign w:val="center"/>
          </w:tcPr>
          <w:p w14:paraId="121D751F">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701" w:type="dxa"/>
            <w:noWrap w:val="0"/>
            <w:vAlign w:val="center"/>
          </w:tcPr>
          <w:p w14:paraId="565C0FE0">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noWrap w:val="0"/>
            <w:vAlign w:val="center"/>
          </w:tcPr>
          <w:p w14:paraId="1CB7CE0D">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0.005</w:t>
            </w:r>
          </w:p>
        </w:tc>
        <w:tc>
          <w:tcPr>
            <w:tcW w:w="1761" w:type="dxa"/>
            <w:noWrap w:val="0"/>
            <w:vAlign w:val="center"/>
          </w:tcPr>
          <w:p w14:paraId="539EEA40">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959" w:type="dxa"/>
            <w:noWrap w:val="0"/>
            <w:vAlign w:val="center"/>
          </w:tcPr>
          <w:p w14:paraId="14154C48">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0.005</w:t>
            </w:r>
          </w:p>
        </w:tc>
        <w:tc>
          <w:tcPr>
            <w:tcW w:w="826" w:type="dxa"/>
            <w:noWrap w:val="0"/>
            <w:vAlign w:val="center"/>
          </w:tcPr>
          <w:p w14:paraId="7932F64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0.005</w:t>
            </w:r>
          </w:p>
        </w:tc>
      </w:tr>
      <w:tr w14:paraId="4ADAE6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noWrap w:val="0"/>
            <w:vAlign w:val="center"/>
          </w:tcPr>
          <w:p w14:paraId="53584392">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p>
        </w:tc>
        <w:tc>
          <w:tcPr>
            <w:tcW w:w="1417" w:type="dxa"/>
            <w:noWrap w:val="0"/>
            <w:vAlign w:val="center"/>
          </w:tcPr>
          <w:p w14:paraId="1F6FC107">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snapToGrid w:val="0"/>
                <w:color w:val="auto"/>
                <w:kern w:val="21"/>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废滤芯</w:t>
            </w:r>
          </w:p>
        </w:tc>
        <w:tc>
          <w:tcPr>
            <w:tcW w:w="1701" w:type="dxa"/>
            <w:noWrap w:val="0"/>
            <w:vAlign w:val="center"/>
          </w:tcPr>
          <w:p w14:paraId="05FE6536">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1276" w:type="dxa"/>
            <w:noWrap w:val="0"/>
            <w:vAlign w:val="center"/>
          </w:tcPr>
          <w:p w14:paraId="3135456E">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701" w:type="dxa"/>
            <w:noWrap w:val="0"/>
            <w:vAlign w:val="center"/>
          </w:tcPr>
          <w:p w14:paraId="779A9332">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noWrap w:val="0"/>
            <w:vAlign w:val="center"/>
          </w:tcPr>
          <w:p w14:paraId="6833E4BF">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w:t>
            </w:r>
          </w:p>
        </w:tc>
        <w:tc>
          <w:tcPr>
            <w:tcW w:w="1761" w:type="dxa"/>
            <w:noWrap w:val="0"/>
            <w:vAlign w:val="center"/>
          </w:tcPr>
          <w:p w14:paraId="42993A1B">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959" w:type="dxa"/>
            <w:noWrap w:val="0"/>
            <w:vAlign w:val="center"/>
          </w:tcPr>
          <w:p w14:paraId="5FB793F4">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w:t>
            </w:r>
          </w:p>
        </w:tc>
        <w:tc>
          <w:tcPr>
            <w:tcW w:w="826" w:type="dxa"/>
            <w:noWrap w:val="0"/>
            <w:vAlign w:val="center"/>
          </w:tcPr>
          <w:p w14:paraId="530CA0A7">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0.5</w:t>
            </w:r>
          </w:p>
        </w:tc>
      </w:tr>
      <w:tr w14:paraId="3D8DBA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noWrap w:val="0"/>
            <w:vAlign w:val="center"/>
          </w:tcPr>
          <w:p w14:paraId="6B43986A">
            <w:pPr>
              <w:pStyle w:val="46"/>
              <w:keepNext w:val="0"/>
              <w:keepLines w:val="0"/>
              <w:pageBreakBefore w:val="0"/>
              <w:shd w:val="clear"/>
              <w:kinsoku/>
              <w:wordWrap/>
              <w:overflowPunct/>
              <w:topLinePunct w:val="0"/>
              <w:autoSpaceDE/>
              <w:autoSpaceDN/>
              <w:bidi w:val="0"/>
              <w:spacing w:beforeLines="0" w:afterLines="0" w:line="240" w:lineRule="auto"/>
              <w:ind w:firstLine="0" w:firstLineChars="0"/>
              <w:textAlignment w:val="auto"/>
              <w:rPr>
                <w:rFonts w:hint="default" w:ascii="Times New Roman" w:hAnsi="Times New Roman" w:cs="Times New Roman"/>
                <w:snapToGrid w:val="0"/>
                <w:color w:val="auto"/>
                <w:kern w:val="21"/>
                <w:szCs w:val="21"/>
                <w:highlight w:val="none"/>
              </w:rPr>
            </w:pPr>
          </w:p>
        </w:tc>
        <w:tc>
          <w:tcPr>
            <w:tcW w:w="1417" w:type="dxa"/>
            <w:noWrap w:val="0"/>
            <w:vAlign w:val="center"/>
          </w:tcPr>
          <w:p w14:paraId="6A658AE6">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cs="Times New Roman"/>
                <w:snapToGrid w:val="0"/>
                <w:color w:val="auto"/>
                <w:kern w:val="21"/>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废活性炭</w:t>
            </w:r>
          </w:p>
        </w:tc>
        <w:tc>
          <w:tcPr>
            <w:tcW w:w="1701" w:type="dxa"/>
            <w:noWrap w:val="0"/>
            <w:vAlign w:val="center"/>
          </w:tcPr>
          <w:p w14:paraId="42DF7815">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1276" w:type="dxa"/>
            <w:noWrap w:val="0"/>
            <w:vAlign w:val="center"/>
          </w:tcPr>
          <w:p w14:paraId="795F519B">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701" w:type="dxa"/>
            <w:noWrap w:val="0"/>
            <w:vAlign w:val="center"/>
          </w:tcPr>
          <w:p w14:paraId="4E13AE81">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559" w:type="dxa"/>
            <w:noWrap w:val="0"/>
            <w:vAlign w:val="center"/>
          </w:tcPr>
          <w:p w14:paraId="51BA4766">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0.513</w:t>
            </w:r>
          </w:p>
        </w:tc>
        <w:tc>
          <w:tcPr>
            <w:tcW w:w="1761" w:type="dxa"/>
            <w:noWrap w:val="0"/>
            <w:vAlign w:val="center"/>
          </w:tcPr>
          <w:p w14:paraId="56EEE161">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959" w:type="dxa"/>
            <w:noWrap w:val="0"/>
            <w:vAlign w:val="center"/>
          </w:tcPr>
          <w:p w14:paraId="40C06989">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0.513</w:t>
            </w:r>
          </w:p>
        </w:tc>
        <w:tc>
          <w:tcPr>
            <w:tcW w:w="826" w:type="dxa"/>
            <w:noWrap w:val="0"/>
            <w:vAlign w:val="center"/>
          </w:tcPr>
          <w:p w14:paraId="01031DFA">
            <w:pPr>
              <w:keepNext w:val="0"/>
              <w:keepLines w:val="0"/>
              <w:pageBreakBefore w:val="0"/>
              <w:widowControl/>
              <w:suppressLineNumbers w:val="0"/>
              <w:kinsoku/>
              <w:wordWrap/>
              <w:overflowPunct/>
              <w:topLinePunct w:val="0"/>
              <w:autoSpaceDE/>
              <w:autoSpaceDN/>
              <w:bidi w:val="0"/>
              <w:ind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0.513</w:t>
            </w:r>
          </w:p>
        </w:tc>
      </w:tr>
    </w:tbl>
    <w:p w14:paraId="59C0A96C">
      <w:pPr>
        <w:pStyle w:val="46"/>
        <w:shd w:val="clear"/>
        <w:spacing w:before="192" w:beforeLines="80" w:after="24"/>
        <w:jc w:val="left"/>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5DC95222">
      <w:pPr>
        <w:pStyle w:val="23"/>
        <w:rPr>
          <w:rFonts w:hint="default"/>
          <w:color w:val="auto"/>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398CE283">
      <w:pPr>
        <w:pStyle w:val="30"/>
        <w:rPr>
          <w:rFonts w:hint="default" w:ascii="Times New Roman" w:hAnsi="Times New Roman" w:eastAsia="黑体" w:cs="Times New Roman"/>
          <w:bCs/>
          <w:color w:val="auto"/>
        </w:rPr>
      </w:pPr>
      <w:r>
        <w:rPr>
          <w:rFonts w:hint="default" w:ascii="Times New Roman" w:hAnsi="Times New Roman" w:eastAsia="黑体" w:cs="Times New Roman"/>
          <w:bCs/>
          <w:color w:val="auto"/>
        </w:rPr>
        <w:t>附件1：委托书</w:t>
      </w:r>
    </w:p>
    <w:p w14:paraId="61FFA73A">
      <w:pPr>
        <w:pStyle w:val="30"/>
        <w:rPr>
          <w:rFonts w:hint="default" w:ascii="Times New Roman" w:hAnsi="Times New Roman" w:eastAsia="宋体" w:cs="Times New Roman"/>
          <w:b/>
          <w:color w:val="auto"/>
        </w:rPr>
      </w:pPr>
    </w:p>
    <w:p w14:paraId="67EA3921">
      <w:pPr>
        <w:pStyle w:val="30"/>
        <w:rPr>
          <w:rFonts w:hint="default" w:ascii="Times New Roman" w:hAnsi="Times New Roman" w:eastAsia="宋体" w:cs="Times New Roman"/>
          <w:b/>
          <w:color w:val="auto"/>
        </w:rPr>
      </w:pPr>
    </w:p>
    <w:p w14:paraId="7A6B766D">
      <w:pPr>
        <w:pStyle w:val="30"/>
        <w:rPr>
          <w:rFonts w:hint="default" w:ascii="Times New Roman" w:hAnsi="Times New Roman" w:eastAsia="宋体" w:cs="Times New Roman"/>
          <w:b/>
          <w:color w:val="auto"/>
        </w:rPr>
      </w:pPr>
    </w:p>
    <w:p w14:paraId="440182BB">
      <w:pPr>
        <w:tabs>
          <w:tab w:val="left" w:pos="1589"/>
          <w:tab w:val="center" w:pos="4213"/>
        </w:tabs>
        <w:adjustRightInd w:val="0"/>
        <w:spacing w:line="800" w:lineRule="exact"/>
        <w:jc w:val="center"/>
        <w:textAlignment w:val="baseline"/>
        <w:rPr>
          <w:rFonts w:hint="default" w:ascii="Times New Roman" w:hAnsi="Times New Roman" w:cs="Times New Roman"/>
          <w:b/>
          <w:color w:val="auto"/>
          <w:kern w:val="0"/>
          <w:sz w:val="44"/>
          <w:szCs w:val="44"/>
        </w:rPr>
      </w:pPr>
      <w:r>
        <w:rPr>
          <w:rFonts w:hint="default" w:ascii="Times New Roman" w:hAnsi="Times New Roman" w:cs="Times New Roman"/>
          <w:b/>
          <w:color w:val="auto"/>
          <w:kern w:val="0"/>
          <w:sz w:val="44"/>
          <w:szCs w:val="44"/>
        </w:rPr>
        <w:t>环境影响评价委托书</w:t>
      </w:r>
    </w:p>
    <w:p w14:paraId="0E52E737">
      <w:pPr>
        <w:adjustRightInd w:val="0"/>
        <w:spacing w:line="800" w:lineRule="exact"/>
        <w:textAlignment w:val="baseline"/>
        <w:rPr>
          <w:rFonts w:hint="default" w:ascii="Times New Roman" w:hAnsi="Times New Roman" w:cs="Times New Roman"/>
          <w:color w:val="auto"/>
          <w:kern w:val="0"/>
          <w:sz w:val="32"/>
          <w:szCs w:val="32"/>
        </w:rPr>
      </w:pPr>
    </w:p>
    <w:p w14:paraId="5B195924">
      <w:pPr>
        <w:adjustRightInd w:val="0"/>
        <w:spacing w:line="800" w:lineRule="exact"/>
        <w:textAlignment w:val="baseline"/>
        <w:rPr>
          <w:rFonts w:hint="default" w:ascii="Times New Roman" w:hAnsi="Times New Roman" w:cs="Times New Roman"/>
          <w:bCs/>
          <w:color w:val="auto"/>
          <w:sz w:val="32"/>
          <w:szCs w:val="32"/>
        </w:rPr>
      </w:pPr>
      <w:r>
        <w:rPr>
          <w:rFonts w:hint="default" w:ascii="Times New Roman" w:hAnsi="Times New Roman" w:cs="Times New Roman"/>
          <w:bCs/>
          <w:color w:val="auto"/>
          <w:sz w:val="32"/>
          <w:szCs w:val="32"/>
          <w:lang w:eastAsia="zh-CN"/>
        </w:rPr>
        <w:t>山东腾辉生态环境工程有限公司</w:t>
      </w:r>
      <w:r>
        <w:rPr>
          <w:rFonts w:hint="default" w:ascii="Times New Roman" w:hAnsi="Times New Roman" w:cs="Times New Roman"/>
          <w:bCs/>
          <w:color w:val="auto"/>
          <w:sz w:val="32"/>
          <w:szCs w:val="32"/>
        </w:rPr>
        <w:t>：</w:t>
      </w:r>
    </w:p>
    <w:p w14:paraId="38C0DDA8">
      <w:pPr>
        <w:spacing w:line="800" w:lineRule="exact"/>
        <w:ind w:right="164" w:rightChars="78" w:firstLine="640" w:firstLineChars="200"/>
        <w:rPr>
          <w:rFonts w:hint="default" w:ascii="Times New Roman" w:hAnsi="Times New Roman" w:cs="Times New Roman"/>
          <w:bCs/>
          <w:color w:val="auto"/>
          <w:sz w:val="32"/>
          <w:szCs w:val="32"/>
        </w:rPr>
      </w:pPr>
      <w:r>
        <w:rPr>
          <w:rFonts w:hint="default" w:ascii="Times New Roman" w:hAnsi="Times New Roman" w:cs="Times New Roman"/>
          <w:bCs/>
          <w:color w:val="auto"/>
          <w:sz w:val="32"/>
          <w:szCs w:val="32"/>
        </w:rPr>
        <w:t>根据国家《建设项目环境保护管理条例》和当地环保部门的要求，</w:t>
      </w:r>
      <w:r>
        <w:rPr>
          <w:rFonts w:hint="default" w:ascii="Times New Roman" w:hAnsi="Times New Roman" w:cs="Times New Roman"/>
          <w:bCs/>
          <w:color w:val="auto"/>
          <w:sz w:val="32"/>
          <w:szCs w:val="32"/>
          <w:u w:val="single"/>
          <w:lang w:eastAsia="zh-CN"/>
        </w:rPr>
        <w:t>淄博锦明陶瓷材料有限公司年产500吨铝铁红技改项目</w:t>
      </w:r>
      <w:r>
        <w:rPr>
          <w:rFonts w:hint="default" w:ascii="Times New Roman" w:hAnsi="Times New Roman" w:cs="Times New Roman"/>
          <w:bCs/>
          <w:color w:val="auto"/>
          <w:sz w:val="32"/>
          <w:szCs w:val="32"/>
        </w:rPr>
        <w:t>需执行环境影响评价制度，今委托贵公司承担该项目环境影响报告表的编制。</w:t>
      </w:r>
    </w:p>
    <w:p w14:paraId="461D695E">
      <w:pPr>
        <w:adjustRightInd w:val="0"/>
        <w:spacing w:line="580" w:lineRule="exact"/>
        <w:ind w:firstLine="600" w:firstLineChars="200"/>
        <w:textAlignment w:val="baseline"/>
        <w:rPr>
          <w:rFonts w:hint="default" w:ascii="Times New Roman" w:hAnsi="Times New Roman" w:cs="Times New Roman"/>
          <w:color w:val="auto"/>
          <w:kern w:val="0"/>
          <w:sz w:val="30"/>
          <w:szCs w:val="20"/>
        </w:rPr>
      </w:pPr>
      <w:r>
        <w:rPr>
          <w:rFonts w:hint="default" w:ascii="Times New Roman" w:hAnsi="Times New Roman" w:cs="Times New Roman"/>
          <w:color w:val="auto"/>
          <w:kern w:val="0"/>
          <w:sz w:val="30"/>
          <w:szCs w:val="20"/>
        </w:rPr>
        <w:t xml:space="preserve"> </w:t>
      </w:r>
    </w:p>
    <w:p w14:paraId="30C48141">
      <w:pPr>
        <w:pStyle w:val="23"/>
        <w:ind w:firstLine="600"/>
        <w:rPr>
          <w:rFonts w:hint="default" w:ascii="Times New Roman" w:hAnsi="Times New Roman" w:cs="Times New Roman"/>
          <w:color w:val="auto"/>
          <w:kern w:val="0"/>
          <w:sz w:val="30"/>
          <w:szCs w:val="20"/>
        </w:rPr>
      </w:pPr>
    </w:p>
    <w:p w14:paraId="69122E8A">
      <w:pPr>
        <w:rPr>
          <w:rFonts w:hint="default" w:ascii="Times New Roman" w:hAnsi="Times New Roman" w:cs="Times New Roman"/>
          <w:color w:val="auto"/>
          <w:kern w:val="0"/>
          <w:sz w:val="30"/>
          <w:szCs w:val="20"/>
        </w:rPr>
      </w:pPr>
    </w:p>
    <w:p w14:paraId="6DD63CC8">
      <w:pPr>
        <w:pStyle w:val="23"/>
        <w:rPr>
          <w:rFonts w:hint="default" w:ascii="Times New Roman" w:hAnsi="Times New Roman" w:cs="Times New Roman"/>
          <w:color w:val="auto"/>
        </w:rPr>
      </w:pPr>
    </w:p>
    <w:p w14:paraId="421F8470">
      <w:pPr>
        <w:adjustRightInd w:val="0"/>
        <w:spacing w:line="580" w:lineRule="exact"/>
        <w:ind w:firstLine="602" w:firstLineChars="200"/>
        <w:textAlignment w:val="baseline"/>
        <w:rPr>
          <w:rFonts w:hint="default" w:ascii="Times New Roman" w:hAnsi="Times New Roman" w:cs="Times New Roman"/>
          <w:b/>
          <w:color w:val="auto"/>
          <w:kern w:val="0"/>
          <w:sz w:val="30"/>
          <w:szCs w:val="20"/>
        </w:rPr>
      </w:pPr>
    </w:p>
    <w:p w14:paraId="6A294925">
      <w:pPr>
        <w:adjustRightInd w:val="0"/>
        <w:spacing w:line="800" w:lineRule="exact"/>
        <w:ind w:firstLine="640" w:firstLineChars="200"/>
        <w:textAlignment w:val="baseline"/>
        <w:rPr>
          <w:rFonts w:hint="default" w:ascii="Times New Roman" w:hAnsi="Times New Roman" w:cs="Times New Roman"/>
          <w:color w:val="auto"/>
          <w:kern w:val="0"/>
          <w:sz w:val="32"/>
          <w:szCs w:val="32"/>
        </w:rPr>
      </w:pPr>
    </w:p>
    <w:p w14:paraId="4389EF56">
      <w:pPr>
        <w:spacing w:line="800" w:lineRule="exact"/>
        <w:ind w:right="105" w:rightChars="50" w:firstLine="640" w:firstLineChars="200"/>
        <w:jc w:val="right"/>
        <w:rPr>
          <w:rFonts w:hint="default" w:ascii="Times New Roman" w:hAnsi="Times New Roman" w:eastAsia="宋体" w:cs="Times New Roman"/>
          <w:bCs/>
          <w:color w:val="auto"/>
          <w:sz w:val="32"/>
          <w:szCs w:val="32"/>
          <w:lang w:eastAsia="zh-CN"/>
        </w:rPr>
      </w:pPr>
      <w:r>
        <w:rPr>
          <w:rFonts w:hint="default" w:ascii="Times New Roman" w:hAnsi="Times New Roman" w:cs="Times New Roman"/>
          <w:bCs/>
          <w:color w:val="auto"/>
          <w:sz w:val="32"/>
          <w:szCs w:val="32"/>
        </w:rPr>
        <w:t>委托单位：</w:t>
      </w:r>
      <w:r>
        <w:rPr>
          <w:rFonts w:hint="default" w:ascii="Times New Roman" w:hAnsi="Times New Roman" w:cs="Times New Roman"/>
          <w:bCs/>
          <w:color w:val="auto"/>
          <w:sz w:val="32"/>
          <w:szCs w:val="32"/>
          <w:lang w:eastAsia="zh-CN"/>
        </w:rPr>
        <w:t>淄博锦明陶瓷材料有限公司</w:t>
      </w:r>
    </w:p>
    <w:p w14:paraId="28B366BE">
      <w:pPr>
        <w:spacing w:line="800" w:lineRule="exact"/>
        <w:ind w:right="105" w:rightChars="50" w:firstLine="640" w:firstLineChars="200"/>
        <w:jc w:val="right"/>
        <w:rPr>
          <w:rFonts w:hint="default" w:ascii="Times New Roman" w:hAnsi="Times New Roman" w:eastAsia="宋体" w:cs="Times New Roman"/>
          <w:bCs/>
          <w:color w:val="auto"/>
          <w:sz w:val="32"/>
          <w:szCs w:val="32"/>
          <w:lang w:eastAsia="zh-CN"/>
        </w:rPr>
      </w:pPr>
      <w:r>
        <w:rPr>
          <w:rFonts w:hint="default" w:ascii="Times New Roman" w:hAnsi="Times New Roman" w:cs="Times New Roman"/>
          <w:bCs/>
          <w:color w:val="auto"/>
          <w:sz w:val="32"/>
          <w:szCs w:val="32"/>
        </w:rPr>
        <w:t>委托时间：</w:t>
      </w:r>
      <w:r>
        <w:rPr>
          <w:rFonts w:hint="default" w:ascii="Times New Roman" w:hAnsi="Times New Roman" w:cs="Times New Roman"/>
          <w:bCs/>
          <w:color w:val="auto"/>
          <w:sz w:val="32"/>
          <w:szCs w:val="32"/>
          <w:lang w:eastAsia="zh-CN"/>
        </w:rPr>
        <w:t>2024年</w:t>
      </w:r>
      <w:r>
        <w:rPr>
          <w:rFonts w:hint="eastAsia" w:cs="Times New Roman"/>
          <w:bCs/>
          <w:color w:val="auto"/>
          <w:sz w:val="32"/>
          <w:szCs w:val="32"/>
          <w:lang w:val="en-US" w:eastAsia="zh-CN"/>
        </w:rPr>
        <w:t>6</w:t>
      </w:r>
      <w:r>
        <w:rPr>
          <w:rFonts w:hint="default" w:ascii="Times New Roman" w:hAnsi="Times New Roman" w:cs="Times New Roman"/>
          <w:bCs/>
          <w:color w:val="auto"/>
          <w:sz w:val="32"/>
          <w:szCs w:val="32"/>
          <w:lang w:eastAsia="zh-CN"/>
        </w:rPr>
        <w:t>月</w:t>
      </w:r>
    </w:p>
    <w:p w14:paraId="1C03DD21">
      <w:pPr>
        <w:pStyle w:val="30"/>
        <w:rPr>
          <w:rFonts w:hint="default" w:ascii="Times New Roman" w:hAnsi="Times New Roman" w:eastAsia="宋体" w:cs="Times New Roman"/>
          <w:b/>
          <w:color w:val="auto"/>
        </w:rPr>
      </w:pPr>
    </w:p>
    <w:p w14:paraId="0CCA4B2C">
      <w:pPr>
        <w:pStyle w:val="30"/>
        <w:jc w:val="right"/>
        <w:rPr>
          <w:rFonts w:hint="default" w:ascii="Times New Roman" w:hAnsi="Times New Roman" w:eastAsia="宋体" w:cs="Times New Roman"/>
          <w:b/>
          <w:color w:val="auto"/>
        </w:rPr>
      </w:pPr>
    </w:p>
    <w:p w14:paraId="7DF58C9F">
      <w:pPr>
        <w:pStyle w:val="30"/>
        <w:rPr>
          <w:rFonts w:hint="default" w:ascii="Times New Roman" w:hAnsi="Times New Roman" w:eastAsia="宋体" w:cs="Times New Roman"/>
          <w:b/>
          <w:color w:val="auto"/>
        </w:rPr>
      </w:pPr>
    </w:p>
    <w:p w14:paraId="53990A87">
      <w:pPr>
        <w:pStyle w:val="30"/>
        <w:rPr>
          <w:rFonts w:hint="default" w:ascii="Times New Roman" w:hAnsi="Times New Roman" w:eastAsia="宋体" w:cs="Times New Roman"/>
          <w:b/>
          <w:color w:val="auto"/>
        </w:rPr>
      </w:pPr>
    </w:p>
    <w:p w14:paraId="13A5580C">
      <w:pPr>
        <w:pStyle w:val="30"/>
        <w:rPr>
          <w:rFonts w:hint="default" w:ascii="Times New Roman" w:hAnsi="Times New Roman" w:eastAsia="宋体" w:cs="Times New Roman"/>
          <w:b/>
          <w:color w:val="auto"/>
        </w:rPr>
      </w:pPr>
    </w:p>
    <w:p w14:paraId="421B0732">
      <w:pPr>
        <w:pStyle w:val="30"/>
        <w:rPr>
          <w:rFonts w:hint="default" w:ascii="Times New Roman" w:hAnsi="Times New Roman" w:eastAsia="黑体" w:cs="Times New Roman"/>
          <w:bCs/>
          <w:color w:val="auto"/>
        </w:rPr>
      </w:pPr>
      <w:r>
        <w:rPr>
          <w:rFonts w:hint="default" w:ascii="Times New Roman" w:hAnsi="Times New Roman" w:eastAsia="黑体" w:cs="Times New Roman"/>
          <w:bCs/>
          <w:color w:val="auto"/>
        </w:rPr>
        <w:t>附件2：承诺书</w:t>
      </w:r>
    </w:p>
    <w:p w14:paraId="222EA17B">
      <w:pPr>
        <w:rPr>
          <w:rFonts w:hint="default" w:ascii="Times New Roman" w:hAnsi="Times New Roman" w:cs="Times New Roman"/>
          <w:b/>
          <w:bCs/>
          <w:color w:val="auto"/>
          <w:sz w:val="30"/>
          <w:szCs w:val="30"/>
        </w:rPr>
      </w:pPr>
    </w:p>
    <w:p w14:paraId="43A5BD06">
      <w:pPr>
        <w:jc w:val="center"/>
        <w:rPr>
          <w:rFonts w:hint="default" w:ascii="Times New Roman" w:hAnsi="Times New Roman" w:cs="Times New Roman"/>
          <w:b/>
          <w:bCs/>
          <w:color w:val="auto"/>
          <w:sz w:val="30"/>
          <w:szCs w:val="30"/>
        </w:rPr>
      </w:pPr>
    </w:p>
    <w:p w14:paraId="3C9B430D">
      <w:pPr>
        <w:jc w:val="center"/>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关于资料提供和环评内容确认的承诺函</w:t>
      </w:r>
    </w:p>
    <w:p w14:paraId="31EFA539">
      <w:pPr>
        <w:pStyle w:val="30"/>
        <w:rPr>
          <w:rFonts w:hint="default" w:ascii="Times New Roman" w:hAnsi="Times New Roman" w:cs="Times New Roman"/>
          <w:color w:val="auto"/>
        </w:rPr>
      </w:pPr>
    </w:p>
    <w:p w14:paraId="5B53BBEA">
      <w:pPr>
        <w:spacing w:line="800" w:lineRule="exact"/>
        <w:rPr>
          <w:rFonts w:hint="default" w:ascii="Times New Roman" w:hAnsi="Times New Roman" w:cs="Times New Roman"/>
          <w:color w:val="auto"/>
          <w:sz w:val="32"/>
          <w:szCs w:val="32"/>
        </w:rPr>
      </w:pPr>
      <w:r>
        <w:rPr>
          <w:rFonts w:hint="default" w:ascii="Times New Roman" w:hAnsi="Times New Roman" w:cs="Times New Roman"/>
          <w:color w:val="auto"/>
          <w:sz w:val="32"/>
          <w:szCs w:val="32"/>
          <w:lang w:eastAsia="zh-CN"/>
        </w:rPr>
        <w:t>山东腾辉生态环境工程有限公司</w:t>
      </w:r>
      <w:r>
        <w:rPr>
          <w:rFonts w:hint="default" w:ascii="Times New Roman" w:hAnsi="Times New Roman" w:cs="Times New Roman"/>
          <w:color w:val="auto"/>
          <w:sz w:val="32"/>
          <w:szCs w:val="32"/>
        </w:rPr>
        <w:t>：</w:t>
      </w:r>
    </w:p>
    <w:p w14:paraId="1C588336">
      <w:pPr>
        <w:spacing w:line="800" w:lineRule="exact"/>
        <w:ind w:firstLine="640" w:firstLineChars="200"/>
        <w:rPr>
          <w:rFonts w:hint="default" w:ascii="Times New Roman" w:hAnsi="Times New Roman" w:cs="Times New Roman"/>
          <w:color w:val="auto"/>
          <w:sz w:val="32"/>
          <w:szCs w:val="32"/>
        </w:rPr>
      </w:pPr>
      <w:r>
        <w:rPr>
          <w:rFonts w:hint="default" w:ascii="Times New Roman" w:hAnsi="Times New Roman" w:cs="Times New Roman"/>
          <w:color w:val="auto"/>
          <w:sz w:val="32"/>
          <w:szCs w:val="32"/>
        </w:rPr>
        <w:t>我公司委托贵公司承担</w:t>
      </w:r>
      <w:r>
        <w:rPr>
          <w:rFonts w:hint="default" w:ascii="Times New Roman" w:hAnsi="Times New Roman" w:cs="Times New Roman"/>
          <w:color w:val="auto"/>
          <w:sz w:val="32"/>
          <w:szCs w:val="32"/>
          <w:u w:val="single"/>
          <w:lang w:eastAsia="zh-CN"/>
        </w:rPr>
        <w:t>淄博锦明陶瓷材料有限公司年产500吨铝铁红技改项目</w:t>
      </w:r>
      <w:r>
        <w:rPr>
          <w:rFonts w:hint="default" w:ascii="Times New Roman" w:hAnsi="Times New Roman" w:cs="Times New Roman"/>
          <w:color w:val="auto"/>
          <w:sz w:val="32"/>
          <w:szCs w:val="32"/>
        </w:rPr>
        <w:t>环评报告</w:t>
      </w:r>
      <w:r>
        <w:rPr>
          <w:rFonts w:hint="default" w:ascii="Times New Roman" w:hAnsi="Times New Roman" w:cs="Times New Roman"/>
          <w:color w:val="auto"/>
          <w:sz w:val="32"/>
          <w:szCs w:val="32"/>
          <w:lang w:eastAsia="zh-CN"/>
        </w:rPr>
        <w:t>编制</w:t>
      </w:r>
      <w:r>
        <w:rPr>
          <w:rFonts w:hint="default" w:ascii="Times New Roman" w:hAnsi="Times New Roman" w:cs="Times New Roman"/>
          <w:color w:val="auto"/>
          <w:sz w:val="32"/>
          <w:szCs w:val="32"/>
        </w:rPr>
        <w:t>，我公司确认环评报告所需项目基础资料由我方提供，环评内容符合本项目合同规定的要求，可以上报主管部门审查，由于我方提供资料真实性引起的法律责任，由我方承担。</w:t>
      </w:r>
    </w:p>
    <w:p w14:paraId="4B7F9A15">
      <w:pPr>
        <w:spacing w:line="800" w:lineRule="exact"/>
        <w:ind w:firstLine="640" w:firstLineChars="200"/>
        <w:rPr>
          <w:rFonts w:hint="default" w:ascii="Times New Roman" w:hAnsi="Times New Roman" w:cs="Times New Roman"/>
          <w:color w:val="auto"/>
          <w:sz w:val="32"/>
          <w:szCs w:val="32"/>
        </w:rPr>
      </w:pPr>
      <w:r>
        <w:rPr>
          <w:rFonts w:hint="default" w:ascii="Times New Roman" w:hAnsi="Times New Roman" w:cs="Times New Roman"/>
          <w:color w:val="auto"/>
          <w:sz w:val="32"/>
          <w:szCs w:val="32"/>
        </w:rPr>
        <w:t>特此承诺！</w:t>
      </w:r>
    </w:p>
    <w:p w14:paraId="4B70E4E7">
      <w:pPr>
        <w:ind w:firstLine="560" w:firstLineChars="200"/>
        <w:rPr>
          <w:rFonts w:hint="default" w:ascii="Times New Roman" w:hAnsi="Times New Roman" w:cs="Times New Roman"/>
          <w:color w:val="auto"/>
          <w:sz w:val="28"/>
          <w:szCs w:val="28"/>
        </w:rPr>
      </w:pPr>
    </w:p>
    <w:p w14:paraId="3DEAED6B">
      <w:pPr>
        <w:ind w:firstLine="560" w:firstLineChars="200"/>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             </w:t>
      </w:r>
    </w:p>
    <w:p w14:paraId="7E1E3637">
      <w:pPr>
        <w:ind w:firstLine="560" w:firstLineChars="200"/>
        <w:rPr>
          <w:rFonts w:hint="default" w:ascii="Times New Roman" w:hAnsi="Times New Roman" w:cs="Times New Roman"/>
          <w:color w:val="auto"/>
          <w:sz w:val="28"/>
          <w:szCs w:val="28"/>
        </w:rPr>
      </w:pPr>
    </w:p>
    <w:p w14:paraId="05DC295C">
      <w:pPr>
        <w:ind w:firstLine="560" w:firstLineChars="200"/>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                </w:t>
      </w:r>
    </w:p>
    <w:p w14:paraId="09662DB0">
      <w:pPr>
        <w:ind w:firstLine="560" w:firstLineChars="200"/>
        <w:jc w:val="right"/>
        <w:rPr>
          <w:rFonts w:hint="default" w:ascii="Times New Roman" w:hAnsi="Times New Roman" w:eastAsia="宋体" w:cs="Times New Roman"/>
          <w:color w:val="auto"/>
          <w:sz w:val="32"/>
          <w:szCs w:val="32"/>
          <w:lang w:eastAsia="zh-CN"/>
        </w:rPr>
      </w:pP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32"/>
          <w:szCs w:val="32"/>
        </w:rPr>
        <w:t>建设单位：</w:t>
      </w:r>
      <w:r>
        <w:rPr>
          <w:rFonts w:hint="default" w:ascii="Times New Roman" w:hAnsi="Times New Roman" w:cs="Times New Roman"/>
          <w:color w:val="auto"/>
          <w:sz w:val="32"/>
          <w:szCs w:val="32"/>
          <w:lang w:eastAsia="zh-CN"/>
        </w:rPr>
        <w:t>淄博锦明陶瓷材料有限公司</w:t>
      </w:r>
    </w:p>
    <w:p w14:paraId="6E3D745E">
      <w:pPr>
        <w:jc w:val="right"/>
        <w:rPr>
          <w:rFonts w:hint="default" w:ascii="Times New Roman" w:hAnsi="Times New Roman" w:eastAsia="宋体" w:cs="Times New Roman"/>
          <w:color w:val="auto"/>
          <w:sz w:val="32"/>
          <w:szCs w:val="32"/>
          <w:lang w:eastAsia="zh-CN"/>
        </w:rPr>
      </w:pPr>
      <w:r>
        <w:rPr>
          <w:rFonts w:hint="default" w:ascii="Times New Roman" w:hAnsi="Times New Roman" w:cs="Times New Roman"/>
          <w:color w:val="auto"/>
          <w:sz w:val="32"/>
          <w:szCs w:val="32"/>
        </w:rPr>
        <w:t xml:space="preserve">                          </w:t>
      </w:r>
      <w:r>
        <w:rPr>
          <w:rFonts w:hint="default" w:ascii="Times New Roman" w:hAnsi="Times New Roman" w:cs="Times New Roman"/>
          <w:color w:val="auto"/>
          <w:sz w:val="32"/>
          <w:szCs w:val="32"/>
          <w:lang w:eastAsia="zh-CN"/>
        </w:rPr>
        <w:t>202</w:t>
      </w:r>
      <w:r>
        <w:rPr>
          <w:rFonts w:hint="eastAsia" w:cs="Times New Roman"/>
          <w:color w:val="auto"/>
          <w:sz w:val="32"/>
          <w:szCs w:val="32"/>
          <w:lang w:val="en-US" w:eastAsia="zh-CN"/>
        </w:rPr>
        <w:t>5</w:t>
      </w:r>
      <w:r>
        <w:rPr>
          <w:rFonts w:hint="default" w:ascii="Times New Roman" w:hAnsi="Times New Roman" w:cs="Times New Roman"/>
          <w:color w:val="auto"/>
          <w:sz w:val="32"/>
          <w:szCs w:val="32"/>
          <w:lang w:eastAsia="zh-CN"/>
        </w:rPr>
        <w:t>年</w:t>
      </w:r>
      <w:r>
        <w:rPr>
          <w:rFonts w:hint="eastAsia" w:cs="Times New Roman"/>
          <w:color w:val="auto"/>
          <w:sz w:val="32"/>
          <w:szCs w:val="32"/>
          <w:lang w:val="en-US" w:eastAsia="zh-CN"/>
        </w:rPr>
        <w:t>7</w:t>
      </w:r>
      <w:r>
        <w:rPr>
          <w:rFonts w:hint="default" w:ascii="Times New Roman" w:hAnsi="Times New Roman" w:cs="Times New Roman"/>
          <w:color w:val="auto"/>
          <w:sz w:val="32"/>
          <w:szCs w:val="32"/>
          <w:lang w:eastAsia="zh-CN"/>
        </w:rPr>
        <w:t>月</w:t>
      </w:r>
    </w:p>
    <w:p w14:paraId="2DB17765">
      <w:pPr>
        <w:pStyle w:val="30"/>
        <w:rPr>
          <w:rFonts w:hint="default" w:ascii="Times New Roman" w:hAnsi="Times New Roman" w:eastAsia="宋体" w:cs="Times New Roman"/>
          <w:b/>
          <w:color w:val="auto"/>
        </w:rPr>
      </w:pPr>
    </w:p>
    <w:p w14:paraId="755874CC">
      <w:pPr>
        <w:pStyle w:val="30"/>
        <w:rPr>
          <w:rFonts w:hint="default" w:ascii="Times New Roman" w:hAnsi="Times New Roman" w:eastAsia="宋体" w:cs="Times New Roman"/>
          <w:b/>
          <w:color w:val="auto"/>
        </w:rPr>
      </w:pPr>
    </w:p>
    <w:p w14:paraId="09D84159">
      <w:pPr>
        <w:pStyle w:val="30"/>
        <w:rPr>
          <w:rFonts w:hint="default" w:ascii="Times New Roman" w:hAnsi="Times New Roman" w:eastAsia="宋体" w:cs="Times New Roman"/>
          <w:b/>
          <w:color w:val="auto"/>
        </w:rPr>
      </w:pPr>
    </w:p>
    <w:p w14:paraId="54263D20">
      <w:pPr>
        <w:pStyle w:val="30"/>
        <w:rPr>
          <w:rFonts w:hint="default" w:ascii="Times New Roman" w:hAnsi="Times New Roman" w:eastAsia="宋体" w:cs="Times New Roman"/>
          <w:b/>
          <w:color w:val="auto"/>
        </w:rPr>
      </w:pPr>
    </w:p>
    <w:p w14:paraId="540F9B54">
      <w:pPr>
        <w:pStyle w:val="30"/>
        <w:rPr>
          <w:rFonts w:hint="default" w:ascii="Times New Roman" w:hAnsi="Times New Roman" w:eastAsia="宋体" w:cs="Times New Roman"/>
          <w:b/>
          <w:color w:val="auto"/>
        </w:rPr>
      </w:pPr>
    </w:p>
    <w:p w14:paraId="3528B706">
      <w:pPr>
        <w:pStyle w:val="30"/>
        <w:rPr>
          <w:rFonts w:hint="default" w:ascii="Times New Roman" w:hAnsi="Times New Roman" w:eastAsia="宋体" w:cs="Times New Roman"/>
          <w:b/>
          <w:color w:val="auto"/>
        </w:rPr>
      </w:pPr>
    </w:p>
    <w:p w14:paraId="73B5CAD1">
      <w:pPr>
        <w:pStyle w:val="30"/>
        <w:rPr>
          <w:rFonts w:hint="default" w:ascii="Times New Roman" w:hAnsi="Times New Roman" w:eastAsia="黑体" w:cs="Times New Roman"/>
          <w:bCs/>
          <w:color w:val="auto"/>
        </w:rPr>
      </w:pPr>
      <w:r>
        <w:rPr>
          <w:rFonts w:hint="default" w:ascii="Times New Roman" w:hAnsi="Times New Roman" w:eastAsia="黑体" w:cs="Times New Roman"/>
          <w:bCs/>
          <w:color w:val="auto"/>
        </w:rPr>
        <w:t>附件</w:t>
      </w:r>
      <w:r>
        <w:rPr>
          <w:rFonts w:hint="eastAsia" w:ascii="Times New Roman" w:hAnsi="Times New Roman" w:eastAsia="黑体" w:cs="Times New Roman"/>
          <w:bCs/>
          <w:color w:val="auto"/>
          <w:lang w:val="en-US" w:eastAsia="zh-CN"/>
        </w:rPr>
        <w:t>3</w:t>
      </w:r>
      <w:r>
        <w:rPr>
          <w:rFonts w:hint="default" w:ascii="Times New Roman" w:hAnsi="Times New Roman" w:eastAsia="黑体" w:cs="Times New Roman"/>
          <w:bCs/>
          <w:color w:val="auto"/>
        </w:rPr>
        <w:t>：信息公开承诺</w:t>
      </w:r>
    </w:p>
    <w:p w14:paraId="43BE4885">
      <w:pPr>
        <w:rPr>
          <w:rFonts w:hint="default" w:ascii="Times New Roman" w:hAnsi="Times New Roman" w:cs="Times New Roman"/>
          <w:b/>
          <w:bCs/>
          <w:color w:val="auto"/>
          <w:sz w:val="30"/>
          <w:szCs w:val="30"/>
        </w:rPr>
      </w:pPr>
    </w:p>
    <w:p w14:paraId="4D48F5FA">
      <w:pPr>
        <w:jc w:val="center"/>
        <w:rPr>
          <w:rFonts w:hint="default" w:ascii="Times New Roman" w:hAnsi="Times New Roman" w:cs="Times New Roman"/>
          <w:b/>
          <w:bCs/>
          <w:color w:val="auto"/>
          <w:sz w:val="30"/>
          <w:szCs w:val="30"/>
        </w:rPr>
      </w:pPr>
    </w:p>
    <w:p w14:paraId="062A0426">
      <w:pPr>
        <w:jc w:val="center"/>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环境影响评价信息公开承诺书</w:t>
      </w:r>
    </w:p>
    <w:p w14:paraId="348BA30E">
      <w:pPr>
        <w:spacing w:line="800" w:lineRule="exact"/>
        <w:rPr>
          <w:rFonts w:hint="default" w:ascii="Times New Roman" w:hAnsi="Times New Roman" w:eastAsia="宋体" w:cs="Times New Roman"/>
          <w:color w:val="auto"/>
          <w:sz w:val="32"/>
          <w:szCs w:val="32"/>
          <w:lang w:eastAsia="zh-CN"/>
        </w:rPr>
      </w:pPr>
      <w:r>
        <w:rPr>
          <w:rFonts w:hint="default" w:ascii="Times New Roman" w:hAnsi="Times New Roman" w:eastAsia="宋体" w:cs="Times New Roman"/>
          <w:color w:val="auto"/>
          <w:sz w:val="32"/>
          <w:szCs w:val="32"/>
          <w:lang w:eastAsia="zh-CN"/>
        </w:rPr>
        <w:t>淄博市生态环境局博山分局：</w:t>
      </w:r>
    </w:p>
    <w:p w14:paraId="635FAD6B">
      <w:pPr>
        <w:spacing w:line="800" w:lineRule="exact"/>
        <w:ind w:firstLine="640" w:firstLineChars="200"/>
        <w:rPr>
          <w:rFonts w:hint="default" w:ascii="Times New Roman" w:hAnsi="Times New Roman" w:eastAsia="宋体" w:cs="Times New Roman"/>
          <w:color w:val="auto"/>
          <w:sz w:val="32"/>
          <w:szCs w:val="32"/>
          <w:lang w:eastAsia="zh-CN"/>
        </w:rPr>
      </w:pPr>
      <w:r>
        <w:rPr>
          <w:rFonts w:hint="default" w:ascii="Times New Roman" w:hAnsi="Times New Roman" w:eastAsia="宋体" w:cs="Times New Roman"/>
          <w:color w:val="auto"/>
          <w:sz w:val="32"/>
          <w:szCs w:val="32"/>
          <w:lang w:eastAsia="zh-CN"/>
        </w:rPr>
        <w:t>我单位</w:t>
      </w:r>
      <w:r>
        <w:rPr>
          <w:rFonts w:hint="eastAsia" w:ascii="Times New Roman" w:hAnsi="Times New Roman" w:eastAsia="宋体" w:cs="Times New Roman"/>
          <w:color w:val="auto"/>
          <w:sz w:val="32"/>
          <w:szCs w:val="32"/>
          <w:u w:val="single"/>
          <w:lang w:val="en-US" w:eastAsia="zh-CN"/>
        </w:rPr>
        <w:t xml:space="preserve"> 淄博锦明陶瓷材料有限公司年产500吨铝铁红技改项目 </w:t>
      </w:r>
      <w:r>
        <w:rPr>
          <w:rFonts w:hint="default" w:ascii="Times New Roman" w:hAnsi="Times New Roman" w:eastAsia="宋体" w:cs="Times New Roman"/>
          <w:color w:val="auto"/>
          <w:sz w:val="32"/>
          <w:szCs w:val="32"/>
          <w:lang w:eastAsia="zh-CN"/>
        </w:rPr>
        <w:t>已达到受理条件，按照环保部《建设项目环境影响评价政府信息公开指南（试行）》（环办[2013] 103 号）文件要求，为认真履行企业职责，自愿依法主动公开建设项目环境影响报告表全本信息（同时附删除涉及国家秘密、商业秘密等内容及删除依据和理由说明报告），并依法承担因信息公开带来的后果。</w:t>
      </w:r>
    </w:p>
    <w:p w14:paraId="6BC7312B">
      <w:pPr>
        <w:spacing w:line="800" w:lineRule="exact"/>
        <w:ind w:firstLine="640" w:firstLineChars="200"/>
        <w:jc w:val="both"/>
        <w:rPr>
          <w:rFonts w:hint="default" w:ascii="Times New Roman" w:hAnsi="Times New Roman" w:eastAsia="宋体" w:cs="Times New Roman"/>
          <w:color w:val="auto"/>
          <w:sz w:val="32"/>
          <w:szCs w:val="32"/>
          <w:lang w:eastAsia="zh-CN"/>
        </w:rPr>
      </w:pPr>
      <w:r>
        <w:rPr>
          <w:rFonts w:hint="default" w:ascii="Times New Roman" w:hAnsi="Times New Roman" w:eastAsia="宋体" w:cs="Times New Roman"/>
          <w:color w:val="auto"/>
          <w:sz w:val="32"/>
          <w:szCs w:val="32"/>
          <w:lang w:eastAsia="zh-CN"/>
        </w:rPr>
        <w:t>特此承诺！</w:t>
      </w:r>
    </w:p>
    <w:p w14:paraId="4FA0C06F">
      <w:pPr>
        <w:ind w:firstLine="560" w:firstLineChars="200"/>
        <w:rPr>
          <w:rFonts w:hint="default" w:ascii="Times New Roman" w:hAnsi="Times New Roman" w:cs="Times New Roman"/>
          <w:color w:val="auto"/>
          <w:sz w:val="28"/>
          <w:szCs w:val="28"/>
        </w:rPr>
      </w:pPr>
    </w:p>
    <w:p w14:paraId="058623DF">
      <w:pPr>
        <w:ind w:firstLine="560" w:firstLineChars="200"/>
        <w:rPr>
          <w:rFonts w:hint="default" w:ascii="Times New Roman" w:hAnsi="Times New Roman" w:cs="Times New Roman"/>
          <w:color w:val="auto"/>
          <w:sz w:val="28"/>
          <w:szCs w:val="28"/>
        </w:rPr>
      </w:pPr>
      <w:r>
        <w:rPr>
          <w:rFonts w:hint="default" w:ascii="Times New Roman" w:hAnsi="Times New Roman" w:cs="Times New Roman"/>
          <w:color w:val="auto"/>
          <w:sz w:val="28"/>
          <w:szCs w:val="28"/>
        </w:rPr>
        <w:t xml:space="preserve">                </w:t>
      </w:r>
    </w:p>
    <w:p w14:paraId="25FF84D1">
      <w:pPr>
        <w:ind w:firstLine="560" w:firstLineChars="200"/>
        <w:jc w:val="right"/>
        <w:rPr>
          <w:rFonts w:hint="default" w:ascii="Times New Roman" w:hAnsi="Times New Roman" w:eastAsia="宋体" w:cs="Times New Roman"/>
          <w:color w:val="auto"/>
          <w:sz w:val="32"/>
          <w:szCs w:val="32"/>
          <w:lang w:eastAsia="zh-CN"/>
        </w:rPr>
      </w:pPr>
      <w:r>
        <w:rPr>
          <w:rFonts w:hint="default" w:ascii="Times New Roman" w:hAnsi="Times New Roman" w:cs="Times New Roman"/>
          <w:color w:val="auto"/>
          <w:sz w:val="28"/>
          <w:szCs w:val="28"/>
        </w:rPr>
        <w:t xml:space="preserve">                     </w:t>
      </w:r>
      <w:r>
        <w:rPr>
          <w:rFonts w:hint="default" w:ascii="Times New Roman" w:hAnsi="Times New Roman" w:cs="Times New Roman"/>
          <w:color w:val="auto"/>
          <w:sz w:val="32"/>
          <w:szCs w:val="32"/>
        </w:rPr>
        <w:t>建设单位：</w:t>
      </w:r>
      <w:r>
        <w:rPr>
          <w:rFonts w:hint="default" w:ascii="Times New Roman" w:hAnsi="Times New Roman" w:cs="Times New Roman"/>
          <w:color w:val="auto"/>
          <w:sz w:val="32"/>
          <w:szCs w:val="32"/>
          <w:lang w:eastAsia="zh-CN"/>
        </w:rPr>
        <w:t>淄博锦明陶瓷材料有限公司</w:t>
      </w:r>
    </w:p>
    <w:p w14:paraId="77F45002">
      <w:pPr>
        <w:jc w:val="right"/>
        <w:rPr>
          <w:rFonts w:hint="default" w:ascii="Times New Roman" w:hAnsi="Times New Roman" w:eastAsia="宋体" w:cs="Times New Roman"/>
          <w:color w:val="auto"/>
          <w:sz w:val="32"/>
          <w:szCs w:val="32"/>
          <w:lang w:eastAsia="zh-CN"/>
        </w:rPr>
      </w:pPr>
      <w:r>
        <w:rPr>
          <w:rFonts w:hint="default" w:ascii="Times New Roman" w:hAnsi="Times New Roman" w:cs="Times New Roman"/>
          <w:color w:val="auto"/>
          <w:sz w:val="32"/>
          <w:szCs w:val="32"/>
        </w:rPr>
        <w:t xml:space="preserve">                          </w:t>
      </w:r>
      <w:r>
        <w:rPr>
          <w:rFonts w:hint="default" w:ascii="Times New Roman" w:hAnsi="Times New Roman" w:cs="Times New Roman"/>
          <w:color w:val="auto"/>
          <w:sz w:val="32"/>
          <w:szCs w:val="32"/>
          <w:lang w:eastAsia="zh-CN"/>
        </w:rPr>
        <w:t>202</w:t>
      </w:r>
      <w:r>
        <w:rPr>
          <w:rFonts w:hint="eastAsia" w:cs="Times New Roman"/>
          <w:color w:val="auto"/>
          <w:sz w:val="32"/>
          <w:szCs w:val="32"/>
          <w:lang w:val="en-US" w:eastAsia="zh-CN"/>
        </w:rPr>
        <w:t>5</w:t>
      </w:r>
      <w:r>
        <w:rPr>
          <w:rFonts w:hint="default" w:ascii="Times New Roman" w:hAnsi="Times New Roman" w:cs="Times New Roman"/>
          <w:color w:val="auto"/>
          <w:sz w:val="32"/>
          <w:szCs w:val="32"/>
          <w:lang w:eastAsia="zh-CN"/>
        </w:rPr>
        <w:t>年</w:t>
      </w:r>
      <w:r>
        <w:rPr>
          <w:rFonts w:hint="eastAsia" w:cs="Times New Roman"/>
          <w:color w:val="auto"/>
          <w:sz w:val="32"/>
          <w:szCs w:val="32"/>
          <w:lang w:val="en-US" w:eastAsia="zh-CN"/>
        </w:rPr>
        <w:t>7</w:t>
      </w:r>
      <w:r>
        <w:rPr>
          <w:rFonts w:hint="default" w:ascii="Times New Roman" w:hAnsi="Times New Roman" w:cs="Times New Roman"/>
          <w:color w:val="auto"/>
          <w:sz w:val="32"/>
          <w:szCs w:val="32"/>
          <w:lang w:eastAsia="zh-CN"/>
        </w:rPr>
        <w:t>月</w:t>
      </w:r>
    </w:p>
    <w:p w14:paraId="5C8E95BC">
      <w:pPr>
        <w:pStyle w:val="30"/>
        <w:rPr>
          <w:rFonts w:hint="default" w:ascii="Times New Roman" w:hAnsi="Times New Roman" w:eastAsia="宋体" w:cs="Times New Roman"/>
          <w:b/>
          <w:color w:val="auto"/>
        </w:rPr>
      </w:pPr>
    </w:p>
    <w:p w14:paraId="5C82FFEB">
      <w:pPr>
        <w:pStyle w:val="30"/>
        <w:rPr>
          <w:rFonts w:hint="default" w:ascii="Times New Roman" w:hAnsi="Times New Roman" w:eastAsia="宋体" w:cs="Times New Roman"/>
          <w:b/>
          <w:color w:val="auto"/>
        </w:rPr>
      </w:pPr>
    </w:p>
    <w:p w14:paraId="07DE7C3A">
      <w:pPr>
        <w:pStyle w:val="30"/>
        <w:rPr>
          <w:rFonts w:hint="default" w:ascii="Times New Roman" w:hAnsi="Times New Roman" w:eastAsia="宋体" w:cs="Times New Roman"/>
          <w:b/>
          <w:color w:val="auto"/>
        </w:rPr>
      </w:pPr>
    </w:p>
    <w:p w14:paraId="5F352598">
      <w:pPr>
        <w:pStyle w:val="30"/>
        <w:rPr>
          <w:rFonts w:hint="default" w:ascii="Times New Roman" w:hAnsi="Times New Roman" w:eastAsia="宋体" w:cs="Times New Roman"/>
          <w:b/>
          <w:color w:val="auto"/>
        </w:rPr>
      </w:pPr>
    </w:p>
    <w:p w14:paraId="1A8B585D">
      <w:pPr>
        <w:pStyle w:val="30"/>
        <w:rPr>
          <w:rFonts w:hint="default" w:ascii="Times New Roman" w:hAnsi="Times New Roman" w:eastAsia="宋体" w:cs="Times New Roman"/>
          <w:b/>
          <w:color w:val="auto"/>
        </w:rPr>
      </w:pPr>
    </w:p>
    <w:p w14:paraId="1A4A60D8">
      <w:pPr>
        <w:pStyle w:val="30"/>
        <w:rPr>
          <w:rFonts w:hint="default" w:ascii="Times New Roman" w:hAnsi="Times New Roman" w:eastAsia="宋体" w:cs="Times New Roman"/>
          <w:b/>
          <w:color w:val="auto"/>
        </w:rPr>
      </w:pPr>
    </w:p>
    <w:p w14:paraId="1964F9C4">
      <w:pPr>
        <w:pStyle w:val="30"/>
        <w:rPr>
          <w:rFonts w:hint="default" w:ascii="Times New Roman" w:hAnsi="Times New Roman" w:eastAsia="宋体" w:cs="Times New Roman"/>
          <w:b/>
          <w:color w:val="auto"/>
        </w:rPr>
      </w:pPr>
    </w:p>
    <w:p w14:paraId="1A0905D2">
      <w:pPr>
        <w:pStyle w:val="30"/>
        <w:rPr>
          <w:rFonts w:hint="default" w:ascii="Times New Roman" w:hAnsi="Times New Roman" w:eastAsia="宋体" w:cs="Times New Roman"/>
          <w:b/>
          <w:color w:val="auto"/>
        </w:rPr>
      </w:pPr>
    </w:p>
    <w:p w14:paraId="6ECD6718">
      <w:pPr>
        <w:pStyle w:val="30"/>
        <w:rPr>
          <w:rFonts w:hint="default" w:ascii="Times New Roman" w:hAnsi="Times New Roman" w:eastAsia="宋体" w:cs="Times New Roman"/>
          <w:b/>
          <w:color w:val="auto"/>
        </w:rPr>
      </w:pPr>
    </w:p>
    <w:p w14:paraId="7346BF28">
      <w:pPr>
        <w:pStyle w:val="30"/>
        <w:rPr>
          <w:rFonts w:hint="default" w:ascii="Times New Roman" w:hAnsi="Times New Roman" w:eastAsia="黑体" w:cs="Times New Roman"/>
          <w:bCs/>
          <w:color w:val="auto"/>
          <w:highlight w:val="none"/>
          <w:lang w:val="en-US" w:eastAsia="zh-CN"/>
        </w:rPr>
      </w:pPr>
      <w:r>
        <w:rPr>
          <w:rFonts w:hint="default" w:ascii="Times New Roman" w:hAnsi="Times New Roman" w:eastAsia="黑体" w:cs="Times New Roman"/>
          <w:bCs/>
          <w:color w:val="auto"/>
          <w:highlight w:val="none"/>
        </w:rPr>
        <w:t>附件</w:t>
      </w:r>
      <w:r>
        <w:rPr>
          <w:rFonts w:hint="eastAsia" w:ascii="Times New Roman" w:eastAsia="黑体" w:cs="Times New Roman"/>
          <w:bCs/>
          <w:color w:val="auto"/>
          <w:highlight w:val="none"/>
          <w:lang w:val="en-US" w:eastAsia="zh-CN"/>
        </w:rPr>
        <w:t>4</w:t>
      </w:r>
      <w:r>
        <w:rPr>
          <w:rFonts w:hint="default" w:ascii="Times New Roman" w:hAnsi="Times New Roman" w:eastAsia="黑体" w:cs="Times New Roman"/>
          <w:bCs/>
          <w:color w:val="auto"/>
          <w:highlight w:val="none"/>
        </w:rPr>
        <w:t>：</w:t>
      </w:r>
      <w:r>
        <w:rPr>
          <w:rFonts w:hint="default" w:ascii="Times New Roman" w:hAnsi="Times New Roman" w:eastAsia="黑体" w:cs="Times New Roman"/>
          <w:bCs/>
          <w:color w:val="auto"/>
          <w:highlight w:val="none"/>
          <w:lang w:val="en-US" w:eastAsia="zh-CN"/>
        </w:rPr>
        <w:t>营业执照</w:t>
      </w:r>
    </w:p>
    <w:p w14:paraId="7B4CD7B3">
      <w:pPr>
        <w:pStyle w:val="30"/>
        <w:rPr>
          <w:rFonts w:hint="default" w:ascii="Times New Roman" w:hAnsi="Times New Roman" w:eastAsia="宋体" w:cs="Times New Roman"/>
          <w:b/>
          <w:bCs/>
          <w:color w:val="auto"/>
        </w:rPr>
      </w:pPr>
      <w:r>
        <w:rPr>
          <w:rFonts w:hint="default" w:ascii="Times New Roman" w:hAnsi="Times New Roman" w:cs="Times New Roman"/>
          <w:color w:val="auto"/>
        </w:rPr>
        <w:drawing>
          <wp:inline distT="0" distB="0" distL="114300" distR="114300">
            <wp:extent cx="5548630" cy="7857490"/>
            <wp:effectExtent l="0" t="0" r="0" b="0"/>
            <wp:docPr id="10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7"/>
                    <pic:cNvPicPr>
                      <a:picLocks noChangeAspect="1"/>
                    </pic:cNvPicPr>
                  </pic:nvPicPr>
                  <pic:blipFill>
                    <a:blip r:embed="rId20"/>
                    <a:srcRect r="592" b="491"/>
                    <a:stretch>
                      <a:fillRect/>
                    </a:stretch>
                  </pic:blipFill>
                  <pic:spPr>
                    <a:xfrm>
                      <a:off x="0" y="0"/>
                      <a:ext cx="5548630" cy="7857490"/>
                    </a:xfrm>
                    <a:prstGeom prst="rect">
                      <a:avLst/>
                    </a:prstGeom>
                    <a:noFill/>
                    <a:ln>
                      <a:noFill/>
                    </a:ln>
                  </pic:spPr>
                </pic:pic>
              </a:graphicData>
            </a:graphic>
          </wp:inline>
        </w:drawing>
      </w:r>
    </w:p>
    <w:p w14:paraId="114557A6">
      <w:pPr>
        <w:rPr>
          <w:rFonts w:hint="default" w:ascii="Times New Roman" w:hAnsi="Times New Roman" w:eastAsia="宋体" w:cs="Times New Roman"/>
          <w:b/>
          <w:color w:val="auto"/>
        </w:rPr>
      </w:pPr>
    </w:p>
    <w:p w14:paraId="2965FD26">
      <w:pPr>
        <w:rPr>
          <w:rFonts w:hint="default" w:ascii="Times New Roman" w:hAnsi="Times New Roman" w:eastAsia="宋体" w:cs="Times New Roman"/>
          <w:b/>
          <w:color w:val="auto"/>
        </w:rPr>
      </w:pPr>
    </w:p>
    <w:p w14:paraId="676A8A12">
      <w:pPr>
        <w:rPr>
          <w:rFonts w:hint="default" w:ascii="Times New Roman" w:hAnsi="Times New Roman" w:eastAsia="宋体" w:cs="Times New Roman"/>
          <w:b/>
          <w:color w:val="auto"/>
        </w:rPr>
      </w:pPr>
    </w:p>
    <w:p w14:paraId="1FD8C3C8">
      <w:pPr>
        <w:pStyle w:val="30"/>
        <w:rPr>
          <w:rFonts w:hint="default" w:ascii="Times New Roman" w:hAnsi="Times New Roman" w:eastAsia="黑体" w:cs="Times New Roman"/>
          <w:bCs/>
          <w:color w:val="auto"/>
          <w:highlight w:val="none"/>
          <w:lang w:val="en-US" w:eastAsia="zh-CN"/>
        </w:rPr>
      </w:pPr>
      <w:r>
        <w:rPr>
          <w:rFonts w:hint="default" w:ascii="Times New Roman" w:hAnsi="Times New Roman" w:eastAsia="黑体" w:cs="Times New Roman"/>
          <w:bCs/>
          <w:color w:val="auto"/>
          <w:highlight w:val="none"/>
        </w:rPr>
        <w:t>附件</w:t>
      </w:r>
      <w:r>
        <w:rPr>
          <w:rFonts w:hint="eastAsia" w:ascii="Times New Roman" w:eastAsia="黑体" w:cs="Times New Roman"/>
          <w:bCs/>
          <w:color w:val="auto"/>
          <w:highlight w:val="none"/>
          <w:lang w:val="en-US" w:eastAsia="zh-CN"/>
        </w:rPr>
        <w:t>5</w:t>
      </w:r>
      <w:r>
        <w:rPr>
          <w:rFonts w:hint="default" w:ascii="Times New Roman" w:hAnsi="Times New Roman" w:eastAsia="黑体" w:cs="Times New Roman"/>
          <w:bCs/>
          <w:color w:val="auto"/>
          <w:highlight w:val="none"/>
        </w:rPr>
        <w:t>：</w:t>
      </w:r>
      <w:r>
        <w:rPr>
          <w:rFonts w:hint="default" w:ascii="Times New Roman" w:hAnsi="Times New Roman" w:eastAsia="黑体" w:cs="Times New Roman"/>
          <w:bCs/>
          <w:color w:val="auto"/>
          <w:highlight w:val="none"/>
          <w:lang w:val="en-US" w:eastAsia="zh-CN"/>
        </w:rPr>
        <w:t>备案证明</w:t>
      </w:r>
    </w:p>
    <w:p w14:paraId="44E98EB8">
      <w:pPr>
        <w:pStyle w:val="30"/>
        <w:rPr>
          <w:rFonts w:hint="default" w:ascii="Times New Roman" w:hAnsi="Times New Roman" w:eastAsia="黑体" w:cs="Times New Roman"/>
          <w:bCs/>
          <w:color w:val="auto"/>
          <w:lang w:eastAsia="zh-CN"/>
        </w:rPr>
      </w:pPr>
      <w:r>
        <w:rPr>
          <w:rFonts w:hint="default" w:ascii="Times New Roman" w:hAnsi="Times New Roman" w:eastAsia="黑体" w:cs="Times New Roman"/>
          <w:bCs/>
          <w:color w:val="auto"/>
          <w:lang w:eastAsia="zh-CN"/>
        </w:rPr>
        <w:drawing>
          <wp:inline distT="0" distB="0" distL="114300" distR="114300">
            <wp:extent cx="5610860" cy="7934960"/>
            <wp:effectExtent l="0" t="0" r="8890" b="8890"/>
            <wp:docPr id="1" name="图片 1" descr="扫描件_山东省建设项目备案证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扫描件_山东省建设项目备案证明_01"/>
                    <pic:cNvPicPr>
                      <a:picLocks noChangeAspect="1"/>
                    </pic:cNvPicPr>
                  </pic:nvPicPr>
                  <pic:blipFill>
                    <a:blip r:embed="rId21"/>
                    <a:stretch>
                      <a:fillRect/>
                    </a:stretch>
                  </pic:blipFill>
                  <pic:spPr>
                    <a:xfrm>
                      <a:off x="0" y="0"/>
                      <a:ext cx="5610860" cy="7934960"/>
                    </a:xfrm>
                    <a:prstGeom prst="rect">
                      <a:avLst/>
                    </a:prstGeom>
                  </pic:spPr>
                </pic:pic>
              </a:graphicData>
            </a:graphic>
          </wp:inline>
        </w:drawing>
      </w:r>
    </w:p>
    <w:p w14:paraId="2BD914C7">
      <w:pPr>
        <w:pStyle w:val="30"/>
        <w:rPr>
          <w:rFonts w:hint="default" w:ascii="Times New Roman" w:hAnsi="Times New Roman" w:eastAsia="黑体" w:cs="Times New Roman"/>
          <w:bCs/>
          <w:color w:val="auto"/>
          <w:lang w:eastAsia="zh-CN"/>
        </w:rPr>
      </w:pPr>
    </w:p>
    <w:p w14:paraId="3442CE31">
      <w:pPr>
        <w:pStyle w:val="30"/>
        <w:rPr>
          <w:rFonts w:hint="default" w:ascii="Times New Roman" w:hAnsi="Times New Roman" w:eastAsia="黑体" w:cs="Times New Roman"/>
          <w:bCs/>
          <w:color w:val="auto"/>
          <w:lang w:eastAsia="zh-CN"/>
        </w:rPr>
      </w:pPr>
    </w:p>
    <w:p w14:paraId="6320162A">
      <w:pPr>
        <w:pStyle w:val="30"/>
        <w:rPr>
          <w:rFonts w:hint="default" w:ascii="Times New Roman" w:hAnsi="Times New Roman" w:eastAsia="黑体" w:cs="Times New Roman"/>
          <w:b/>
          <w:color w:val="auto"/>
          <w:lang w:val="en-US" w:eastAsia="zh-CN"/>
        </w:rPr>
      </w:pPr>
      <w:r>
        <w:rPr>
          <w:rFonts w:hint="default" w:ascii="Times New Roman" w:hAnsi="Times New Roman" w:eastAsia="黑体" w:cs="Times New Roman"/>
          <w:bCs/>
          <w:color w:val="auto"/>
        </w:rPr>
        <w:t>附件</w:t>
      </w:r>
      <w:r>
        <w:rPr>
          <w:rFonts w:hint="eastAsia" w:ascii="Times New Roman" w:eastAsia="黑体" w:cs="Times New Roman"/>
          <w:bCs/>
          <w:color w:val="auto"/>
          <w:lang w:val="en-US" w:eastAsia="zh-CN"/>
        </w:rPr>
        <w:t>6</w:t>
      </w:r>
      <w:r>
        <w:rPr>
          <w:rFonts w:hint="default" w:ascii="Times New Roman" w:hAnsi="Times New Roman" w:eastAsia="黑体" w:cs="Times New Roman"/>
          <w:bCs/>
          <w:color w:val="auto"/>
        </w:rPr>
        <w:t>：</w:t>
      </w:r>
      <w:r>
        <w:rPr>
          <w:rFonts w:hint="default" w:ascii="Times New Roman" w:hAnsi="Times New Roman" w:eastAsia="黑体" w:cs="Times New Roman"/>
          <w:bCs/>
          <w:color w:val="auto"/>
          <w:lang w:val="en-US" w:eastAsia="zh-CN"/>
        </w:rPr>
        <w:t>排污许可</w:t>
      </w:r>
    </w:p>
    <w:p w14:paraId="29D18204">
      <w:pPr>
        <w:pStyle w:val="30"/>
        <w:rPr>
          <w:rFonts w:hint="default" w:ascii="Times New Roman" w:hAnsi="Times New Roman" w:eastAsia="宋体" w:cs="Times New Roman"/>
          <w:b/>
          <w:color w:val="auto"/>
          <w:lang w:eastAsia="zh-CN"/>
        </w:rPr>
      </w:pPr>
      <w:r>
        <w:rPr>
          <w:rFonts w:hint="default" w:ascii="Times New Roman" w:hAnsi="Times New Roman" w:eastAsia="宋体" w:cs="Times New Roman"/>
          <w:b/>
          <w:color w:val="auto"/>
          <w:lang w:eastAsia="zh-CN"/>
        </w:rPr>
        <w:drawing>
          <wp:inline distT="0" distB="0" distL="114300" distR="114300">
            <wp:extent cx="5608320" cy="7711440"/>
            <wp:effectExtent l="0" t="0" r="11430" b="3810"/>
            <wp:docPr id="96" name="图片 96" descr="排污许可登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排污许可登记"/>
                    <pic:cNvPicPr>
                      <a:picLocks noChangeAspect="1"/>
                    </pic:cNvPicPr>
                  </pic:nvPicPr>
                  <pic:blipFill>
                    <a:blip r:embed="rId22"/>
                    <a:stretch>
                      <a:fillRect/>
                    </a:stretch>
                  </pic:blipFill>
                  <pic:spPr>
                    <a:xfrm>
                      <a:off x="0" y="0"/>
                      <a:ext cx="5608320" cy="7711440"/>
                    </a:xfrm>
                    <a:prstGeom prst="rect">
                      <a:avLst/>
                    </a:prstGeom>
                  </pic:spPr>
                </pic:pic>
              </a:graphicData>
            </a:graphic>
          </wp:inline>
        </w:drawing>
      </w:r>
    </w:p>
    <w:p w14:paraId="096CC319">
      <w:pPr>
        <w:pStyle w:val="30"/>
        <w:rPr>
          <w:rFonts w:hint="default" w:ascii="Times New Roman" w:hAnsi="Times New Roman" w:eastAsia="黑体" w:cs="Times New Roman"/>
          <w:bCs/>
          <w:color w:val="auto"/>
        </w:rPr>
      </w:pPr>
    </w:p>
    <w:p w14:paraId="73DE6889">
      <w:pPr>
        <w:pStyle w:val="30"/>
        <w:rPr>
          <w:rFonts w:hint="default" w:ascii="Times New Roman" w:hAnsi="Times New Roman" w:eastAsia="黑体" w:cs="Times New Roman"/>
          <w:bCs/>
          <w:color w:val="auto"/>
        </w:rPr>
      </w:pPr>
    </w:p>
    <w:p w14:paraId="56FEC244">
      <w:pPr>
        <w:pStyle w:val="30"/>
        <w:rPr>
          <w:rFonts w:hint="default" w:ascii="Times New Roman" w:hAnsi="Times New Roman" w:eastAsia="黑体" w:cs="Times New Roman"/>
          <w:bCs/>
          <w:color w:val="auto"/>
        </w:rPr>
      </w:pPr>
    </w:p>
    <w:p w14:paraId="04985B54">
      <w:pPr>
        <w:pStyle w:val="30"/>
        <w:rPr>
          <w:rFonts w:hint="default" w:ascii="Times New Roman" w:hAnsi="Times New Roman" w:eastAsia="黑体" w:cs="Times New Roman"/>
          <w:bCs/>
          <w:color w:val="auto"/>
        </w:rPr>
      </w:pPr>
    </w:p>
    <w:p w14:paraId="5A9233EB">
      <w:pPr>
        <w:pStyle w:val="30"/>
        <w:rPr>
          <w:rFonts w:hint="default" w:ascii="Times New Roman" w:hAnsi="Times New Roman" w:eastAsia="黑体" w:cs="Times New Roman"/>
          <w:color w:val="auto"/>
          <w:lang w:val="en-US" w:eastAsia="zh-CN"/>
        </w:rPr>
      </w:pPr>
      <w:r>
        <w:rPr>
          <w:rFonts w:hint="default" w:ascii="Times New Roman" w:hAnsi="Times New Roman" w:eastAsia="黑体" w:cs="Times New Roman"/>
          <w:bCs/>
          <w:color w:val="auto"/>
        </w:rPr>
        <w:t>附件</w:t>
      </w:r>
      <w:r>
        <w:rPr>
          <w:rFonts w:hint="eastAsia" w:ascii="Times New Roman" w:eastAsia="黑体" w:cs="Times New Roman"/>
          <w:bCs/>
          <w:color w:val="auto"/>
          <w:lang w:val="en-US" w:eastAsia="zh-CN"/>
        </w:rPr>
        <w:t>7</w:t>
      </w:r>
      <w:r>
        <w:rPr>
          <w:rFonts w:hint="default" w:ascii="Times New Roman" w:hAnsi="Times New Roman" w:eastAsia="黑体" w:cs="Times New Roman"/>
          <w:bCs/>
          <w:color w:val="auto"/>
        </w:rPr>
        <w:t>：</w:t>
      </w:r>
      <w:r>
        <w:rPr>
          <w:rFonts w:hint="default" w:ascii="Times New Roman" w:hAnsi="Times New Roman" w:eastAsia="黑体" w:cs="Times New Roman"/>
          <w:bCs/>
          <w:color w:val="auto"/>
          <w:lang w:val="en-US" w:eastAsia="zh-CN"/>
        </w:rPr>
        <w:t>现有项目环保手续</w:t>
      </w:r>
    </w:p>
    <w:p w14:paraId="5DF7CA6B">
      <w:pPr>
        <w:pStyle w:val="30"/>
        <w:rPr>
          <w:rFonts w:hint="default" w:ascii="Times New Roman" w:hAnsi="Times New Roman" w:eastAsia="仿宋_GB2312" w:cs="Times New Roman"/>
          <w:color w:val="auto"/>
          <w:lang w:eastAsia="zh-CN"/>
        </w:rPr>
      </w:pPr>
      <w:r>
        <w:rPr>
          <w:rFonts w:hint="default" w:ascii="Times New Roman" w:hAnsi="Times New Roman" w:eastAsia="仿宋_GB2312" w:cs="Times New Roman"/>
          <w:color w:val="auto"/>
          <w:lang w:eastAsia="zh-CN"/>
        </w:rPr>
        <w:drawing>
          <wp:inline distT="0" distB="0" distL="114300" distR="114300">
            <wp:extent cx="5608955" cy="7479665"/>
            <wp:effectExtent l="0" t="0" r="10795" b="6985"/>
            <wp:docPr id="100" name="图片 100" descr="备案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备案_1"/>
                    <pic:cNvPicPr>
                      <a:picLocks noChangeAspect="1"/>
                    </pic:cNvPicPr>
                  </pic:nvPicPr>
                  <pic:blipFill>
                    <a:blip r:embed="rId23"/>
                    <a:stretch>
                      <a:fillRect/>
                    </a:stretch>
                  </pic:blipFill>
                  <pic:spPr>
                    <a:xfrm>
                      <a:off x="0" y="0"/>
                      <a:ext cx="5608955" cy="7479665"/>
                    </a:xfrm>
                    <a:prstGeom prst="rect">
                      <a:avLst/>
                    </a:prstGeom>
                  </pic:spPr>
                </pic:pic>
              </a:graphicData>
            </a:graphic>
          </wp:inline>
        </w:drawing>
      </w:r>
      <w:r>
        <w:rPr>
          <w:rFonts w:hint="default" w:ascii="Times New Roman" w:hAnsi="Times New Roman" w:eastAsia="仿宋_GB2312" w:cs="Times New Roman"/>
          <w:color w:val="auto"/>
          <w:lang w:eastAsia="zh-CN"/>
        </w:rPr>
        <w:drawing>
          <wp:inline distT="0" distB="0" distL="114300" distR="114300">
            <wp:extent cx="5608955" cy="7479665"/>
            <wp:effectExtent l="0" t="0" r="10795" b="6985"/>
            <wp:docPr id="99" name="图片 99" descr="备案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备案_2"/>
                    <pic:cNvPicPr>
                      <a:picLocks noChangeAspect="1"/>
                    </pic:cNvPicPr>
                  </pic:nvPicPr>
                  <pic:blipFill>
                    <a:blip r:embed="rId24"/>
                    <a:stretch>
                      <a:fillRect/>
                    </a:stretch>
                  </pic:blipFill>
                  <pic:spPr>
                    <a:xfrm>
                      <a:off x="0" y="0"/>
                      <a:ext cx="5608955" cy="7479665"/>
                    </a:xfrm>
                    <a:prstGeom prst="rect">
                      <a:avLst/>
                    </a:prstGeom>
                  </pic:spPr>
                </pic:pic>
              </a:graphicData>
            </a:graphic>
          </wp:inline>
        </w:drawing>
      </w:r>
    </w:p>
    <w:p w14:paraId="19D79A3F">
      <w:pPr>
        <w:pStyle w:val="30"/>
        <w:rPr>
          <w:rFonts w:hint="default" w:ascii="Times New Roman" w:hAnsi="Times New Roman" w:eastAsia="黑体" w:cs="Times New Roman"/>
          <w:bCs/>
          <w:color w:val="auto"/>
        </w:rPr>
      </w:pPr>
    </w:p>
    <w:p w14:paraId="7DA8DE5B">
      <w:pPr>
        <w:pStyle w:val="30"/>
        <w:rPr>
          <w:rFonts w:hint="eastAsia" w:ascii="Times New Roman" w:hAnsi="Times New Roman" w:eastAsia="黑体" w:cs="Times New Roman"/>
          <w:bCs/>
          <w:color w:val="auto"/>
          <w:lang w:eastAsia="zh-CN"/>
        </w:rPr>
      </w:pPr>
      <w:r>
        <w:rPr>
          <w:rFonts w:hint="eastAsia" w:ascii="Times New Roman" w:hAnsi="Times New Roman" w:eastAsia="黑体" w:cs="Times New Roman"/>
          <w:bCs/>
          <w:color w:val="auto"/>
          <w:lang w:eastAsia="zh-CN"/>
        </w:rPr>
        <w:drawing>
          <wp:inline distT="0" distB="0" distL="114300" distR="114300">
            <wp:extent cx="5588635" cy="8004810"/>
            <wp:effectExtent l="0" t="0" r="12065" b="15240"/>
            <wp:docPr id="4" name="图片 4" descr="扫描全能王 1-27-26 15.4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扫描全能王 1-27-26 15.40_1"/>
                    <pic:cNvPicPr>
                      <a:picLocks noChangeAspect="1"/>
                    </pic:cNvPicPr>
                  </pic:nvPicPr>
                  <pic:blipFill>
                    <a:blip r:embed="rId25"/>
                    <a:stretch>
                      <a:fillRect/>
                    </a:stretch>
                  </pic:blipFill>
                  <pic:spPr>
                    <a:xfrm>
                      <a:off x="0" y="0"/>
                      <a:ext cx="5588635" cy="8004810"/>
                    </a:xfrm>
                    <a:prstGeom prst="rect">
                      <a:avLst/>
                    </a:prstGeom>
                  </pic:spPr>
                </pic:pic>
              </a:graphicData>
            </a:graphic>
          </wp:inline>
        </w:drawing>
      </w:r>
    </w:p>
    <w:p w14:paraId="2DEB4C2C">
      <w:pPr>
        <w:pStyle w:val="30"/>
        <w:rPr>
          <w:rFonts w:hint="default" w:ascii="Times New Roman" w:hAnsi="Times New Roman" w:eastAsia="黑体" w:cs="Times New Roman"/>
          <w:bCs/>
          <w:color w:val="auto"/>
        </w:rPr>
      </w:pPr>
    </w:p>
    <w:p w14:paraId="440629EA">
      <w:pPr>
        <w:pStyle w:val="30"/>
        <w:rPr>
          <w:rFonts w:hint="default" w:ascii="Times New Roman" w:hAnsi="Times New Roman" w:eastAsia="黑体" w:cs="Times New Roman"/>
          <w:bCs/>
          <w:color w:val="auto"/>
        </w:rPr>
      </w:pPr>
    </w:p>
    <w:p w14:paraId="488DEE0C">
      <w:pPr>
        <w:pStyle w:val="30"/>
        <w:rPr>
          <w:rFonts w:hint="default" w:ascii="Times New Roman" w:hAnsi="Times New Roman" w:eastAsia="黑体" w:cs="Times New Roman"/>
          <w:bCs/>
          <w:color w:val="auto"/>
        </w:rPr>
      </w:pPr>
    </w:p>
    <w:p w14:paraId="45E25F03">
      <w:pPr>
        <w:pStyle w:val="30"/>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bCs/>
          <w:color w:val="auto"/>
          <w:highlight w:val="none"/>
        </w:rPr>
        <w:t>附件</w:t>
      </w:r>
      <w:r>
        <w:rPr>
          <w:rFonts w:hint="eastAsia" w:ascii="Times New Roman" w:eastAsia="黑体" w:cs="Times New Roman"/>
          <w:bCs/>
          <w:color w:val="auto"/>
          <w:highlight w:val="none"/>
          <w:lang w:val="en-US" w:eastAsia="zh-CN"/>
        </w:rPr>
        <w:t>8</w:t>
      </w:r>
      <w:r>
        <w:rPr>
          <w:rFonts w:hint="default" w:ascii="Times New Roman" w:hAnsi="Times New Roman" w:eastAsia="黑体" w:cs="Times New Roman"/>
          <w:bCs/>
          <w:color w:val="auto"/>
          <w:highlight w:val="none"/>
        </w:rPr>
        <w:t>：</w:t>
      </w:r>
      <w:r>
        <w:rPr>
          <w:rFonts w:hint="default" w:ascii="Times New Roman" w:hAnsi="Times New Roman" w:eastAsia="黑体" w:cs="Times New Roman"/>
          <w:bCs/>
          <w:color w:val="auto"/>
          <w:highlight w:val="none"/>
          <w:lang w:eastAsia="zh-CN"/>
        </w:rPr>
        <w:t>土地</w:t>
      </w:r>
      <w:r>
        <w:rPr>
          <w:rFonts w:hint="default" w:ascii="Times New Roman" w:hAnsi="Times New Roman" w:eastAsia="黑体" w:cs="Times New Roman"/>
          <w:bCs/>
          <w:color w:val="auto"/>
          <w:highlight w:val="none"/>
          <w:lang w:val="en-US" w:eastAsia="zh-CN"/>
        </w:rPr>
        <w:t>证明</w:t>
      </w:r>
    </w:p>
    <w:p w14:paraId="5A86FEAC">
      <w:pPr>
        <w:pStyle w:val="30"/>
        <w:rPr>
          <w:rFonts w:hint="default" w:ascii="Times New Roman" w:hAnsi="Times New Roman" w:cs="Times New Roman"/>
          <w:color w:val="auto"/>
        </w:rPr>
      </w:pPr>
    </w:p>
    <w:p w14:paraId="3AB604D4">
      <w:pPr>
        <w:pStyle w:val="30"/>
        <w:rPr>
          <w:rFonts w:hint="eastAsia" w:ascii="Times New Roman" w:hAnsi="Times New Roman" w:eastAsia="仿宋_GB2312" w:cs="Times New Roman"/>
          <w:color w:val="auto"/>
          <w:lang w:eastAsia="zh-CN"/>
        </w:rPr>
      </w:pPr>
      <w:r>
        <w:rPr>
          <w:rFonts w:hint="eastAsia" w:ascii="Times New Roman" w:hAnsi="Times New Roman" w:eastAsia="仿宋_GB2312" w:cs="Times New Roman"/>
          <w:color w:val="auto"/>
          <w:lang w:eastAsia="zh-CN"/>
        </w:rPr>
        <w:drawing>
          <wp:inline distT="0" distB="0" distL="114300" distR="114300">
            <wp:extent cx="5608955" cy="7931785"/>
            <wp:effectExtent l="0" t="0" r="10795" b="12065"/>
            <wp:docPr id="7" name="图片 7" descr="未标题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未标题5_1"/>
                    <pic:cNvPicPr>
                      <a:picLocks noChangeAspect="1"/>
                    </pic:cNvPicPr>
                  </pic:nvPicPr>
                  <pic:blipFill>
                    <a:blip r:embed="rId26"/>
                    <a:stretch>
                      <a:fillRect/>
                    </a:stretch>
                  </pic:blipFill>
                  <pic:spPr>
                    <a:xfrm>
                      <a:off x="0" y="0"/>
                      <a:ext cx="5608955" cy="7931785"/>
                    </a:xfrm>
                    <a:prstGeom prst="rect">
                      <a:avLst/>
                    </a:prstGeom>
                  </pic:spPr>
                </pic:pic>
              </a:graphicData>
            </a:graphic>
          </wp:inline>
        </w:drawing>
      </w:r>
      <w:r>
        <w:rPr>
          <w:rFonts w:hint="eastAsia" w:ascii="Times New Roman" w:hAnsi="Times New Roman" w:eastAsia="仿宋_GB2312" w:cs="Times New Roman"/>
          <w:color w:val="auto"/>
          <w:lang w:eastAsia="zh-CN"/>
        </w:rPr>
        <w:drawing>
          <wp:inline distT="0" distB="0" distL="114300" distR="114300">
            <wp:extent cx="5608955" cy="7931785"/>
            <wp:effectExtent l="0" t="0" r="10795" b="12065"/>
            <wp:docPr id="8" name="图片 8" descr="未标题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未标题5_2"/>
                    <pic:cNvPicPr>
                      <a:picLocks noChangeAspect="1"/>
                    </pic:cNvPicPr>
                  </pic:nvPicPr>
                  <pic:blipFill>
                    <a:blip r:embed="rId27"/>
                    <a:stretch>
                      <a:fillRect/>
                    </a:stretch>
                  </pic:blipFill>
                  <pic:spPr>
                    <a:xfrm>
                      <a:off x="0" y="0"/>
                      <a:ext cx="5608955" cy="7931785"/>
                    </a:xfrm>
                    <a:prstGeom prst="rect">
                      <a:avLst/>
                    </a:prstGeom>
                  </pic:spPr>
                </pic:pic>
              </a:graphicData>
            </a:graphic>
          </wp:inline>
        </w:drawing>
      </w:r>
      <w:r>
        <w:rPr>
          <w:rFonts w:hint="eastAsia" w:ascii="Times New Roman" w:hAnsi="Times New Roman" w:eastAsia="仿宋_GB2312" w:cs="Times New Roman"/>
          <w:color w:val="auto"/>
          <w:lang w:eastAsia="zh-CN"/>
        </w:rPr>
        <w:drawing>
          <wp:inline distT="0" distB="0" distL="114300" distR="114300">
            <wp:extent cx="5608955" cy="7931785"/>
            <wp:effectExtent l="0" t="0" r="10795" b="12065"/>
            <wp:docPr id="9" name="图片 9" descr="未标题5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未标题5_3"/>
                    <pic:cNvPicPr>
                      <a:picLocks noChangeAspect="1"/>
                    </pic:cNvPicPr>
                  </pic:nvPicPr>
                  <pic:blipFill>
                    <a:blip r:embed="rId28"/>
                    <a:stretch>
                      <a:fillRect/>
                    </a:stretch>
                  </pic:blipFill>
                  <pic:spPr>
                    <a:xfrm>
                      <a:off x="0" y="0"/>
                      <a:ext cx="5608955" cy="7931785"/>
                    </a:xfrm>
                    <a:prstGeom prst="rect">
                      <a:avLst/>
                    </a:prstGeom>
                  </pic:spPr>
                </pic:pic>
              </a:graphicData>
            </a:graphic>
          </wp:inline>
        </w:drawing>
      </w:r>
    </w:p>
    <w:p w14:paraId="58C0808A">
      <w:pPr>
        <w:pStyle w:val="30"/>
        <w:rPr>
          <w:rFonts w:hint="default" w:ascii="Times New Roman" w:hAnsi="Times New Roman" w:cs="Times New Roman"/>
          <w:color w:val="auto"/>
        </w:rPr>
      </w:pPr>
    </w:p>
    <w:p w14:paraId="59FC1FC0">
      <w:pPr>
        <w:pStyle w:val="30"/>
        <w:rPr>
          <w:rFonts w:hint="default" w:ascii="Times New Roman" w:hAnsi="Times New Roman" w:cs="Times New Roman"/>
          <w:color w:val="auto"/>
        </w:rPr>
      </w:pPr>
    </w:p>
    <w:p w14:paraId="6190B34D">
      <w:pPr>
        <w:pStyle w:val="30"/>
        <w:rPr>
          <w:rFonts w:hint="default" w:ascii="Times New Roman" w:hAnsi="Times New Roman" w:cs="Times New Roman"/>
          <w:color w:val="auto"/>
        </w:rPr>
      </w:pPr>
    </w:p>
    <w:p w14:paraId="0BCFF157">
      <w:pPr>
        <w:rPr>
          <w:rFonts w:hint="default" w:ascii="Times New Roman" w:hAnsi="Times New Roman" w:eastAsia="黑体" w:cs="Times New Roman"/>
          <w:bCs/>
          <w:color w:val="auto"/>
          <w:kern w:val="0"/>
          <w:sz w:val="24"/>
          <w:highlight w:val="none"/>
        </w:rPr>
      </w:pPr>
      <w:r>
        <w:rPr>
          <w:rFonts w:hint="default" w:ascii="Times New Roman" w:hAnsi="Times New Roman" w:eastAsia="黑体" w:cs="Times New Roman"/>
          <w:bCs/>
          <w:color w:val="auto"/>
          <w:kern w:val="0"/>
          <w:sz w:val="24"/>
          <w:highlight w:val="none"/>
        </w:rPr>
        <w:t>附件</w:t>
      </w:r>
      <w:r>
        <w:rPr>
          <w:rFonts w:hint="eastAsia" w:eastAsia="黑体" w:cs="Times New Roman"/>
          <w:bCs/>
          <w:color w:val="auto"/>
          <w:kern w:val="0"/>
          <w:sz w:val="24"/>
          <w:highlight w:val="none"/>
          <w:lang w:val="en-US" w:eastAsia="zh-CN"/>
        </w:rPr>
        <w:t>9</w:t>
      </w:r>
      <w:r>
        <w:rPr>
          <w:rFonts w:hint="default" w:ascii="Times New Roman" w:hAnsi="Times New Roman" w:eastAsia="黑体" w:cs="Times New Roman"/>
          <w:bCs/>
          <w:color w:val="auto"/>
          <w:kern w:val="0"/>
          <w:sz w:val="24"/>
          <w:highlight w:val="none"/>
        </w:rPr>
        <w:t>：环评工程师踏勘现场照片</w:t>
      </w:r>
    </w:p>
    <w:p w14:paraId="6EF58BB8">
      <w:pPr>
        <w:jc w:val="left"/>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drawing>
          <wp:inline distT="0" distB="0" distL="114300" distR="114300">
            <wp:extent cx="5615305" cy="4210685"/>
            <wp:effectExtent l="0" t="0" r="4445" b="18415"/>
            <wp:docPr id="64" name="图片 64" descr="27ba1400207afaf1b3d5c321ac7a5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7ba1400207afaf1b3d5c321ac7a51b"/>
                    <pic:cNvPicPr>
                      <a:picLocks noChangeAspect="1"/>
                    </pic:cNvPicPr>
                  </pic:nvPicPr>
                  <pic:blipFill>
                    <a:blip r:embed="rId29"/>
                    <a:stretch>
                      <a:fillRect/>
                    </a:stretch>
                  </pic:blipFill>
                  <pic:spPr>
                    <a:xfrm>
                      <a:off x="0" y="0"/>
                      <a:ext cx="5615305" cy="4210685"/>
                    </a:xfrm>
                    <a:prstGeom prst="rect">
                      <a:avLst/>
                    </a:prstGeom>
                  </pic:spPr>
                </pic:pic>
              </a:graphicData>
            </a:graphic>
          </wp:inline>
        </w:drawing>
      </w:r>
    </w:p>
    <w:p w14:paraId="4A984AB2">
      <w:pPr>
        <w:rPr>
          <w:rFonts w:hint="default" w:ascii="Times New Roman" w:hAnsi="Times New Roman" w:eastAsia="黑体" w:cs="Times New Roman"/>
          <w:bCs/>
          <w:color w:val="auto"/>
          <w:kern w:val="0"/>
          <w:sz w:val="24"/>
          <w:highlight w:val="none"/>
        </w:rPr>
      </w:pPr>
    </w:p>
    <w:p w14:paraId="0D90C8C5">
      <w:pPr>
        <w:rPr>
          <w:rFonts w:hint="default" w:ascii="Times New Roman" w:hAnsi="Times New Roman" w:eastAsia="黑体" w:cs="Times New Roman"/>
          <w:bCs/>
          <w:color w:val="auto"/>
          <w:kern w:val="0"/>
          <w:sz w:val="24"/>
          <w:highlight w:val="none"/>
        </w:rPr>
      </w:pPr>
    </w:p>
    <w:p w14:paraId="7CB2FFC3">
      <w:pPr>
        <w:rPr>
          <w:rFonts w:hint="default" w:ascii="Times New Roman" w:hAnsi="Times New Roman" w:eastAsia="黑体" w:cs="Times New Roman"/>
          <w:bCs/>
          <w:color w:val="auto"/>
          <w:kern w:val="0"/>
          <w:sz w:val="24"/>
          <w:highlight w:val="none"/>
        </w:rPr>
      </w:pPr>
    </w:p>
    <w:p w14:paraId="41E3917F">
      <w:pPr>
        <w:rPr>
          <w:rFonts w:hint="default" w:ascii="Times New Roman" w:hAnsi="Times New Roman" w:eastAsia="黑体" w:cs="Times New Roman"/>
          <w:bCs/>
          <w:color w:val="auto"/>
          <w:kern w:val="0"/>
          <w:sz w:val="24"/>
          <w:highlight w:val="none"/>
        </w:rPr>
      </w:pPr>
    </w:p>
    <w:p w14:paraId="7A961032">
      <w:pPr>
        <w:rPr>
          <w:rFonts w:hint="default" w:ascii="Times New Roman" w:hAnsi="Times New Roman" w:eastAsia="黑体" w:cs="Times New Roman"/>
          <w:bCs/>
          <w:color w:val="auto"/>
          <w:kern w:val="0"/>
          <w:sz w:val="24"/>
          <w:highlight w:val="none"/>
        </w:rPr>
      </w:pPr>
    </w:p>
    <w:p w14:paraId="2F1F17A9">
      <w:pPr>
        <w:rPr>
          <w:rFonts w:hint="default" w:ascii="Times New Roman" w:hAnsi="Times New Roman" w:eastAsia="黑体" w:cs="Times New Roman"/>
          <w:bCs/>
          <w:color w:val="auto"/>
          <w:kern w:val="0"/>
          <w:sz w:val="24"/>
          <w:highlight w:val="none"/>
        </w:rPr>
      </w:pPr>
    </w:p>
    <w:p w14:paraId="60CEBB69">
      <w:pPr>
        <w:rPr>
          <w:rFonts w:hint="default" w:ascii="Times New Roman" w:hAnsi="Times New Roman" w:eastAsia="黑体" w:cs="Times New Roman"/>
          <w:bCs/>
          <w:color w:val="auto"/>
          <w:kern w:val="0"/>
          <w:sz w:val="24"/>
          <w:highlight w:val="none"/>
        </w:rPr>
      </w:pPr>
    </w:p>
    <w:p w14:paraId="0A148F2A">
      <w:pPr>
        <w:rPr>
          <w:rFonts w:hint="default" w:ascii="Times New Roman" w:hAnsi="Times New Roman" w:eastAsia="黑体" w:cs="Times New Roman"/>
          <w:bCs/>
          <w:color w:val="auto"/>
          <w:kern w:val="0"/>
          <w:sz w:val="24"/>
          <w:highlight w:val="none"/>
        </w:rPr>
      </w:pPr>
    </w:p>
    <w:p w14:paraId="6FE5EFAC">
      <w:pPr>
        <w:rPr>
          <w:rFonts w:hint="default" w:ascii="Times New Roman" w:hAnsi="Times New Roman" w:eastAsia="黑体" w:cs="Times New Roman"/>
          <w:bCs/>
          <w:color w:val="auto"/>
          <w:kern w:val="0"/>
          <w:sz w:val="24"/>
          <w:highlight w:val="none"/>
        </w:rPr>
      </w:pPr>
    </w:p>
    <w:p w14:paraId="74795B8E">
      <w:pPr>
        <w:rPr>
          <w:rFonts w:hint="default" w:ascii="Times New Roman" w:hAnsi="Times New Roman" w:eastAsia="黑体" w:cs="Times New Roman"/>
          <w:bCs/>
          <w:color w:val="auto"/>
          <w:kern w:val="0"/>
          <w:sz w:val="24"/>
          <w:highlight w:val="none"/>
        </w:rPr>
      </w:pPr>
    </w:p>
    <w:p w14:paraId="4BA23AD1">
      <w:pPr>
        <w:rPr>
          <w:rFonts w:hint="default" w:ascii="Times New Roman" w:hAnsi="Times New Roman" w:eastAsia="黑体" w:cs="Times New Roman"/>
          <w:bCs/>
          <w:color w:val="auto"/>
          <w:kern w:val="0"/>
          <w:sz w:val="24"/>
          <w:highlight w:val="none"/>
        </w:rPr>
      </w:pPr>
    </w:p>
    <w:p w14:paraId="0731F3E9">
      <w:pPr>
        <w:rPr>
          <w:rFonts w:hint="default" w:ascii="Times New Roman" w:hAnsi="Times New Roman" w:eastAsia="黑体" w:cs="Times New Roman"/>
          <w:bCs/>
          <w:color w:val="auto"/>
          <w:kern w:val="0"/>
          <w:sz w:val="24"/>
          <w:highlight w:val="none"/>
        </w:rPr>
      </w:pPr>
    </w:p>
    <w:p w14:paraId="3769CB01">
      <w:pPr>
        <w:rPr>
          <w:rFonts w:hint="default" w:ascii="Times New Roman" w:hAnsi="Times New Roman" w:eastAsia="黑体" w:cs="Times New Roman"/>
          <w:bCs/>
          <w:color w:val="auto"/>
          <w:kern w:val="0"/>
          <w:sz w:val="24"/>
          <w:highlight w:val="none"/>
        </w:rPr>
      </w:pPr>
    </w:p>
    <w:p w14:paraId="64FACE95">
      <w:pPr>
        <w:rPr>
          <w:rFonts w:hint="default" w:ascii="Times New Roman" w:hAnsi="Times New Roman" w:eastAsia="黑体" w:cs="Times New Roman"/>
          <w:bCs/>
          <w:color w:val="auto"/>
          <w:kern w:val="0"/>
          <w:sz w:val="24"/>
          <w:highlight w:val="none"/>
        </w:rPr>
      </w:pPr>
    </w:p>
    <w:p w14:paraId="47F25C82">
      <w:pPr>
        <w:rPr>
          <w:rFonts w:hint="default" w:ascii="Times New Roman" w:hAnsi="Times New Roman" w:eastAsia="黑体" w:cs="Times New Roman"/>
          <w:bCs/>
          <w:color w:val="auto"/>
          <w:kern w:val="0"/>
          <w:sz w:val="24"/>
          <w:highlight w:val="none"/>
        </w:rPr>
      </w:pPr>
    </w:p>
    <w:p w14:paraId="59D1D807">
      <w:pPr>
        <w:rPr>
          <w:rFonts w:hint="default" w:ascii="Times New Roman" w:hAnsi="Times New Roman" w:eastAsia="黑体" w:cs="Times New Roman"/>
          <w:bCs/>
          <w:color w:val="auto"/>
          <w:kern w:val="0"/>
          <w:sz w:val="24"/>
          <w:highlight w:val="none"/>
        </w:rPr>
      </w:pPr>
    </w:p>
    <w:p w14:paraId="0F28CC69">
      <w:pPr>
        <w:rPr>
          <w:rFonts w:hint="default" w:ascii="Times New Roman" w:hAnsi="Times New Roman" w:eastAsia="黑体" w:cs="Times New Roman"/>
          <w:bCs/>
          <w:color w:val="auto"/>
          <w:kern w:val="0"/>
          <w:sz w:val="24"/>
          <w:highlight w:val="none"/>
        </w:rPr>
      </w:pPr>
    </w:p>
    <w:p w14:paraId="6B219ECD">
      <w:pPr>
        <w:rPr>
          <w:rFonts w:hint="default" w:ascii="Times New Roman" w:hAnsi="Times New Roman" w:eastAsia="黑体" w:cs="Times New Roman"/>
          <w:bCs/>
          <w:color w:val="auto"/>
          <w:kern w:val="0"/>
          <w:sz w:val="24"/>
          <w:highlight w:val="none"/>
        </w:rPr>
      </w:pPr>
    </w:p>
    <w:p w14:paraId="095ABE89">
      <w:pPr>
        <w:rPr>
          <w:rFonts w:hint="default" w:ascii="Times New Roman" w:hAnsi="Times New Roman" w:eastAsia="黑体" w:cs="Times New Roman"/>
          <w:bCs/>
          <w:color w:val="auto"/>
          <w:kern w:val="0"/>
          <w:sz w:val="24"/>
          <w:highlight w:val="none"/>
        </w:rPr>
      </w:pPr>
    </w:p>
    <w:p w14:paraId="30EF3EBE">
      <w:pPr>
        <w:rPr>
          <w:rFonts w:hint="default" w:ascii="Times New Roman" w:hAnsi="Times New Roman" w:eastAsia="黑体" w:cs="Times New Roman"/>
          <w:bCs/>
          <w:color w:val="auto"/>
          <w:kern w:val="0"/>
          <w:sz w:val="24"/>
          <w:highlight w:val="none"/>
        </w:rPr>
      </w:pPr>
    </w:p>
    <w:p w14:paraId="1946554B">
      <w:pPr>
        <w:rPr>
          <w:rFonts w:hint="default" w:ascii="Times New Roman" w:hAnsi="Times New Roman" w:eastAsia="黑体" w:cs="Times New Roman"/>
          <w:bCs/>
          <w:color w:val="auto"/>
          <w:kern w:val="0"/>
          <w:sz w:val="24"/>
          <w:highlight w:val="none"/>
        </w:rPr>
      </w:pPr>
    </w:p>
    <w:p w14:paraId="7D9C1AEA">
      <w:pPr>
        <w:rPr>
          <w:rFonts w:hint="eastAsia" w:ascii="Times New Roman" w:hAnsi="Times New Roman" w:eastAsia="黑体" w:cs="Times New Roman"/>
          <w:bCs/>
          <w:color w:val="auto"/>
          <w:kern w:val="0"/>
          <w:sz w:val="24"/>
          <w:highlight w:val="none"/>
          <w:lang w:val="en-US" w:eastAsia="zh-CN"/>
        </w:rPr>
      </w:pPr>
      <w:r>
        <w:rPr>
          <w:rFonts w:hint="default" w:ascii="Times New Roman" w:hAnsi="Times New Roman" w:eastAsia="黑体" w:cs="Times New Roman"/>
          <w:bCs/>
          <w:color w:val="auto"/>
          <w:kern w:val="0"/>
          <w:sz w:val="24"/>
          <w:highlight w:val="none"/>
        </w:rPr>
        <w:t>附件</w:t>
      </w:r>
      <w:r>
        <w:rPr>
          <w:rFonts w:hint="eastAsia" w:eastAsia="黑体" w:cs="Times New Roman"/>
          <w:bCs/>
          <w:color w:val="auto"/>
          <w:kern w:val="0"/>
          <w:sz w:val="24"/>
          <w:highlight w:val="none"/>
          <w:lang w:val="en-US" w:eastAsia="zh-CN"/>
        </w:rPr>
        <w:t>10</w:t>
      </w:r>
      <w:r>
        <w:rPr>
          <w:rFonts w:hint="default" w:ascii="Times New Roman" w:hAnsi="Times New Roman" w:eastAsia="黑体" w:cs="Times New Roman"/>
          <w:bCs/>
          <w:color w:val="auto"/>
          <w:kern w:val="0"/>
          <w:sz w:val="24"/>
          <w:highlight w:val="none"/>
        </w:rPr>
        <w:t>：</w:t>
      </w:r>
      <w:r>
        <w:rPr>
          <w:rFonts w:hint="eastAsia" w:ascii="Times New Roman" w:hAnsi="Times New Roman" w:eastAsia="黑体" w:cs="Times New Roman"/>
          <w:bCs/>
          <w:color w:val="auto"/>
          <w:kern w:val="0"/>
          <w:sz w:val="24"/>
          <w:highlight w:val="none"/>
          <w:lang w:val="en-US" w:eastAsia="zh-CN"/>
        </w:rPr>
        <w:t>例行检测报告</w:t>
      </w:r>
    </w:p>
    <w:p w14:paraId="47517B5E">
      <w:pPr>
        <w:pStyle w:val="23"/>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5608955" cy="7936230"/>
            <wp:effectExtent l="0" t="0" r="10795" b="7620"/>
            <wp:docPr id="27" name="图片 27" descr="锦明陶瓷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锦明陶瓷_1"/>
                    <pic:cNvPicPr>
                      <a:picLocks noChangeAspect="1"/>
                    </pic:cNvPicPr>
                  </pic:nvPicPr>
                  <pic:blipFill>
                    <a:blip r:embed="rId30"/>
                    <a:stretch>
                      <a:fillRect/>
                    </a:stretch>
                  </pic:blipFill>
                  <pic:spPr>
                    <a:xfrm>
                      <a:off x="0" y="0"/>
                      <a:ext cx="5608955" cy="7936230"/>
                    </a:xfrm>
                    <a:prstGeom prst="rect">
                      <a:avLst/>
                    </a:prstGeom>
                  </pic:spPr>
                </pic:pic>
              </a:graphicData>
            </a:graphic>
          </wp:inline>
        </w:drawing>
      </w:r>
      <w:r>
        <w:rPr>
          <w:rFonts w:hint="default"/>
          <w:color w:val="auto"/>
          <w:lang w:val="en-US" w:eastAsia="zh-CN"/>
        </w:rPr>
        <w:drawing>
          <wp:inline distT="0" distB="0" distL="114300" distR="114300">
            <wp:extent cx="5608955" cy="7936230"/>
            <wp:effectExtent l="0" t="0" r="10795" b="7620"/>
            <wp:docPr id="25" name="图片 25" descr="锦明陶瓷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锦明陶瓷_2"/>
                    <pic:cNvPicPr>
                      <a:picLocks noChangeAspect="1"/>
                    </pic:cNvPicPr>
                  </pic:nvPicPr>
                  <pic:blipFill>
                    <a:blip r:embed="rId31"/>
                    <a:stretch>
                      <a:fillRect/>
                    </a:stretch>
                  </pic:blipFill>
                  <pic:spPr>
                    <a:xfrm>
                      <a:off x="0" y="0"/>
                      <a:ext cx="5608955" cy="7936230"/>
                    </a:xfrm>
                    <a:prstGeom prst="rect">
                      <a:avLst/>
                    </a:prstGeom>
                  </pic:spPr>
                </pic:pic>
              </a:graphicData>
            </a:graphic>
          </wp:inline>
        </w:drawing>
      </w:r>
      <w:r>
        <w:rPr>
          <w:rFonts w:hint="default"/>
          <w:color w:val="auto"/>
          <w:lang w:val="en-US" w:eastAsia="zh-CN"/>
        </w:rPr>
        <w:drawing>
          <wp:inline distT="0" distB="0" distL="114300" distR="114300">
            <wp:extent cx="5608955" cy="7936230"/>
            <wp:effectExtent l="0" t="0" r="10795" b="7620"/>
            <wp:docPr id="24" name="图片 24" descr="锦明陶瓷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锦明陶瓷_3"/>
                    <pic:cNvPicPr>
                      <a:picLocks noChangeAspect="1"/>
                    </pic:cNvPicPr>
                  </pic:nvPicPr>
                  <pic:blipFill>
                    <a:blip r:embed="rId32"/>
                    <a:stretch>
                      <a:fillRect/>
                    </a:stretch>
                  </pic:blipFill>
                  <pic:spPr>
                    <a:xfrm>
                      <a:off x="0" y="0"/>
                      <a:ext cx="5608955" cy="7936230"/>
                    </a:xfrm>
                    <a:prstGeom prst="rect">
                      <a:avLst/>
                    </a:prstGeom>
                  </pic:spPr>
                </pic:pic>
              </a:graphicData>
            </a:graphic>
          </wp:inline>
        </w:drawing>
      </w:r>
      <w:r>
        <w:rPr>
          <w:rFonts w:hint="default"/>
          <w:color w:val="auto"/>
          <w:lang w:val="en-US" w:eastAsia="zh-CN"/>
        </w:rPr>
        <w:drawing>
          <wp:inline distT="0" distB="0" distL="114300" distR="114300">
            <wp:extent cx="5608955" cy="7936230"/>
            <wp:effectExtent l="0" t="0" r="10795" b="7620"/>
            <wp:docPr id="23" name="图片 23" descr="锦明陶瓷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锦明陶瓷_4"/>
                    <pic:cNvPicPr>
                      <a:picLocks noChangeAspect="1"/>
                    </pic:cNvPicPr>
                  </pic:nvPicPr>
                  <pic:blipFill>
                    <a:blip r:embed="rId33"/>
                    <a:stretch>
                      <a:fillRect/>
                    </a:stretch>
                  </pic:blipFill>
                  <pic:spPr>
                    <a:xfrm>
                      <a:off x="0" y="0"/>
                      <a:ext cx="5608955" cy="7936230"/>
                    </a:xfrm>
                    <a:prstGeom prst="rect">
                      <a:avLst/>
                    </a:prstGeom>
                  </pic:spPr>
                </pic:pic>
              </a:graphicData>
            </a:graphic>
          </wp:inline>
        </w:drawing>
      </w:r>
      <w:r>
        <w:rPr>
          <w:rFonts w:hint="default"/>
          <w:color w:val="auto"/>
          <w:lang w:val="en-US" w:eastAsia="zh-CN"/>
        </w:rPr>
        <w:drawing>
          <wp:inline distT="0" distB="0" distL="114300" distR="114300">
            <wp:extent cx="5608955" cy="7936230"/>
            <wp:effectExtent l="0" t="0" r="10795" b="7620"/>
            <wp:docPr id="22" name="图片 22" descr="锦明陶瓷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锦明陶瓷_5"/>
                    <pic:cNvPicPr>
                      <a:picLocks noChangeAspect="1"/>
                    </pic:cNvPicPr>
                  </pic:nvPicPr>
                  <pic:blipFill>
                    <a:blip r:embed="rId34"/>
                    <a:stretch>
                      <a:fillRect/>
                    </a:stretch>
                  </pic:blipFill>
                  <pic:spPr>
                    <a:xfrm>
                      <a:off x="0" y="0"/>
                      <a:ext cx="5608955" cy="7936230"/>
                    </a:xfrm>
                    <a:prstGeom prst="rect">
                      <a:avLst/>
                    </a:prstGeom>
                  </pic:spPr>
                </pic:pic>
              </a:graphicData>
            </a:graphic>
          </wp:inline>
        </w:drawing>
      </w:r>
      <w:r>
        <w:rPr>
          <w:rFonts w:hint="default"/>
          <w:color w:val="auto"/>
          <w:lang w:val="en-US" w:eastAsia="zh-CN"/>
        </w:rPr>
        <w:drawing>
          <wp:inline distT="0" distB="0" distL="114300" distR="114300">
            <wp:extent cx="5608955" cy="7936230"/>
            <wp:effectExtent l="0" t="0" r="10795" b="7620"/>
            <wp:docPr id="21" name="图片 21" descr="锦明陶瓷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锦明陶瓷_6"/>
                    <pic:cNvPicPr>
                      <a:picLocks noChangeAspect="1"/>
                    </pic:cNvPicPr>
                  </pic:nvPicPr>
                  <pic:blipFill>
                    <a:blip r:embed="rId35"/>
                    <a:stretch>
                      <a:fillRect/>
                    </a:stretch>
                  </pic:blipFill>
                  <pic:spPr>
                    <a:xfrm>
                      <a:off x="0" y="0"/>
                      <a:ext cx="5608955" cy="7936230"/>
                    </a:xfrm>
                    <a:prstGeom prst="rect">
                      <a:avLst/>
                    </a:prstGeom>
                  </pic:spPr>
                </pic:pic>
              </a:graphicData>
            </a:graphic>
          </wp:inline>
        </w:drawing>
      </w:r>
      <w:r>
        <w:rPr>
          <w:rFonts w:hint="default"/>
          <w:color w:val="auto"/>
          <w:lang w:val="en-US" w:eastAsia="zh-CN"/>
        </w:rPr>
        <w:drawing>
          <wp:inline distT="0" distB="0" distL="114300" distR="114300">
            <wp:extent cx="5608955" cy="7936230"/>
            <wp:effectExtent l="0" t="0" r="10795" b="7620"/>
            <wp:docPr id="20" name="图片 20" descr="锦明陶瓷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锦明陶瓷_7"/>
                    <pic:cNvPicPr>
                      <a:picLocks noChangeAspect="1"/>
                    </pic:cNvPicPr>
                  </pic:nvPicPr>
                  <pic:blipFill>
                    <a:blip r:embed="rId36"/>
                    <a:stretch>
                      <a:fillRect/>
                    </a:stretch>
                  </pic:blipFill>
                  <pic:spPr>
                    <a:xfrm>
                      <a:off x="0" y="0"/>
                      <a:ext cx="5608955" cy="7936230"/>
                    </a:xfrm>
                    <a:prstGeom prst="rect">
                      <a:avLst/>
                    </a:prstGeom>
                  </pic:spPr>
                </pic:pic>
              </a:graphicData>
            </a:graphic>
          </wp:inline>
        </w:drawing>
      </w:r>
      <w:r>
        <w:rPr>
          <w:rFonts w:hint="default"/>
          <w:color w:val="auto"/>
          <w:lang w:val="en-US" w:eastAsia="zh-CN"/>
        </w:rPr>
        <w:drawing>
          <wp:inline distT="0" distB="0" distL="114300" distR="114300">
            <wp:extent cx="5608955" cy="7936230"/>
            <wp:effectExtent l="0" t="0" r="10795" b="7620"/>
            <wp:docPr id="19" name="图片 19" descr="锦明陶瓷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锦明陶瓷_8"/>
                    <pic:cNvPicPr>
                      <a:picLocks noChangeAspect="1"/>
                    </pic:cNvPicPr>
                  </pic:nvPicPr>
                  <pic:blipFill>
                    <a:blip r:embed="rId37"/>
                    <a:stretch>
                      <a:fillRect/>
                    </a:stretch>
                  </pic:blipFill>
                  <pic:spPr>
                    <a:xfrm>
                      <a:off x="0" y="0"/>
                      <a:ext cx="5608955" cy="7936230"/>
                    </a:xfrm>
                    <a:prstGeom prst="rect">
                      <a:avLst/>
                    </a:prstGeom>
                  </pic:spPr>
                </pic:pic>
              </a:graphicData>
            </a:graphic>
          </wp:inline>
        </w:drawing>
      </w:r>
      <w:r>
        <w:rPr>
          <w:rFonts w:hint="default"/>
          <w:color w:val="auto"/>
          <w:lang w:val="en-US" w:eastAsia="zh-CN"/>
        </w:rPr>
        <w:drawing>
          <wp:inline distT="0" distB="0" distL="114300" distR="114300">
            <wp:extent cx="5608955" cy="7936230"/>
            <wp:effectExtent l="0" t="0" r="10795" b="7620"/>
            <wp:docPr id="16" name="图片 16" descr="锦明陶瓷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锦明陶瓷_9"/>
                    <pic:cNvPicPr>
                      <a:picLocks noChangeAspect="1"/>
                    </pic:cNvPicPr>
                  </pic:nvPicPr>
                  <pic:blipFill>
                    <a:blip r:embed="rId38"/>
                    <a:stretch>
                      <a:fillRect/>
                    </a:stretch>
                  </pic:blipFill>
                  <pic:spPr>
                    <a:xfrm>
                      <a:off x="0" y="0"/>
                      <a:ext cx="5608955" cy="7936230"/>
                    </a:xfrm>
                    <a:prstGeom prst="rect">
                      <a:avLst/>
                    </a:prstGeom>
                  </pic:spPr>
                </pic:pic>
              </a:graphicData>
            </a:graphic>
          </wp:inline>
        </w:drawing>
      </w:r>
      <w:r>
        <w:rPr>
          <w:rFonts w:hint="default"/>
          <w:color w:val="auto"/>
          <w:lang w:val="en-US" w:eastAsia="zh-CN"/>
        </w:rPr>
        <w:drawing>
          <wp:inline distT="0" distB="0" distL="114300" distR="114300">
            <wp:extent cx="5608955" cy="7936230"/>
            <wp:effectExtent l="0" t="0" r="10795" b="7620"/>
            <wp:docPr id="14" name="图片 14" descr="锦明陶瓷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锦明陶瓷_10"/>
                    <pic:cNvPicPr>
                      <a:picLocks noChangeAspect="1"/>
                    </pic:cNvPicPr>
                  </pic:nvPicPr>
                  <pic:blipFill>
                    <a:blip r:embed="rId39"/>
                    <a:stretch>
                      <a:fillRect/>
                    </a:stretch>
                  </pic:blipFill>
                  <pic:spPr>
                    <a:xfrm>
                      <a:off x="0" y="0"/>
                      <a:ext cx="5608955" cy="7936230"/>
                    </a:xfrm>
                    <a:prstGeom prst="rect">
                      <a:avLst/>
                    </a:prstGeom>
                  </pic:spPr>
                </pic:pic>
              </a:graphicData>
            </a:graphic>
          </wp:inline>
        </w:drawing>
      </w:r>
      <w:r>
        <w:rPr>
          <w:rFonts w:hint="default"/>
          <w:color w:val="auto"/>
          <w:lang w:val="en-US" w:eastAsia="zh-CN"/>
        </w:rPr>
        <w:drawing>
          <wp:inline distT="0" distB="0" distL="114300" distR="114300">
            <wp:extent cx="5608955" cy="7936230"/>
            <wp:effectExtent l="0" t="0" r="10795" b="7620"/>
            <wp:docPr id="13" name="图片 13" descr="锦明陶瓷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锦明陶瓷_11"/>
                    <pic:cNvPicPr>
                      <a:picLocks noChangeAspect="1"/>
                    </pic:cNvPicPr>
                  </pic:nvPicPr>
                  <pic:blipFill>
                    <a:blip r:embed="rId40"/>
                    <a:stretch>
                      <a:fillRect/>
                    </a:stretch>
                  </pic:blipFill>
                  <pic:spPr>
                    <a:xfrm>
                      <a:off x="0" y="0"/>
                      <a:ext cx="5608955" cy="7936230"/>
                    </a:xfrm>
                    <a:prstGeom prst="rect">
                      <a:avLst/>
                    </a:prstGeom>
                  </pic:spPr>
                </pic:pic>
              </a:graphicData>
            </a:graphic>
          </wp:inline>
        </w:drawing>
      </w:r>
      <w:r>
        <w:rPr>
          <w:rFonts w:hint="default"/>
          <w:color w:val="auto"/>
          <w:lang w:val="en-US" w:eastAsia="zh-CN"/>
        </w:rPr>
        <w:drawing>
          <wp:inline distT="0" distB="0" distL="114300" distR="114300">
            <wp:extent cx="5608955" cy="7936230"/>
            <wp:effectExtent l="0" t="0" r="10795" b="7620"/>
            <wp:docPr id="11" name="图片 11" descr="锦明陶瓷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锦明陶瓷_12"/>
                    <pic:cNvPicPr>
                      <a:picLocks noChangeAspect="1"/>
                    </pic:cNvPicPr>
                  </pic:nvPicPr>
                  <pic:blipFill>
                    <a:blip r:embed="rId41"/>
                    <a:stretch>
                      <a:fillRect/>
                    </a:stretch>
                  </pic:blipFill>
                  <pic:spPr>
                    <a:xfrm>
                      <a:off x="0" y="0"/>
                      <a:ext cx="5608955" cy="7936230"/>
                    </a:xfrm>
                    <a:prstGeom prst="rect">
                      <a:avLst/>
                    </a:prstGeom>
                  </pic:spPr>
                </pic:pic>
              </a:graphicData>
            </a:graphic>
          </wp:inline>
        </w:drawing>
      </w:r>
    </w:p>
    <w:p w14:paraId="6F689CF1">
      <w:pPr>
        <w:pStyle w:val="23"/>
        <w:rPr>
          <w:rFonts w:hint="default"/>
          <w:color w:val="auto"/>
          <w:highlight w:val="yellow"/>
          <w:lang w:val="en-US" w:eastAsia="zh-CN"/>
        </w:rPr>
        <w:sectPr>
          <w:footerReference r:id="rId8" w:type="default"/>
          <w:pgSz w:w="11906" w:h="16838"/>
          <w:pgMar w:top="1440" w:right="1531" w:bottom="1440" w:left="1531"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58F1B1C">
      <w:pPr>
        <w:jc w:val="left"/>
        <w:rPr>
          <w:rFonts w:hint="default" w:ascii="Times New Roman" w:hAnsi="Times New Roman" w:cs="Times New Roman"/>
          <w:color w:val="auto"/>
        </w:rPr>
      </w:pPr>
      <w:r>
        <w:rPr>
          <w:rFonts w:hint="default" w:ascii="Times New Roman" w:hAnsi="Times New Roman" w:cs="Times New Roman"/>
          <w:b w:val="0"/>
          <w:bCs w:val="0"/>
          <w:color w:val="auto"/>
          <w:sz w:val="24"/>
          <w:szCs w:val="22"/>
          <w:lang w:eastAsia="zh-CN"/>
        </w:rPr>
        <w:drawing>
          <wp:anchor distT="0" distB="0" distL="114300" distR="114300" simplePos="0" relativeHeight="251659264" behindDoc="1" locked="0" layoutInCell="1" allowOverlap="1">
            <wp:simplePos x="0" y="0"/>
            <wp:positionH relativeFrom="column">
              <wp:posOffset>-215900</wp:posOffset>
            </wp:positionH>
            <wp:positionV relativeFrom="paragraph">
              <wp:posOffset>182880</wp:posOffset>
            </wp:positionV>
            <wp:extent cx="9344660" cy="5810250"/>
            <wp:effectExtent l="0" t="0" r="8890" b="0"/>
            <wp:wrapNone/>
            <wp:docPr id="15" name="图片 2" descr="淄川区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淄川区地图"/>
                    <pic:cNvPicPr>
                      <a:picLocks noChangeAspect="1"/>
                    </pic:cNvPicPr>
                  </pic:nvPicPr>
                  <pic:blipFill>
                    <a:blip r:embed="rId42"/>
                    <a:stretch>
                      <a:fillRect/>
                    </a:stretch>
                  </pic:blipFill>
                  <pic:spPr>
                    <a:xfrm>
                      <a:off x="0" y="0"/>
                      <a:ext cx="9344660" cy="5810250"/>
                    </a:xfrm>
                    <a:prstGeom prst="rect">
                      <a:avLst/>
                    </a:prstGeom>
                    <a:noFill/>
                    <a:ln>
                      <a:noFill/>
                    </a:ln>
                  </pic:spPr>
                </pic:pic>
              </a:graphicData>
            </a:graphic>
          </wp:anchor>
        </w:drawing>
      </w:r>
      <w:r>
        <w:rPr>
          <w:rFonts w:hint="default" w:ascii="Times New Roman" w:hAnsi="Times New Roman" w:eastAsia="宋体" w:cs="Times New Roman"/>
          <w:b/>
          <w:bCs/>
          <w:color w:val="auto"/>
          <w:kern w:val="2"/>
          <w:sz w:val="24"/>
          <w:szCs w:val="24"/>
          <w:lang w:val="en-US" w:eastAsia="zh-CN" w:bidi="ar-SA"/>
        </w:rPr>
        <w:t>附图1：项目地理位置图（1）</w:t>
      </w:r>
    </w:p>
    <w:p w14:paraId="199CF2D4">
      <w:pPr>
        <w:jc w:val="center"/>
        <w:rPr>
          <w:rFonts w:hint="default" w:ascii="Times New Roman" w:hAnsi="Times New Roman" w:cs="Times New Roman"/>
          <w:color w:val="auto"/>
        </w:rPr>
      </w:pPr>
      <w:r>
        <w:rPr>
          <w:rFonts w:hint="default" w:ascii="Times New Roman" w:hAnsi="Times New Roman" w:cs="Times New Roman"/>
          <w:color w:val="auto"/>
        </w:rPr>
        <w:drawing>
          <wp:anchor distT="0" distB="0" distL="114300" distR="114300" simplePos="0" relativeHeight="251667456" behindDoc="0" locked="0" layoutInCell="1" allowOverlap="1">
            <wp:simplePos x="0" y="0"/>
            <wp:positionH relativeFrom="column">
              <wp:posOffset>7934325</wp:posOffset>
            </wp:positionH>
            <wp:positionV relativeFrom="paragraph">
              <wp:posOffset>22860</wp:posOffset>
            </wp:positionV>
            <wp:extent cx="1141730" cy="1085850"/>
            <wp:effectExtent l="0" t="0" r="1270" b="0"/>
            <wp:wrapNone/>
            <wp:docPr id="71" name="图片 58" descr="F:/李健伟/环评/环评资料/风玫瑰/淄川.png淄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8" descr="F:/李健伟/环评/环评资料/风玫瑰/淄川.png淄川"/>
                    <pic:cNvPicPr>
                      <a:picLocks noChangeAspect="1"/>
                    </pic:cNvPicPr>
                  </pic:nvPicPr>
                  <pic:blipFill>
                    <a:blip r:embed="rId43"/>
                    <a:srcRect l="29" r="29"/>
                    <a:stretch>
                      <a:fillRect/>
                    </a:stretch>
                  </pic:blipFill>
                  <pic:spPr>
                    <a:xfrm>
                      <a:off x="0" y="0"/>
                      <a:ext cx="1141730" cy="1085850"/>
                    </a:xfrm>
                    <a:prstGeom prst="rect">
                      <a:avLst/>
                    </a:prstGeom>
                    <a:noFill/>
                    <a:ln>
                      <a:noFill/>
                    </a:ln>
                  </pic:spPr>
                </pic:pic>
              </a:graphicData>
            </a:graphic>
          </wp:anchor>
        </w:drawing>
      </w:r>
    </w:p>
    <w:p w14:paraId="2829F0B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cs="Times New Roman"/>
          <w:b w:val="0"/>
          <w:bCs w:val="0"/>
          <w:color w:val="auto"/>
          <w:sz w:val="24"/>
          <w:szCs w:val="22"/>
          <w:lang w:eastAsia="zh-CN"/>
        </w:rPr>
        <w:sectPr>
          <w:pgSz w:w="16838" w:h="11906" w:orient="landscape"/>
          <w:pgMar w:top="1531" w:right="1440" w:bottom="1531"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rPr>
        <mc:AlternateContent>
          <mc:Choice Requires="wps">
            <w:drawing>
              <wp:anchor distT="0" distB="0" distL="114300" distR="114300" simplePos="0" relativeHeight="251663360" behindDoc="0" locked="0" layoutInCell="1" allowOverlap="1">
                <wp:simplePos x="0" y="0"/>
                <wp:positionH relativeFrom="column">
                  <wp:posOffset>4190365</wp:posOffset>
                </wp:positionH>
                <wp:positionV relativeFrom="paragraph">
                  <wp:posOffset>1075055</wp:posOffset>
                </wp:positionV>
                <wp:extent cx="846455" cy="281305"/>
                <wp:effectExtent l="201295" t="5080" r="19050" b="418465"/>
                <wp:wrapNone/>
                <wp:docPr id="17" name="矩形标注 17"/>
                <wp:cNvGraphicFramePr/>
                <a:graphic xmlns:a="http://schemas.openxmlformats.org/drawingml/2006/main">
                  <a:graphicData uri="http://schemas.microsoft.com/office/word/2010/wordprocessingShape">
                    <wps:wsp>
                      <wps:cNvSpPr/>
                      <wps:spPr>
                        <a:xfrm>
                          <a:off x="0" y="0"/>
                          <a:ext cx="846455" cy="281305"/>
                        </a:xfrm>
                        <a:prstGeom prst="wedgeRectCallout">
                          <a:avLst>
                            <a:gd name="adj1" fmla="val -70555"/>
                            <a:gd name="adj2" fmla="val 188826"/>
                          </a:avLst>
                        </a:prstGeom>
                        <a:noFill/>
                        <a:ln w="9525" cap="flat" cmpd="sng">
                          <a:solidFill>
                            <a:srgbClr val="000000"/>
                          </a:solidFill>
                          <a:prstDash val="solid"/>
                          <a:miter/>
                          <a:headEnd type="none" w="med" len="med"/>
                          <a:tailEnd type="none" w="med" len="med"/>
                        </a:ln>
                      </wps:spPr>
                      <wps:txbx>
                        <w:txbxContent>
                          <w:p w14:paraId="7824CE46">
                            <w:pPr>
                              <w:rPr>
                                <w:rFonts w:hint="eastAsia" w:ascii="黑体" w:hAnsi="黑体" w:eastAsia="黑体" w:cs="黑体"/>
                                <w:b/>
                                <w:bCs/>
                                <w:color w:val="000000"/>
                                <w:spacing w:val="0"/>
                                <w:sz w:val="24"/>
                                <w:szCs w:val="32"/>
                              </w:rPr>
                            </w:pPr>
                            <w:r>
                              <w:rPr>
                                <w:rFonts w:hint="eastAsia" w:ascii="黑体" w:hAnsi="黑体" w:eastAsia="黑体" w:cs="黑体"/>
                                <w:b w:val="0"/>
                                <w:bCs w:val="0"/>
                                <w:color w:val="000000"/>
                                <w:spacing w:val="0"/>
                                <w:sz w:val="24"/>
                                <w:szCs w:val="32"/>
                              </w:rPr>
                              <w:t>项目位置</w:t>
                            </w:r>
                          </w:p>
                          <w:p w14:paraId="7D0D0EFB">
                            <w:pPr>
                              <w:jc w:val="center"/>
                            </w:pPr>
                          </w:p>
                        </w:txbxContent>
                      </wps:txbx>
                      <wps:bodyPr anchor="ctr" anchorCtr="0" upright="1"/>
                    </wps:wsp>
                  </a:graphicData>
                </a:graphic>
              </wp:anchor>
            </w:drawing>
          </mc:Choice>
          <mc:Fallback>
            <w:pict>
              <v:shape id="_x0000_s1026" o:spid="_x0000_s1026" o:spt="61" type="#_x0000_t61" style="position:absolute;left:0pt;margin-left:329.95pt;margin-top:84.65pt;height:22.15pt;width:66.65pt;z-index:251663360;v-text-anchor:middle;mso-width-relative:page;mso-height-relative:page;" filled="f" stroked="t" coordsize="21600,21600" o:gfxdata="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Qs7T/aAAAACwEAAA8AAAAAAAAAAQAgAAAA&#10;IgAAAGRycy9kb3ducmV2LnhtbFBLAQIUABQAAAAIAIdO4kDCN2FdQgIAAIEEAAAOAAAAAAAAAAEA&#10;IAAAACkBAABkcnMvZTJvRG9jLnhtbFBLBQYAAAAABgAGAFkBAADdBQAAAAA=&#10;" adj="-4440,51586">
                <v:fill on="f" focussize="0,0"/>
                <v:stroke color="#000000" joinstyle="miter"/>
                <v:imagedata o:title=""/>
                <o:lock v:ext="edit" aspectratio="f"/>
                <v:textbox>
                  <w:txbxContent>
                    <w:p w14:paraId="7824CE46">
                      <w:pPr>
                        <w:rPr>
                          <w:rFonts w:hint="eastAsia" w:ascii="黑体" w:hAnsi="黑体" w:eastAsia="黑体" w:cs="黑体"/>
                          <w:b/>
                          <w:bCs/>
                          <w:color w:val="000000"/>
                          <w:spacing w:val="0"/>
                          <w:sz w:val="24"/>
                          <w:szCs w:val="32"/>
                        </w:rPr>
                      </w:pPr>
                      <w:r>
                        <w:rPr>
                          <w:rFonts w:hint="eastAsia" w:ascii="黑体" w:hAnsi="黑体" w:eastAsia="黑体" w:cs="黑体"/>
                          <w:b w:val="0"/>
                          <w:bCs w:val="0"/>
                          <w:color w:val="000000"/>
                          <w:spacing w:val="0"/>
                          <w:sz w:val="24"/>
                          <w:szCs w:val="32"/>
                        </w:rPr>
                        <w:t>项目位置</w:t>
                      </w:r>
                    </w:p>
                    <w:p w14:paraId="7D0D0EFB">
                      <w:pPr>
                        <w:jc w:val="center"/>
                      </w:pP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62336" behindDoc="0" locked="0" layoutInCell="1" allowOverlap="1">
                <wp:simplePos x="0" y="0"/>
                <wp:positionH relativeFrom="column">
                  <wp:posOffset>3912870</wp:posOffset>
                </wp:positionH>
                <wp:positionV relativeFrom="paragraph">
                  <wp:posOffset>1765300</wp:posOffset>
                </wp:positionV>
                <wp:extent cx="76200" cy="76200"/>
                <wp:effectExtent l="6350" t="6350" r="12700" b="12700"/>
                <wp:wrapNone/>
                <wp:docPr id="18" name="矩形 18"/>
                <wp:cNvGraphicFramePr/>
                <a:graphic xmlns:a="http://schemas.openxmlformats.org/drawingml/2006/main">
                  <a:graphicData uri="http://schemas.microsoft.com/office/word/2010/wordprocessingShape">
                    <wps:wsp>
                      <wps:cNvSpPr/>
                      <wps:spPr>
                        <a:xfrm>
                          <a:off x="2651760" y="5434965"/>
                          <a:ext cx="86360" cy="86360"/>
                        </a:xfrm>
                        <a:prstGeom prst="rect">
                          <a:avLst/>
                        </a:prstGeom>
                        <a:solidFill>
                          <a:srgbClr val="FF0000"/>
                        </a:solidFill>
                        <a:ln w="12700" cap="flat" cmpd="sng" algn="ctr">
                          <a:solidFill>
                            <a:srgbClr val="41719C">
                              <a:shade val="50000"/>
                            </a:srgbClr>
                          </a:solidFill>
                          <a:prstDash val="solid"/>
                          <a:miter lim="800000"/>
                        </a:ln>
                        <a:effectLst/>
                      </wps:spPr>
                      <wps:txbx>
                        <w:txbxContent>
                          <w:p w14:paraId="69105852"/>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8.1pt;margin-top:139pt;height:6pt;width:6pt;z-index:251662336;v-text-anchor:middle;mso-width-relative:page;mso-height-relative:page;" fillcolor="#FF0000" filled="t" stroked="t" coordsize="21600,21600" o:gfxdata="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fZIf+&#10;2AAAAAsBAAAPAAAAAAAAAAEAIAAAACIAAABkcnMvZG93bnJldi54bWxQSwECFAAUAAAACACHTuJA&#10;mtVXWZMCAAA5BQAADgAAAAAAAAABACAAAAAnAQAAZHJzL2Uyb0RvYy54bWxQSwUGAAAAAAYABgBZ&#10;AQAALAYAAAAA&#10;">
                <v:fill on="t" focussize="0,0"/>
                <v:stroke weight="1pt" color="#2D5171" miterlimit="8" joinstyle="miter"/>
                <v:imagedata o:title=""/>
                <o:lock v:ext="edit" aspectratio="f"/>
                <v:textbox>
                  <w:txbxContent>
                    <w:p w14:paraId="69105852"/>
                  </w:txbxContent>
                </v:textbox>
              </v:rect>
            </w:pict>
          </mc:Fallback>
        </mc:AlternateContent>
      </w:r>
    </w:p>
    <w:p w14:paraId="38301E7B">
      <w:pPr>
        <w:pStyle w:val="23"/>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附图1：项目地理位置图（2）</w:t>
      </w:r>
    </w:p>
    <w:p w14:paraId="77F90FB9">
      <w:pPr>
        <w:rPr>
          <w:rFonts w:hint="default"/>
          <w:color w:val="auto"/>
          <w:lang w:val="en-US" w:eastAsia="zh-CN"/>
        </w:rPr>
      </w:pPr>
      <w:r>
        <w:rPr>
          <w:rFonts w:hint="default" w:ascii="Times New Roman" w:hAnsi="Times New Roman" w:cs="Times New Roman"/>
          <w:color w:val="auto"/>
          <w:sz w:val="24"/>
        </w:rPr>
        <mc:AlternateContent>
          <mc:Choice Requires="wps">
            <w:drawing>
              <wp:anchor distT="0" distB="0" distL="114300" distR="114300" simplePos="0" relativeHeight="251669504" behindDoc="0" locked="0" layoutInCell="1" allowOverlap="1">
                <wp:simplePos x="0" y="0"/>
                <wp:positionH relativeFrom="column">
                  <wp:posOffset>5693410</wp:posOffset>
                </wp:positionH>
                <wp:positionV relativeFrom="paragraph">
                  <wp:posOffset>1196340</wp:posOffset>
                </wp:positionV>
                <wp:extent cx="905510" cy="300355"/>
                <wp:effectExtent l="610235" t="4445" r="8255" b="800100"/>
                <wp:wrapNone/>
                <wp:docPr id="76" name="自选图形 63"/>
                <wp:cNvGraphicFramePr/>
                <a:graphic xmlns:a="http://schemas.openxmlformats.org/drawingml/2006/main">
                  <a:graphicData uri="http://schemas.microsoft.com/office/word/2010/wordprocessingShape">
                    <wps:wsp>
                      <wps:cNvSpPr/>
                      <wps:spPr>
                        <a:xfrm>
                          <a:off x="6531610" y="2157095"/>
                          <a:ext cx="905510" cy="300355"/>
                        </a:xfrm>
                        <a:prstGeom prst="wedgeRectCallout">
                          <a:avLst>
                            <a:gd name="adj1" fmla="val -114093"/>
                            <a:gd name="adj2" fmla="val 302481"/>
                          </a:avLst>
                        </a:prstGeom>
                        <a:solidFill>
                          <a:srgbClr val="FFFFFF"/>
                        </a:solidFill>
                        <a:ln w="3175" cap="flat" cmpd="sng">
                          <a:solidFill>
                            <a:srgbClr val="FF0000"/>
                          </a:solidFill>
                          <a:prstDash val="solid"/>
                          <a:miter/>
                          <a:headEnd type="none" w="med" len="med"/>
                          <a:tailEnd type="none" w="med" len="med"/>
                        </a:ln>
                      </wps:spPr>
                      <wps:txbx>
                        <w:txbxContent>
                          <w:p w14:paraId="15CE5C22">
                            <w:pPr>
                              <w:rPr>
                                <w:color w:val="FF0000"/>
                              </w:rPr>
                            </w:pPr>
                            <w:r>
                              <w:rPr>
                                <w:rFonts w:hint="eastAsia"/>
                                <w:color w:val="FF0000"/>
                              </w:rPr>
                              <w:t>项目所在地</w:t>
                            </w:r>
                          </w:p>
                        </w:txbxContent>
                      </wps:txbx>
                      <wps:bodyPr upright="1"/>
                    </wps:wsp>
                  </a:graphicData>
                </a:graphic>
              </wp:anchor>
            </w:drawing>
          </mc:Choice>
          <mc:Fallback>
            <w:pict>
              <v:shape id="自选图形 63" o:spid="_x0000_s1026" o:spt="61" type="#_x0000_t61" style="position:absolute;left:0pt;margin-left:448.3pt;margin-top:94.2pt;height:23.65pt;width:71.3pt;z-index:251669504;mso-width-relative:page;mso-height-relative:page;" fillcolor="#FFFFFF" filled="t" stroked="t" coordsize="21600,21600" o:gfxdata="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zdu4c2gAAAAwBAAAPAAAAAAAA&#10;AAEAIAAAACIAAABkcnMvZG93bnJldi54bWxQSwECFAAUAAAACACHTuJAig7L6UkCAACcBAAADgAA&#10;AAAAAAABACAAAAApAQAAZHJzL2Uyb0RvYy54bWxQSwUGAAAAAAYABgBZAQAA5AUAAAAA&#10;" adj="-13844,76136">
                <v:fill on="t" focussize="0,0"/>
                <v:stroke weight="0.25pt" color="#FF0000" joinstyle="miter"/>
                <v:imagedata o:title=""/>
                <o:lock v:ext="edit" aspectratio="f"/>
                <v:textbox>
                  <w:txbxContent>
                    <w:p w14:paraId="15CE5C22">
                      <w:pPr>
                        <w:rPr>
                          <w:color w:val="FF0000"/>
                        </w:rPr>
                      </w:pPr>
                      <w:r>
                        <w:rPr>
                          <w:rFonts w:hint="eastAsia"/>
                          <w:color w:val="FF0000"/>
                        </w:rPr>
                        <w:t>项目所在地</w:t>
                      </w:r>
                    </w:p>
                  </w:txbxContent>
                </v:textbox>
              </v:shape>
            </w:pict>
          </mc:Fallback>
        </mc:AlternateContent>
      </w:r>
      <w:r>
        <w:rPr>
          <w:color w:val="auto"/>
        </w:rPr>
        <w:drawing>
          <wp:inline distT="0" distB="0" distL="114300" distR="114300">
            <wp:extent cx="9220200" cy="5525770"/>
            <wp:effectExtent l="9525" t="9525" r="9525" b="27305"/>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44"/>
                    <a:srcRect l="32907" t="19639" r="1236"/>
                    <a:stretch>
                      <a:fillRect/>
                    </a:stretch>
                  </pic:blipFill>
                  <pic:spPr>
                    <a:xfrm>
                      <a:off x="0" y="0"/>
                      <a:ext cx="9220200" cy="5525770"/>
                    </a:xfrm>
                    <a:prstGeom prst="rect">
                      <a:avLst/>
                    </a:prstGeom>
                    <a:noFill/>
                    <a:ln>
                      <a:solidFill>
                        <a:schemeClr val="tx1"/>
                      </a:solidFill>
                    </a:ln>
                  </pic:spPr>
                </pic:pic>
              </a:graphicData>
            </a:graphic>
          </wp:inline>
        </w:drawing>
      </w:r>
    </w:p>
    <w:p w14:paraId="37F56428">
      <w:pPr>
        <w:rPr>
          <w:rFonts w:hint="default" w:ascii="Times New Roman" w:hAnsi="Times New Roman" w:eastAsia="宋体" w:cs="Times New Roman"/>
          <w:b/>
          <w:bCs/>
          <w:color w:val="auto"/>
          <w:kern w:val="2"/>
          <w:sz w:val="21"/>
          <w:szCs w:val="21"/>
          <w:lang w:val="en-US" w:eastAsia="zh-CN" w:bidi="ar-SA"/>
        </w:rPr>
      </w:pPr>
    </w:p>
    <w:p w14:paraId="04AE65FC">
      <w:pPr>
        <w:pStyle w:val="23"/>
        <w:ind w:left="0" w:leftChars="0" w:firstLine="0" w:firstLineChars="0"/>
        <w:jc w:val="center"/>
        <w:rPr>
          <w:rFonts w:hint="default" w:ascii="Times New Roman" w:hAnsi="Times New Roman" w:eastAsia="宋体" w:cs="Times New Roman"/>
          <w:color w:val="auto"/>
          <w:lang w:eastAsia="zh-CN"/>
        </w:rPr>
        <w:sectPr>
          <w:pgSz w:w="16838" w:h="11906" w:orient="landscape"/>
          <w:pgMar w:top="850" w:right="1440" w:bottom="85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B59DD31">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cs="Times New Roman"/>
          <w:color w:val="auto"/>
        </w:rPr>
        <w:drawing>
          <wp:anchor distT="0" distB="0" distL="114300" distR="114300" simplePos="0" relativeHeight="251668480" behindDoc="0" locked="0" layoutInCell="1" allowOverlap="1">
            <wp:simplePos x="0" y="0"/>
            <wp:positionH relativeFrom="column">
              <wp:posOffset>4595495</wp:posOffset>
            </wp:positionH>
            <wp:positionV relativeFrom="paragraph">
              <wp:posOffset>172720</wp:posOffset>
            </wp:positionV>
            <wp:extent cx="972820" cy="925195"/>
            <wp:effectExtent l="0" t="0" r="17780" b="8255"/>
            <wp:wrapNone/>
            <wp:docPr id="72" name="图片 58" descr="F:/李健伟/环评/环评资料/风玫瑰/淄川.png淄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8" descr="F:/李健伟/环评/环评资料/风玫瑰/淄川.png淄川"/>
                    <pic:cNvPicPr>
                      <a:picLocks noChangeAspect="1"/>
                    </pic:cNvPicPr>
                  </pic:nvPicPr>
                  <pic:blipFill>
                    <a:blip r:embed="rId43"/>
                    <a:srcRect l="29" r="29"/>
                    <a:stretch>
                      <a:fillRect/>
                    </a:stretch>
                  </pic:blipFill>
                  <pic:spPr>
                    <a:xfrm>
                      <a:off x="0" y="0"/>
                      <a:ext cx="972820" cy="925195"/>
                    </a:xfrm>
                    <a:prstGeom prst="rect">
                      <a:avLst/>
                    </a:prstGeom>
                    <a:noFill/>
                    <a:ln>
                      <a:noFill/>
                    </a:ln>
                  </pic:spPr>
                </pic:pic>
              </a:graphicData>
            </a:graphic>
          </wp:anchor>
        </w:drawing>
      </w:r>
      <w:r>
        <w:rPr>
          <w:rFonts w:hint="default" w:ascii="Times New Roman" w:hAnsi="Times New Roman" w:eastAsia="宋体" w:cs="Times New Roman"/>
          <w:b/>
          <w:bCs/>
          <w:color w:val="auto"/>
          <w:kern w:val="2"/>
          <w:sz w:val="24"/>
          <w:szCs w:val="24"/>
          <w:lang w:val="en-US" w:eastAsia="zh-CN" w:bidi="ar-SA"/>
        </w:rPr>
        <w:t>附图2：厂区平面布置图</w:t>
      </w:r>
    </w:p>
    <w:p w14:paraId="2781A402">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kern w:val="2"/>
          <w:sz w:val="24"/>
          <w:szCs w:val="24"/>
          <w:lang w:val="en-US" w:eastAsia="zh-CN" w:bidi="ar-SA"/>
        </w:rPr>
      </w:pPr>
    </w:p>
    <w:p w14:paraId="5F6F3509">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kern w:val="2"/>
          <w:sz w:val="24"/>
          <w:szCs w:val="24"/>
          <w:lang w:val="en-US" w:eastAsia="zh-CN" w:bidi="ar-SA"/>
        </w:rPr>
      </w:pPr>
    </w:p>
    <w:p w14:paraId="79A60396">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kern w:val="2"/>
          <w:sz w:val="24"/>
          <w:szCs w:val="24"/>
          <w:lang w:val="en-US" w:eastAsia="zh-CN" w:bidi="ar-SA"/>
        </w:rPr>
      </w:pPr>
    </w:p>
    <w:p w14:paraId="28A9B246">
      <w:pPr>
        <w:keepNext w:val="0"/>
        <w:keepLines w:val="0"/>
        <w:pageBreakBefore w:val="0"/>
        <w:widowControl w:val="0"/>
        <w:kinsoku/>
        <w:wordWrap/>
        <w:overflowPunct/>
        <w:topLinePunct w:val="0"/>
        <w:autoSpaceDE/>
        <w:autoSpaceDN/>
        <w:bidi w:val="0"/>
        <w:adjustRightInd w:val="0"/>
        <w:snapToGrid w:val="0"/>
        <w:spacing w:before="157" w:beforeLines="50" w:line="240" w:lineRule="auto"/>
        <w:ind w:left="0" w:leftChars="0" w:firstLine="0" w:firstLineChars="0"/>
        <w:jc w:val="both"/>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cs="Times New Roman"/>
          <w:color w:val="auto"/>
          <w:sz w:val="21"/>
        </w:rPr>
        <w:drawing>
          <wp:inline distT="0" distB="0" distL="114300" distR="114300">
            <wp:extent cx="5720080" cy="6791960"/>
            <wp:effectExtent l="0" t="0" r="13970" b="8890"/>
            <wp:docPr id="66" name="图片 66" descr="1-1锦明-环评-鹿郑审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1锦明-环评-鹿郑审_01(1)"/>
                    <pic:cNvPicPr>
                      <a:picLocks noChangeAspect="1"/>
                    </pic:cNvPicPr>
                  </pic:nvPicPr>
                  <pic:blipFill>
                    <a:blip r:embed="rId45"/>
                    <a:srcRect l="19418" r="6646"/>
                    <a:stretch>
                      <a:fillRect/>
                    </a:stretch>
                  </pic:blipFill>
                  <pic:spPr>
                    <a:xfrm>
                      <a:off x="0" y="0"/>
                      <a:ext cx="5720080" cy="6791960"/>
                    </a:xfrm>
                    <a:prstGeom prst="rect">
                      <a:avLst/>
                    </a:prstGeom>
                  </pic:spPr>
                </pic:pic>
              </a:graphicData>
            </a:graphic>
          </wp:inline>
        </w:drawing>
      </w:r>
    </w:p>
    <w:p w14:paraId="396BE7C5">
      <w:pPr>
        <w:keepNext w:val="0"/>
        <w:keepLines w:val="0"/>
        <w:pageBreakBefore w:val="0"/>
        <w:widowControl w:val="0"/>
        <w:kinsoku/>
        <w:wordWrap/>
        <w:overflowPunct/>
        <w:topLinePunct w:val="0"/>
        <w:autoSpaceDE/>
        <w:autoSpaceDN/>
        <w:bidi w:val="0"/>
        <w:adjustRightInd w:val="0"/>
        <w:snapToGrid w:val="0"/>
        <w:spacing w:before="157" w:beforeLines="50" w:line="240" w:lineRule="auto"/>
        <w:ind w:left="0" w:leftChars="0" w:firstLine="0" w:firstLineChars="0"/>
        <w:jc w:val="both"/>
        <w:textAlignment w:val="auto"/>
        <w:rPr>
          <w:rFonts w:hint="default" w:ascii="Times New Roman" w:hAnsi="Times New Roman" w:eastAsia="宋体" w:cs="Times New Roman"/>
          <w:color w:val="auto"/>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E15D884">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附图3：项目环境保护目标分布图</w:t>
      </w:r>
    </w:p>
    <w:p w14:paraId="06177EA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color w:val="auto"/>
        </w:rPr>
        <w:drawing>
          <wp:anchor distT="0" distB="0" distL="114300" distR="114300" simplePos="0" relativeHeight="251670528" behindDoc="0" locked="0" layoutInCell="1" allowOverlap="1">
            <wp:simplePos x="0" y="0"/>
            <wp:positionH relativeFrom="column">
              <wp:posOffset>7760335</wp:posOffset>
            </wp:positionH>
            <wp:positionV relativeFrom="paragraph">
              <wp:posOffset>635</wp:posOffset>
            </wp:positionV>
            <wp:extent cx="972820" cy="925195"/>
            <wp:effectExtent l="0" t="0" r="17780" b="8255"/>
            <wp:wrapNone/>
            <wp:docPr id="10" name="图片 58" descr="F:/李健伟/环评/环评资料/风玫瑰/淄川.png淄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8" descr="F:/李健伟/环评/环评资料/风玫瑰/淄川.png淄川"/>
                    <pic:cNvPicPr>
                      <a:picLocks noChangeAspect="1"/>
                    </pic:cNvPicPr>
                  </pic:nvPicPr>
                  <pic:blipFill>
                    <a:blip r:embed="rId43"/>
                    <a:srcRect l="29" r="29"/>
                    <a:stretch>
                      <a:fillRect/>
                    </a:stretch>
                  </pic:blipFill>
                  <pic:spPr>
                    <a:xfrm>
                      <a:off x="0" y="0"/>
                      <a:ext cx="972820" cy="925195"/>
                    </a:xfrm>
                    <a:prstGeom prst="rect">
                      <a:avLst/>
                    </a:prstGeom>
                    <a:noFill/>
                    <a:ln>
                      <a:noFill/>
                    </a:ln>
                  </pic:spPr>
                </pic:pic>
              </a:graphicData>
            </a:graphic>
          </wp:anchor>
        </w:drawing>
      </w:r>
      <w:r>
        <w:rPr>
          <w:rFonts w:hint="default" w:ascii="Times New Roman" w:hAnsi="Times New Roman" w:cs="Times New Roman"/>
          <w:color w:val="auto"/>
          <w:sz w:val="21"/>
        </w:rPr>
        <mc:AlternateContent>
          <mc:Choice Requires="wps">
            <w:drawing>
              <wp:anchor distT="0" distB="0" distL="114300" distR="114300" simplePos="0" relativeHeight="251680768" behindDoc="0" locked="0" layoutInCell="1" allowOverlap="1">
                <wp:simplePos x="0" y="0"/>
                <wp:positionH relativeFrom="column">
                  <wp:posOffset>4635500</wp:posOffset>
                </wp:positionH>
                <wp:positionV relativeFrom="paragraph">
                  <wp:posOffset>2876550</wp:posOffset>
                </wp:positionV>
                <wp:extent cx="707390" cy="1141095"/>
                <wp:effectExtent l="5080" t="3175" r="11430" b="17780"/>
                <wp:wrapNone/>
                <wp:docPr id="43" name="直接箭头连接符 43"/>
                <wp:cNvGraphicFramePr/>
                <a:graphic xmlns:a="http://schemas.openxmlformats.org/drawingml/2006/main">
                  <a:graphicData uri="http://schemas.microsoft.com/office/word/2010/wordprocessingShape">
                    <wps:wsp>
                      <wps:cNvCnPr/>
                      <wps:spPr>
                        <a:xfrm>
                          <a:off x="0" y="0"/>
                          <a:ext cx="707390" cy="1141095"/>
                        </a:xfrm>
                        <a:prstGeom prst="straightConnector1">
                          <a:avLst/>
                        </a:prstGeom>
                        <a:ln w="12700">
                          <a:solidFill>
                            <a:schemeClr val="accent6">
                              <a:lumMod val="75000"/>
                            </a:schemeClr>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65pt;margin-top:226.5pt;height:89.85pt;width:55.7pt;z-index:251680768;mso-width-relative:page;mso-height-relative:page;" filled="f" stroked="t" coordsize="21600,21600" o:gfxdata="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dmFzNkAAAALAQAADwAAAAAA&#10;AAABACAAAAAiAAAAZHJzL2Rvd25yZXYueG1sUEsBAhQAFAAAAAgAh07iQGFPjDYSAgAA8AMAAA4A&#10;AAAAAAAAAQAgAAAAKAEAAGRycy9lMm9Eb2MueG1sUEsFBgAAAAAGAAYAWQEAAKwFAAAAAA==&#10;">
                <v:fill on="f" focussize="0,0"/>
                <v:stroke weight="1pt" color="#E46C0A [2409]" joinstyle="round" dashstyle="dash" endarrow="open"/>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1552" behindDoc="0" locked="0" layoutInCell="1" allowOverlap="1">
                <wp:simplePos x="0" y="0"/>
                <wp:positionH relativeFrom="column">
                  <wp:posOffset>4868545</wp:posOffset>
                </wp:positionH>
                <wp:positionV relativeFrom="paragraph">
                  <wp:posOffset>1927860</wp:posOffset>
                </wp:positionV>
                <wp:extent cx="1860550" cy="615950"/>
                <wp:effectExtent l="1905" t="20320" r="4445" b="11430"/>
                <wp:wrapNone/>
                <wp:docPr id="28" name="直接箭头连接符 28"/>
                <wp:cNvGraphicFramePr/>
                <a:graphic xmlns:a="http://schemas.openxmlformats.org/drawingml/2006/main">
                  <a:graphicData uri="http://schemas.microsoft.com/office/word/2010/wordprocessingShape">
                    <wps:wsp>
                      <wps:cNvCnPr/>
                      <wps:spPr>
                        <a:xfrm flipV="1">
                          <a:off x="5541010" y="2712085"/>
                          <a:ext cx="1860550" cy="615950"/>
                        </a:xfrm>
                        <a:prstGeom prst="straightConnector1">
                          <a:avLst/>
                        </a:prstGeom>
                        <a:ln w="12700">
                          <a:solidFill>
                            <a:schemeClr val="accent6">
                              <a:lumMod val="75000"/>
                            </a:schemeClr>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83.35pt;margin-top:151.8pt;height:48.5pt;width:146.5pt;z-index:251671552;mso-width-relative:page;mso-height-relative:page;" filled="f" stroked="t" coordsize="21600,21600" o:gfxdata="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QBfHndkAAAAMAQAADwAAAAAAAAABACAAAAAiAAAAZHJzL2Rvd25yZXYueG1sUEsBAhQAFAAAAAgA&#10;h07iQC34cGgkAgAABgQAAA4AAAAAAAAAAQAgAAAAKAEAAGRycy9lMm9Eb2MueG1sUEsFBgAAAAAG&#10;AAYAWQEAAL4FAAAAAA==&#10;">
                <v:fill on="f" focussize="0,0"/>
                <v:stroke weight="1pt" color="#E46C0A [2409]" joinstyle="round" dashstyle="dash" endarrow="open"/>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1792" behindDoc="0" locked="0" layoutInCell="1" allowOverlap="1">
                <wp:simplePos x="0" y="0"/>
                <wp:positionH relativeFrom="column">
                  <wp:posOffset>5347970</wp:posOffset>
                </wp:positionH>
                <wp:positionV relativeFrom="paragraph">
                  <wp:posOffset>3045460</wp:posOffset>
                </wp:positionV>
                <wp:extent cx="588645" cy="260985"/>
                <wp:effectExtent l="0" t="0" r="0" b="0"/>
                <wp:wrapNone/>
                <wp:docPr id="45" name="文本框 45"/>
                <wp:cNvGraphicFramePr/>
                <a:graphic xmlns:a="http://schemas.openxmlformats.org/drawingml/2006/main">
                  <a:graphicData uri="http://schemas.microsoft.com/office/word/2010/wordprocessingShape">
                    <wps:wsp>
                      <wps:cNvSpPr txBox="1"/>
                      <wps:spPr>
                        <a:xfrm rot="20400000">
                          <a:off x="0" y="0"/>
                          <a:ext cx="588645" cy="260985"/>
                        </a:xfrm>
                        <a:prstGeom prst="rect">
                          <a:avLst/>
                        </a:prstGeom>
                        <a:noFill/>
                        <a:ln>
                          <a:noFill/>
                        </a:ln>
                      </wps:spPr>
                      <wps:txbx>
                        <w:txbxContent>
                          <w:p w14:paraId="36047642">
                            <w:pPr>
                              <w:rPr>
                                <w:rFonts w:hint="default" w:eastAsia="宋体"/>
                                <w:b/>
                                <w:bCs/>
                                <w:color w:val="E46C0A" w:themeColor="accent6" w:themeShade="BF"/>
                                <w:lang w:val="en-US" w:eastAsia="zh-CN"/>
                              </w:rPr>
                            </w:pPr>
                            <w:r>
                              <w:rPr>
                                <w:rFonts w:hint="eastAsia"/>
                                <w:b/>
                                <w:bCs/>
                                <w:color w:val="E46C0A" w:themeColor="accent6" w:themeShade="BF"/>
                                <w:lang w:val="en-US" w:eastAsia="zh-CN"/>
                              </w:rPr>
                              <w:t>375m</w:t>
                            </w:r>
                          </w:p>
                        </w:txbxContent>
                      </wps:txbx>
                      <wps:bodyPr upright="0">
                        <a:spAutoFit/>
                      </wps:bodyPr>
                    </wps:wsp>
                  </a:graphicData>
                </a:graphic>
              </wp:anchor>
            </w:drawing>
          </mc:Choice>
          <mc:Fallback>
            <w:pict>
              <v:shape id="_x0000_s1026" o:spid="_x0000_s1026" o:spt="202" type="#_x0000_t202" style="position:absolute;left:0pt;margin-left:421.1pt;margin-top:239.8pt;height:20.55pt;width:46.35pt;rotation:-1310720f;z-index:251681792;mso-width-relative:page;mso-height-relative:page;" filled="f" stroked="f" coordsize="21600,21600" o:gfxdata="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6Qjb23AAAAAsBAAAPAAAAAAAAAAEAIAAAACIAAABkcnMvZG93&#10;bnJldi54bWxQSwECFAAUAAAACACHTuJAja7snMMBAAB4AwAADgAAAAAAAAABACAAAAArAQAAZHJz&#10;L2Uyb0RvYy54bWxQSwUGAAAAAAYABgBZAQAAYAUAAAAA&#10;">
                <v:fill on="f" focussize="0,0"/>
                <v:stroke on="f"/>
                <v:imagedata o:title=""/>
                <o:lock v:ext="edit" aspectratio="f"/>
                <v:textbox style="mso-fit-shape-to-text:t;">
                  <w:txbxContent>
                    <w:p w14:paraId="36047642">
                      <w:pPr>
                        <w:rPr>
                          <w:rFonts w:hint="default" w:eastAsia="宋体"/>
                          <w:b/>
                          <w:bCs/>
                          <w:color w:val="E46C0A" w:themeColor="accent6" w:themeShade="BF"/>
                          <w:lang w:val="en-US" w:eastAsia="zh-CN"/>
                        </w:rPr>
                      </w:pPr>
                      <w:r>
                        <w:rPr>
                          <w:rFonts w:hint="eastAsia"/>
                          <w:b/>
                          <w:bCs/>
                          <w:color w:val="E46C0A" w:themeColor="accent6" w:themeShade="BF"/>
                          <w:lang w:val="en-US" w:eastAsia="zh-CN"/>
                        </w:rPr>
                        <w:t>375m</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5408" behindDoc="0" locked="0" layoutInCell="1" allowOverlap="1">
                <wp:simplePos x="0" y="0"/>
                <wp:positionH relativeFrom="column">
                  <wp:posOffset>5203190</wp:posOffset>
                </wp:positionH>
                <wp:positionV relativeFrom="paragraph">
                  <wp:posOffset>2145665</wp:posOffset>
                </wp:positionV>
                <wp:extent cx="588645" cy="260985"/>
                <wp:effectExtent l="0" t="0" r="0" b="0"/>
                <wp:wrapNone/>
                <wp:docPr id="53" name="文本框 53"/>
                <wp:cNvGraphicFramePr/>
                <a:graphic xmlns:a="http://schemas.openxmlformats.org/drawingml/2006/main">
                  <a:graphicData uri="http://schemas.microsoft.com/office/word/2010/wordprocessingShape">
                    <wps:wsp>
                      <wps:cNvSpPr txBox="1"/>
                      <wps:spPr>
                        <a:xfrm rot="20400000">
                          <a:off x="0" y="0"/>
                          <a:ext cx="588645" cy="260985"/>
                        </a:xfrm>
                        <a:prstGeom prst="rect">
                          <a:avLst/>
                        </a:prstGeom>
                        <a:noFill/>
                        <a:ln>
                          <a:noFill/>
                        </a:ln>
                      </wps:spPr>
                      <wps:txbx>
                        <w:txbxContent>
                          <w:p w14:paraId="10DA5C06">
                            <w:pPr>
                              <w:rPr>
                                <w:rFonts w:hint="default" w:eastAsia="宋体"/>
                                <w:b/>
                                <w:bCs/>
                                <w:color w:val="E46C0A" w:themeColor="accent6" w:themeShade="BF"/>
                                <w:lang w:val="en-US" w:eastAsia="zh-CN"/>
                              </w:rPr>
                            </w:pPr>
                            <w:r>
                              <w:rPr>
                                <w:rFonts w:hint="eastAsia"/>
                                <w:b/>
                                <w:bCs/>
                                <w:color w:val="E46C0A" w:themeColor="accent6" w:themeShade="BF"/>
                                <w:lang w:val="en-US" w:eastAsia="zh-CN"/>
                              </w:rPr>
                              <w:t>500m</w:t>
                            </w:r>
                          </w:p>
                        </w:txbxContent>
                      </wps:txbx>
                      <wps:bodyPr upright="0">
                        <a:spAutoFit/>
                      </wps:bodyPr>
                    </wps:wsp>
                  </a:graphicData>
                </a:graphic>
              </wp:anchor>
            </w:drawing>
          </mc:Choice>
          <mc:Fallback>
            <w:pict>
              <v:shape id="_x0000_s1026" o:spid="_x0000_s1026" o:spt="202" type="#_x0000_t202" style="position:absolute;left:0pt;margin-left:409.7pt;margin-top:168.95pt;height:20.55pt;width:46.35pt;rotation:-1310720f;z-index:251665408;mso-width-relative:page;mso-height-relative:page;" filled="f" stroked="f" coordsize="21600,21600" o:gfxdata="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yKg31toAAAALAQAADwAAAAAAAAABACAAAAAiAAAAZHJzL2Rvd25y&#10;ZXYueG1sUEsBAhQAFAAAAAgAh07iQBPDxvvDAQAAeAMAAA4AAAAAAAAAAQAgAAAAKQEAAGRycy9l&#10;Mm9Eb2MueG1sUEsFBgAAAAAGAAYAWQEAAF4FAAAAAA==&#10;">
                <v:fill on="f" focussize="0,0"/>
                <v:stroke on="f"/>
                <v:imagedata o:title=""/>
                <o:lock v:ext="edit" aspectratio="f"/>
                <v:textbox style="mso-fit-shape-to-text:t;">
                  <w:txbxContent>
                    <w:p w14:paraId="10DA5C06">
                      <w:pPr>
                        <w:rPr>
                          <w:rFonts w:hint="default" w:eastAsia="宋体"/>
                          <w:b/>
                          <w:bCs/>
                          <w:color w:val="E46C0A" w:themeColor="accent6" w:themeShade="BF"/>
                          <w:lang w:val="en-US" w:eastAsia="zh-CN"/>
                        </w:rPr>
                      </w:pPr>
                      <w:r>
                        <w:rPr>
                          <w:rFonts w:hint="eastAsia"/>
                          <w:b/>
                          <w:bCs/>
                          <w:color w:val="E46C0A" w:themeColor="accent6" w:themeShade="BF"/>
                          <w:lang w:val="en-US" w:eastAsia="zh-CN"/>
                        </w:rPr>
                        <w:t>500m</w:t>
                      </w:r>
                    </w:p>
                  </w:txbxContent>
                </v:textbox>
              </v:shape>
            </w:pict>
          </mc:Fallback>
        </mc:AlternateContent>
      </w:r>
      <w:r>
        <w:rPr>
          <w:rFonts w:hint="eastAsia" w:ascii="Times New Roman" w:hAnsi="Times New Roman" w:eastAsia="宋体" w:cs="Times New Roman"/>
          <w:b/>
          <w:bCs/>
          <w:color w:val="auto"/>
          <w:kern w:val="2"/>
          <w:sz w:val="24"/>
          <w:szCs w:val="24"/>
          <w:highlight w:val="none"/>
          <w:lang w:val="en-US" w:eastAsia="zh-CN" w:bidi="ar-SA"/>
        </w:rPr>
        <w:drawing>
          <wp:inline distT="0" distB="0" distL="114300" distR="114300">
            <wp:extent cx="8732520" cy="5323205"/>
            <wp:effectExtent l="0" t="0" r="11430" b="10795"/>
            <wp:docPr id="69" name="图片 6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图片1"/>
                    <pic:cNvPicPr>
                      <a:picLocks noChangeAspect="1"/>
                    </pic:cNvPicPr>
                  </pic:nvPicPr>
                  <pic:blipFill>
                    <a:blip r:embed="rId46"/>
                    <a:stretch>
                      <a:fillRect/>
                    </a:stretch>
                  </pic:blipFill>
                  <pic:spPr>
                    <a:xfrm>
                      <a:off x="0" y="0"/>
                      <a:ext cx="8732520" cy="5323205"/>
                    </a:xfrm>
                    <a:prstGeom prst="rect">
                      <a:avLst/>
                    </a:prstGeom>
                  </pic:spPr>
                </pic:pic>
              </a:graphicData>
            </a:graphic>
          </wp:inline>
        </w:drawing>
      </w:r>
    </w:p>
    <w:p w14:paraId="27FDBCE9">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color w:val="auto"/>
          <w:sz w:val="21"/>
        </w:rPr>
        <mc:AlternateContent>
          <mc:Choice Requires="wps">
            <w:drawing>
              <wp:anchor distT="0" distB="0" distL="114300" distR="114300" simplePos="0" relativeHeight="251677696" behindDoc="0" locked="0" layoutInCell="1" allowOverlap="1">
                <wp:simplePos x="0" y="0"/>
                <wp:positionH relativeFrom="column">
                  <wp:posOffset>5610860</wp:posOffset>
                </wp:positionH>
                <wp:positionV relativeFrom="paragraph">
                  <wp:posOffset>1343660</wp:posOffset>
                </wp:positionV>
                <wp:extent cx="466725" cy="1476375"/>
                <wp:effectExtent l="0" t="0" r="0" b="0"/>
                <wp:wrapNone/>
                <wp:docPr id="75" name="文本框 75"/>
                <wp:cNvGraphicFramePr/>
                <a:graphic xmlns:a="http://schemas.openxmlformats.org/drawingml/2006/main">
                  <a:graphicData uri="http://schemas.microsoft.com/office/word/2010/wordprocessingShape">
                    <wps:wsp>
                      <wps:cNvSpPr txBox="1"/>
                      <wps:spPr>
                        <a:xfrm rot="1620000">
                          <a:off x="0" y="0"/>
                          <a:ext cx="466725" cy="1476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CEBA30">
                            <w:pPr>
                              <w:rPr>
                                <w:rFonts w:hint="default"/>
                                <w:b/>
                                <w:bCs/>
                                <w:sz w:val="24"/>
                                <w:szCs w:val="24"/>
                                <w:lang w:val="en-US" w:eastAsia="zh-CN"/>
                              </w:rPr>
                            </w:pPr>
                            <w:r>
                              <w:rPr>
                                <w:rFonts w:hint="eastAsia"/>
                                <w:b/>
                                <w:bCs/>
                                <w:color w:val="FFFF00"/>
                                <w:sz w:val="24"/>
                                <w:szCs w:val="24"/>
                                <w:lang w:val="en-US" w:eastAsia="zh-CN"/>
                              </w:rPr>
                              <w:t>空闲地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1.8pt;margin-top:105.8pt;height:116.25pt;width:36.75pt;rotation:1769472f;z-index:251677696;mso-width-relative:page;mso-height-relative:page;" filled="f" stroked="f" coordsize="21600,21600" o:gfxdata="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VRb+fdAAAACwEAAA8AAAAAAAAA&#10;AQAgAAAAIgAAAGRycy9kb3ducmV2LnhtbFBLAQIUABQAAAAIAIdO4kBG5m31RQIAAHYEAAAOAAAA&#10;AAAAAAEAIAAAACwBAABkcnMvZTJvRG9jLnhtbFBLBQYAAAAABgAGAFkBAADjBQAAAAA=&#10;">
                <v:fill on="f" focussize="0,0"/>
                <v:stroke on="f" weight="0.5pt"/>
                <v:imagedata o:title=""/>
                <o:lock v:ext="edit" aspectratio="f"/>
                <v:textbox>
                  <w:txbxContent>
                    <w:p w14:paraId="29CEBA30">
                      <w:pPr>
                        <w:rPr>
                          <w:rFonts w:hint="default"/>
                          <w:b/>
                          <w:bCs/>
                          <w:sz w:val="24"/>
                          <w:szCs w:val="24"/>
                          <w:lang w:val="en-US" w:eastAsia="zh-CN"/>
                        </w:rPr>
                      </w:pPr>
                      <w:r>
                        <w:rPr>
                          <w:rFonts w:hint="eastAsia"/>
                          <w:b/>
                          <w:bCs/>
                          <w:color w:val="FFFF00"/>
                          <w:sz w:val="24"/>
                          <w:szCs w:val="24"/>
                          <w:lang w:val="en-US" w:eastAsia="zh-CN"/>
                        </w:rPr>
                        <w:t>空闲地</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3600" behindDoc="0" locked="0" layoutInCell="1" allowOverlap="1">
                <wp:simplePos x="0" y="0"/>
                <wp:positionH relativeFrom="column">
                  <wp:posOffset>5923280</wp:posOffset>
                </wp:positionH>
                <wp:positionV relativeFrom="paragraph">
                  <wp:posOffset>2620010</wp:posOffset>
                </wp:positionV>
                <wp:extent cx="466725" cy="1476375"/>
                <wp:effectExtent l="0" t="0" r="0" b="0"/>
                <wp:wrapNone/>
                <wp:docPr id="56" name="文本框 56"/>
                <wp:cNvGraphicFramePr/>
                <a:graphic xmlns:a="http://schemas.openxmlformats.org/drawingml/2006/main">
                  <a:graphicData uri="http://schemas.microsoft.com/office/word/2010/wordprocessingShape">
                    <wps:wsp>
                      <wps:cNvSpPr txBox="1"/>
                      <wps:spPr>
                        <a:xfrm rot="1620000">
                          <a:off x="7260590" y="3687445"/>
                          <a:ext cx="466725" cy="1476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9033C5">
                            <w:pPr>
                              <w:rPr>
                                <w:rFonts w:hint="eastAsia"/>
                                <w:b/>
                                <w:bCs/>
                                <w:color w:val="FFFF00"/>
                                <w:sz w:val="24"/>
                                <w:szCs w:val="24"/>
                                <w:lang w:val="en-US" w:eastAsia="zh-CN"/>
                              </w:rPr>
                            </w:pPr>
                            <w:r>
                              <w:rPr>
                                <w:rFonts w:hint="eastAsia"/>
                                <w:b/>
                                <w:bCs/>
                                <w:color w:val="FFFF00"/>
                                <w:sz w:val="24"/>
                                <w:szCs w:val="24"/>
                                <w:lang w:val="en-US" w:eastAsia="zh-CN"/>
                              </w:rPr>
                              <w:t>正</w:t>
                            </w:r>
                          </w:p>
                          <w:p w14:paraId="05D41FFC">
                            <w:pPr>
                              <w:rPr>
                                <w:rFonts w:hint="eastAsia"/>
                                <w:b/>
                                <w:bCs/>
                                <w:color w:val="FFFF00"/>
                                <w:sz w:val="24"/>
                                <w:szCs w:val="24"/>
                                <w:lang w:val="en-US" w:eastAsia="zh-CN"/>
                              </w:rPr>
                            </w:pPr>
                            <w:r>
                              <w:rPr>
                                <w:rFonts w:hint="eastAsia"/>
                                <w:b/>
                                <w:bCs/>
                                <w:color w:val="FFFF00"/>
                                <w:sz w:val="24"/>
                                <w:szCs w:val="24"/>
                                <w:lang w:val="en-US" w:eastAsia="zh-CN"/>
                              </w:rPr>
                              <w:t>光</w:t>
                            </w:r>
                          </w:p>
                          <w:p w14:paraId="71BE8BCF">
                            <w:pPr>
                              <w:rPr>
                                <w:rFonts w:hint="eastAsia"/>
                                <w:b/>
                                <w:bCs/>
                                <w:color w:val="FFFF00"/>
                                <w:sz w:val="24"/>
                                <w:szCs w:val="24"/>
                                <w:lang w:val="en-US" w:eastAsia="zh-CN"/>
                              </w:rPr>
                            </w:pPr>
                            <w:r>
                              <w:rPr>
                                <w:rFonts w:hint="eastAsia"/>
                                <w:b/>
                                <w:bCs/>
                                <w:color w:val="FFFF00"/>
                                <w:sz w:val="24"/>
                                <w:szCs w:val="24"/>
                                <w:lang w:val="en-US" w:eastAsia="zh-CN"/>
                              </w:rPr>
                              <w:t>电</w:t>
                            </w:r>
                          </w:p>
                          <w:p w14:paraId="61239FDE">
                            <w:pPr>
                              <w:rPr>
                                <w:rFonts w:hint="eastAsia"/>
                                <w:b/>
                                <w:bCs/>
                                <w:color w:val="FFFF00"/>
                                <w:sz w:val="24"/>
                                <w:szCs w:val="24"/>
                                <w:lang w:val="en-US" w:eastAsia="zh-CN"/>
                              </w:rPr>
                            </w:pPr>
                            <w:r>
                              <w:rPr>
                                <w:rFonts w:hint="eastAsia"/>
                                <w:b/>
                                <w:bCs/>
                                <w:color w:val="FFFF00"/>
                                <w:sz w:val="24"/>
                                <w:szCs w:val="24"/>
                                <w:lang w:val="en-US" w:eastAsia="zh-CN"/>
                              </w:rPr>
                              <w:t>力</w:t>
                            </w:r>
                          </w:p>
                          <w:p w14:paraId="052C5CDC">
                            <w:pPr>
                              <w:rPr>
                                <w:rFonts w:hint="eastAsia"/>
                                <w:b/>
                                <w:bCs/>
                                <w:color w:val="FFFF00"/>
                                <w:sz w:val="24"/>
                                <w:szCs w:val="24"/>
                                <w:lang w:val="en-US" w:eastAsia="zh-CN"/>
                              </w:rPr>
                            </w:pPr>
                            <w:r>
                              <w:rPr>
                                <w:rFonts w:hint="eastAsia"/>
                                <w:b/>
                                <w:bCs/>
                                <w:color w:val="FFFF00"/>
                                <w:sz w:val="24"/>
                                <w:szCs w:val="24"/>
                                <w:lang w:val="en-US" w:eastAsia="zh-CN"/>
                              </w:rPr>
                              <w:t>器</w:t>
                            </w:r>
                          </w:p>
                          <w:p w14:paraId="66A07ED4">
                            <w:pPr>
                              <w:rPr>
                                <w:rFonts w:hint="default"/>
                                <w:b/>
                                <w:bCs/>
                                <w:sz w:val="24"/>
                                <w:szCs w:val="24"/>
                                <w:lang w:val="en-US" w:eastAsia="zh-CN"/>
                              </w:rPr>
                            </w:pPr>
                            <w:r>
                              <w:rPr>
                                <w:rFonts w:hint="eastAsia"/>
                                <w:b/>
                                <w:bCs/>
                                <w:color w:val="FFFF00"/>
                                <w:sz w:val="24"/>
                                <w:szCs w:val="24"/>
                                <w:lang w:val="en-US" w:eastAsia="zh-CN"/>
                              </w:rPr>
                              <w:t>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6.4pt;margin-top:206.3pt;height:116.25pt;width:36.75pt;rotation:1769472f;z-index:251673600;mso-width-relative:page;mso-height-relative:page;" filled="f" stroked="f" coordsize="21600,21600" o:gfxdata="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o0MGP3AAA&#10;AAwBAAAPAAAAAAAAAAEAIAAAACIAAABkcnMvZG93bnJldi54bWxQSwECFAAUAAAACACHTuJAfGig&#10;xlMCAACCBAAADgAAAAAAAAABACAAAAArAQAAZHJzL2Uyb0RvYy54bWxQSwUGAAAAAAYABgBZAQAA&#10;8AUAAAAA&#10;">
                <v:fill on="f" focussize="0,0"/>
                <v:stroke on="f" weight="0.5pt"/>
                <v:imagedata o:title=""/>
                <o:lock v:ext="edit" aspectratio="f"/>
                <v:textbox>
                  <w:txbxContent>
                    <w:p w14:paraId="589033C5">
                      <w:pPr>
                        <w:rPr>
                          <w:rFonts w:hint="eastAsia"/>
                          <w:b/>
                          <w:bCs/>
                          <w:color w:val="FFFF00"/>
                          <w:sz w:val="24"/>
                          <w:szCs w:val="24"/>
                          <w:lang w:val="en-US" w:eastAsia="zh-CN"/>
                        </w:rPr>
                      </w:pPr>
                      <w:r>
                        <w:rPr>
                          <w:rFonts w:hint="eastAsia"/>
                          <w:b/>
                          <w:bCs/>
                          <w:color w:val="FFFF00"/>
                          <w:sz w:val="24"/>
                          <w:szCs w:val="24"/>
                          <w:lang w:val="en-US" w:eastAsia="zh-CN"/>
                        </w:rPr>
                        <w:t>正</w:t>
                      </w:r>
                    </w:p>
                    <w:p w14:paraId="05D41FFC">
                      <w:pPr>
                        <w:rPr>
                          <w:rFonts w:hint="eastAsia"/>
                          <w:b/>
                          <w:bCs/>
                          <w:color w:val="FFFF00"/>
                          <w:sz w:val="24"/>
                          <w:szCs w:val="24"/>
                          <w:lang w:val="en-US" w:eastAsia="zh-CN"/>
                        </w:rPr>
                      </w:pPr>
                      <w:r>
                        <w:rPr>
                          <w:rFonts w:hint="eastAsia"/>
                          <w:b/>
                          <w:bCs/>
                          <w:color w:val="FFFF00"/>
                          <w:sz w:val="24"/>
                          <w:szCs w:val="24"/>
                          <w:lang w:val="en-US" w:eastAsia="zh-CN"/>
                        </w:rPr>
                        <w:t>光</w:t>
                      </w:r>
                    </w:p>
                    <w:p w14:paraId="71BE8BCF">
                      <w:pPr>
                        <w:rPr>
                          <w:rFonts w:hint="eastAsia"/>
                          <w:b/>
                          <w:bCs/>
                          <w:color w:val="FFFF00"/>
                          <w:sz w:val="24"/>
                          <w:szCs w:val="24"/>
                          <w:lang w:val="en-US" w:eastAsia="zh-CN"/>
                        </w:rPr>
                      </w:pPr>
                      <w:r>
                        <w:rPr>
                          <w:rFonts w:hint="eastAsia"/>
                          <w:b/>
                          <w:bCs/>
                          <w:color w:val="FFFF00"/>
                          <w:sz w:val="24"/>
                          <w:szCs w:val="24"/>
                          <w:lang w:val="en-US" w:eastAsia="zh-CN"/>
                        </w:rPr>
                        <w:t>电</w:t>
                      </w:r>
                    </w:p>
                    <w:p w14:paraId="61239FDE">
                      <w:pPr>
                        <w:rPr>
                          <w:rFonts w:hint="eastAsia"/>
                          <w:b/>
                          <w:bCs/>
                          <w:color w:val="FFFF00"/>
                          <w:sz w:val="24"/>
                          <w:szCs w:val="24"/>
                          <w:lang w:val="en-US" w:eastAsia="zh-CN"/>
                        </w:rPr>
                      </w:pPr>
                      <w:r>
                        <w:rPr>
                          <w:rFonts w:hint="eastAsia"/>
                          <w:b/>
                          <w:bCs/>
                          <w:color w:val="FFFF00"/>
                          <w:sz w:val="24"/>
                          <w:szCs w:val="24"/>
                          <w:lang w:val="en-US" w:eastAsia="zh-CN"/>
                        </w:rPr>
                        <w:t>力</w:t>
                      </w:r>
                    </w:p>
                    <w:p w14:paraId="052C5CDC">
                      <w:pPr>
                        <w:rPr>
                          <w:rFonts w:hint="eastAsia"/>
                          <w:b/>
                          <w:bCs/>
                          <w:color w:val="FFFF00"/>
                          <w:sz w:val="24"/>
                          <w:szCs w:val="24"/>
                          <w:lang w:val="en-US" w:eastAsia="zh-CN"/>
                        </w:rPr>
                      </w:pPr>
                      <w:r>
                        <w:rPr>
                          <w:rFonts w:hint="eastAsia"/>
                          <w:b/>
                          <w:bCs/>
                          <w:color w:val="FFFF00"/>
                          <w:sz w:val="24"/>
                          <w:szCs w:val="24"/>
                          <w:lang w:val="en-US" w:eastAsia="zh-CN"/>
                        </w:rPr>
                        <w:t>器</w:t>
                      </w:r>
                    </w:p>
                    <w:p w14:paraId="66A07ED4">
                      <w:pPr>
                        <w:rPr>
                          <w:rFonts w:hint="default"/>
                          <w:b/>
                          <w:bCs/>
                          <w:sz w:val="24"/>
                          <w:szCs w:val="24"/>
                          <w:lang w:val="en-US" w:eastAsia="zh-CN"/>
                        </w:rPr>
                      </w:pPr>
                      <w:r>
                        <w:rPr>
                          <w:rFonts w:hint="eastAsia"/>
                          <w:b/>
                          <w:bCs/>
                          <w:color w:val="FFFF00"/>
                          <w:sz w:val="24"/>
                          <w:szCs w:val="24"/>
                          <w:lang w:val="en-US" w:eastAsia="zh-CN"/>
                        </w:rPr>
                        <w:t>材</w:t>
                      </w:r>
                    </w:p>
                  </w:txbxContent>
                </v:textbox>
              </v:shape>
            </w:pict>
          </mc:Fallback>
        </mc:AlternateContent>
      </w:r>
      <w:r>
        <w:rPr>
          <w:rFonts w:hint="default" w:ascii="Times New Roman" w:hAnsi="Times New Roman" w:cs="Times New Roman"/>
          <w:color w:val="auto"/>
        </w:rPr>
        <w:drawing>
          <wp:anchor distT="0" distB="0" distL="114300" distR="114300" simplePos="0" relativeHeight="251672576" behindDoc="0" locked="0" layoutInCell="1" allowOverlap="1">
            <wp:simplePos x="0" y="0"/>
            <wp:positionH relativeFrom="column">
              <wp:posOffset>7854950</wp:posOffset>
            </wp:positionH>
            <wp:positionV relativeFrom="paragraph">
              <wp:posOffset>203200</wp:posOffset>
            </wp:positionV>
            <wp:extent cx="972820" cy="925195"/>
            <wp:effectExtent l="0" t="0" r="17780" b="8255"/>
            <wp:wrapNone/>
            <wp:docPr id="51" name="图片 58" descr="F:/李健伟/环评/环评资料/风玫瑰/淄川.png淄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8" descr="F:/李健伟/环评/环评资料/风玫瑰/淄川.png淄川"/>
                    <pic:cNvPicPr>
                      <a:picLocks noChangeAspect="1"/>
                    </pic:cNvPicPr>
                  </pic:nvPicPr>
                  <pic:blipFill>
                    <a:blip r:embed="rId43"/>
                    <a:srcRect l="29" r="29"/>
                    <a:stretch>
                      <a:fillRect/>
                    </a:stretch>
                  </pic:blipFill>
                  <pic:spPr>
                    <a:xfrm>
                      <a:off x="0" y="0"/>
                      <a:ext cx="972820" cy="925195"/>
                    </a:xfrm>
                    <a:prstGeom prst="rect">
                      <a:avLst/>
                    </a:prstGeom>
                    <a:noFill/>
                    <a:ln>
                      <a:noFill/>
                    </a:ln>
                  </pic:spPr>
                </pic:pic>
              </a:graphicData>
            </a:graphic>
          </wp:anchor>
        </w:drawing>
      </w:r>
      <w:r>
        <w:rPr>
          <w:rFonts w:hint="default" w:ascii="Times New Roman" w:hAnsi="Times New Roman" w:eastAsia="宋体" w:cs="Times New Roman"/>
          <w:b/>
          <w:bCs/>
          <w:color w:val="auto"/>
          <w:kern w:val="2"/>
          <w:sz w:val="24"/>
          <w:szCs w:val="24"/>
          <w:highlight w:val="none"/>
          <w:lang w:val="en-US" w:eastAsia="zh-CN" w:bidi="ar-SA"/>
        </w:rPr>
        <w:t>附图4：项目周边关系图</w:t>
      </w:r>
    </w:p>
    <w:p w14:paraId="57CE4BFC">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color w:val="auto"/>
          <w:sz w:val="21"/>
        </w:rPr>
        <mc:AlternateContent>
          <mc:Choice Requires="wps">
            <w:drawing>
              <wp:anchor distT="0" distB="0" distL="114300" distR="114300" simplePos="0" relativeHeight="251676672" behindDoc="0" locked="0" layoutInCell="1" allowOverlap="1">
                <wp:simplePos x="0" y="0"/>
                <wp:positionH relativeFrom="column">
                  <wp:posOffset>2092325</wp:posOffset>
                </wp:positionH>
                <wp:positionV relativeFrom="paragraph">
                  <wp:posOffset>3639185</wp:posOffset>
                </wp:positionV>
                <wp:extent cx="1785620" cy="580390"/>
                <wp:effectExtent l="0" t="0" r="0" b="0"/>
                <wp:wrapNone/>
                <wp:docPr id="74" name="文本框 74"/>
                <wp:cNvGraphicFramePr/>
                <a:graphic xmlns:a="http://schemas.openxmlformats.org/drawingml/2006/main">
                  <a:graphicData uri="http://schemas.microsoft.com/office/word/2010/wordprocessingShape">
                    <wps:wsp>
                      <wps:cNvSpPr txBox="1"/>
                      <wps:spPr>
                        <a:xfrm rot="1620000">
                          <a:off x="0" y="0"/>
                          <a:ext cx="1785620" cy="580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981616">
                            <w:pPr>
                              <w:rPr>
                                <w:rFonts w:hint="eastAsia"/>
                                <w:b/>
                                <w:bCs/>
                                <w:color w:val="FFFF00"/>
                                <w:sz w:val="24"/>
                                <w:szCs w:val="24"/>
                                <w:lang w:val="en-US" w:eastAsia="zh-CN"/>
                              </w:rPr>
                            </w:pPr>
                            <w:r>
                              <w:rPr>
                                <w:rFonts w:hint="eastAsia"/>
                                <w:b/>
                                <w:bCs/>
                                <w:color w:val="FFFF00"/>
                                <w:sz w:val="24"/>
                                <w:szCs w:val="24"/>
                                <w:lang w:val="en-US" w:eastAsia="zh-CN"/>
                              </w:rPr>
                              <w:t>淄博宏方制动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4.75pt;margin-top:286.55pt;height:45.7pt;width:140.6pt;rotation:1769472f;z-index:251676672;mso-width-relative:page;mso-height-relative:page;" filled="f" stroked="f" coordsize="21600,21600" o:gfxdata="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rVC+bdAAAACwEAAA8AAAAAAAAA&#10;AQAgAAAAIgAAAGRycy9kb3ducmV2LnhtbFBLAQIUABQAAAAIAIdO4kCWku8JRQIAAHYEAAAOAAAA&#10;AAAAAAEAIAAAACwBAABkcnMvZTJvRG9jLnhtbFBLBQYAAAAABgAGAFkBAADjBQAAAAA=&#10;">
                <v:fill on="f" focussize="0,0"/>
                <v:stroke on="f" weight="0.5pt"/>
                <v:imagedata o:title=""/>
                <o:lock v:ext="edit" aspectratio="f"/>
                <v:textbox>
                  <w:txbxContent>
                    <w:p w14:paraId="24981616">
                      <w:pPr>
                        <w:rPr>
                          <w:rFonts w:hint="eastAsia"/>
                          <w:b/>
                          <w:bCs/>
                          <w:color w:val="FFFF00"/>
                          <w:sz w:val="24"/>
                          <w:szCs w:val="24"/>
                          <w:lang w:val="en-US" w:eastAsia="zh-CN"/>
                        </w:rPr>
                      </w:pPr>
                      <w:r>
                        <w:rPr>
                          <w:rFonts w:hint="eastAsia"/>
                          <w:b/>
                          <w:bCs/>
                          <w:color w:val="FFFF00"/>
                          <w:sz w:val="24"/>
                          <w:szCs w:val="24"/>
                          <w:lang w:val="en-US" w:eastAsia="zh-CN"/>
                        </w:rPr>
                        <w:t>淄博宏方制动</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4624" behindDoc="0" locked="0" layoutInCell="1" allowOverlap="1">
                <wp:simplePos x="0" y="0"/>
                <wp:positionH relativeFrom="column">
                  <wp:posOffset>2602865</wp:posOffset>
                </wp:positionH>
                <wp:positionV relativeFrom="paragraph">
                  <wp:posOffset>2729230</wp:posOffset>
                </wp:positionV>
                <wp:extent cx="1188720" cy="1476375"/>
                <wp:effectExtent l="0" t="0" r="0" b="0"/>
                <wp:wrapNone/>
                <wp:docPr id="57" name="文本框 57"/>
                <wp:cNvGraphicFramePr/>
                <a:graphic xmlns:a="http://schemas.openxmlformats.org/drawingml/2006/main">
                  <a:graphicData uri="http://schemas.microsoft.com/office/word/2010/wordprocessingShape">
                    <wps:wsp>
                      <wps:cNvSpPr txBox="1"/>
                      <wps:spPr>
                        <a:xfrm rot="1620000">
                          <a:off x="0" y="0"/>
                          <a:ext cx="1188720" cy="1476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E5C752">
                            <w:pPr>
                              <w:rPr>
                                <w:rFonts w:hint="default"/>
                                <w:b/>
                                <w:bCs/>
                                <w:color w:val="FF0000"/>
                                <w:sz w:val="24"/>
                                <w:szCs w:val="24"/>
                                <w:lang w:val="en-US" w:eastAsia="zh-CN"/>
                              </w:rPr>
                            </w:pPr>
                            <w:r>
                              <w:rPr>
                                <w:rFonts w:hint="eastAsia"/>
                                <w:b/>
                                <w:bCs/>
                                <w:color w:val="FF0000"/>
                                <w:sz w:val="24"/>
                                <w:szCs w:val="24"/>
                                <w:lang w:val="en-US" w:eastAsia="zh-CN"/>
                              </w:rPr>
                              <w:t>锦明陶瓷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95pt;margin-top:214.9pt;height:116.25pt;width:93.6pt;rotation:1769472f;z-index:251674624;mso-width-relative:page;mso-height-relative:page;" filled="f" stroked="f" coordsize="21600,21600" o:gfxdata="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Qz08F3AAAAAsBAAAPAAAAAAAAAAEA&#10;IAAAACIAAABkcnMvZG93bnJldi54bWxQSwECFAAUAAAACACHTuJAUbCXsEQCAAB3BAAADgAAAAAA&#10;AAABACAAAAArAQAAZHJzL2Uyb0RvYy54bWxQSwUGAAAAAAYABgBZAQAA4QUAAAAA&#10;">
                <v:fill on="f" focussize="0,0"/>
                <v:stroke on="f" weight="0.5pt"/>
                <v:imagedata o:title=""/>
                <o:lock v:ext="edit" aspectratio="f"/>
                <v:textbox>
                  <w:txbxContent>
                    <w:p w14:paraId="6AE5C752">
                      <w:pPr>
                        <w:rPr>
                          <w:rFonts w:hint="default"/>
                          <w:b/>
                          <w:bCs/>
                          <w:color w:val="FF0000"/>
                          <w:sz w:val="24"/>
                          <w:szCs w:val="24"/>
                          <w:lang w:val="en-US" w:eastAsia="zh-CN"/>
                        </w:rPr>
                      </w:pPr>
                      <w:r>
                        <w:rPr>
                          <w:rFonts w:hint="eastAsia"/>
                          <w:b/>
                          <w:bCs/>
                          <w:color w:val="FF0000"/>
                          <w:sz w:val="24"/>
                          <w:szCs w:val="24"/>
                          <w:lang w:val="en-US" w:eastAsia="zh-CN"/>
                        </w:rPr>
                        <w:t>锦明陶瓷</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5648" behindDoc="0" locked="0" layoutInCell="1" allowOverlap="1">
                <wp:simplePos x="0" y="0"/>
                <wp:positionH relativeFrom="column">
                  <wp:posOffset>1796415</wp:posOffset>
                </wp:positionH>
                <wp:positionV relativeFrom="paragraph">
                  <wp:posOffset>2400935</wp:posOffset>
                </wp:positionV>
                <wp:extent cx="466725" cy="1476375"/>
                <wp:effectExtent l="0" t="0" r="0" b="0"/>
                <wp:wrapNone/>
                <wp:docPr id="59" name="文本框 59"/>
                <wp:cNvGraphicFramePr/>
                <a:graphic xmlns:a="http://schemas.openxmlformats.org/drawingml/2006/main">
                  <a:graphicData uri="http://schemas.microsoft.com/office/word/2010/wordprocessingShape">
                    <wps:wsp>
                      <wps:cNvSpPr txBox="1"/>
                      <wps:spPr>
                        <a:xfrm rot="1620000">
                          <a:off x="0" y="0"/>
                          <a:ext cx="466725" cy="1476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ABFF33">
                            <w:pPr>
                              <w:rPr>
                                <w:rFonts w:hint="default"/>
                                <w:b/>
                                <w:bCs/>
                                <w:sz w:val="24"/>
                                <w:szCs w:val="24"/>
                                <w:lang w:val="en-US" w:eastAsia="zh-CN"/>
                              </w:rPr>
                            </w:pPr>
                            <w:r>
                              <w:rPr>
                                <w:rFonts w:hint="eastAsia"/>
                                <w:b/>
                                <w:bCs/>
                                <w:color w:val="FFFF00"/>
                                <w:sz w:val="24"/>
                                <w:szCs w:val="24"/>
                                <w:lang w:val="en-US" w:eastAsia="zh-CN"/>
                              </w:rPr>
                              <w:t>淄博永业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1.45pt;margin-top:189.05pt;height:116.25pt;width:36.75pt;rotation:1769472f;z-index:251675648;mso-width-relative:page;mso-height-relative:page;" filled="f" stroked="f" coordsize="21600,21600" o:gfxdata="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DRfnLdAAAACwEAAA8AAAAAAAAA&#10;AQAgAAAAIgAAAGRycy9kb3ducmV2LnhtbFBLAQIUABQAAAAIAIdO4kA8WhrhRQIAAHYEAAAOAAAA&#10;AAAAAAEAIAAAACwBAABkcnMvZTJvRG9jLnhtbFBLBQYAAAAABgAGAFkBAADjBQAAAAA=&#10;">
                <v:fill on="f" focussize="0,0"/>
                <v:stroke on="f" weight="0.5pt"/>
                <v:imagedata o:title=""/>
                <o:lock v:ext="edit" aspectratio="f"/>
                <v:textbox>
                  <w:txbxContent>
                    <w:p w14:paraId="3FABFF33">
                      <w:pPr>
                        <w:rPr>
                          <w:rFonts w:hint="default"/>
                          <w:b/>
                          <w:bCs/>
                          <w:sz w:val="24"/>
                          <w:szCs w:val="24"/>
                          <w:lang w:val="en-US" w:eastAsia="zh-CN"/>
                        </w:rPr>
                      </w:pPr>
                      <w:r>
                        <w:rPr>
                          <w:rFonts w:hint="eastAsia"/>
                          <w:b/>
                          <w:bCs/>
                          <w:color w:val="FFFF00"/>
                          <w:sz w:val="24"/>
                          <w:szCs w:val="24"/>
                          <w:lang w:val="en-US" w:eastAsia="zh-CN"/>
                        </w:rPr>
                        <w:t>淄博永业</w:t>
                      </w:r>
                    </w:p>
                  </w:txbxContent>
                </v:textbox>
              </v:shape>
            </w:pict>
          </mc:Fallback>
        </mc:AlternateContent>
      </w:r>
      <w:r>
        <w:rPr>
          <w:color w:val="auto"/>
        </w:rPr>
        <w:drawing>
          <wp:inline distT="0" distB="0" distL="114300" distR="114300">
            <wp:extent cx="8818245" cy="5324475"/>
            <wp:effectExtent l="9525" t="9525" r="11430" b="19050"/>
            <wp:docPr id="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pic:cNvPicPr>
                      <a:picLocks noChangeAspect="1"/>
                    </pic:cNvPicPr>
                  </pic:nvPicPr>
                  <pic:blipFill>
                    <a:blip r:embed="rId47"/>
                    <a:srcRect l="23174"/>
                    <a:stretch>
                      <a:fillRect/>
                    </a:stretch>
                  </pic:blipFill>
                  <pic:spPr>
                    <a:xfrm>
                      <a:off x="0" y="0"/>
                      <a:ext cx="8818245" cy="5324475"/>
                    </a:xfrm>
                    <a:prstGeom prst="rect">
                      <a:avLst/>
                    </a:prstGeom>
                    <a:noFill/>
                    <a:ln>
                      <a:solidFill>
                        <a:schemeClr val="tx1"/>
                      </a:solidFill>
                    </a:ln>
                  </pic:spPr>
                </pic:pic>
              </a:graphicData>
            </a:graphic>
          </wp:inline>
        </w:drawing>
      </w:r>
    </w:p>
    <w:p w14:paraId="5D3A19D1">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color w:val="auto"/>
          <w:kern w:val="2"/>
          <w:sz w:val="24"/>
          <w:szCs w:val="24"/>
          <w:lang w:val="en-US" w:eastAsia="zh-CN" w:bidi="ar-SA"/>
        </w:rPr>
        <w:sectPr>
          <w:type w:val="continuous"/>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64AA6F28">
      <w:pPr>
        <w:jc w:val="left"/>
        <w:rPr>
          <w:rFonts w:hint="default" w:ascii="Times New Roman" w:hAnsi="Times New Roman" w:cs="Times New Roman"/>
          <w:color w:val="auto"/>
        </w:rPr>
      </w:pPr>
      <w:r>
        <w:rPr>
          <w:rFonts w:hint="default" w:ascii="Times New Roman" w:hAnsi="Times New Roman" w:eastAsia="黑体" w:cs="Times New Roman"/>
          <w:color w:val="auto"/>
          <w:sz w:val="32"/>
          <w:szCs w:val="32"/>
          <w:lang w:eastAsia="zh-CN"/>
        </w:rPr>
        <w:drawing>
          <wp:anchor distT="0" distB="0" distL="114300" distR="114300" simplePos="0" relativeHeight="251660288" behindDoc="1" locked="0" layoutInCell="1" allowOverlap="1">
            <wp:simplePos x="0" y="0"/>
            <wp:positionH relativeFrom="column">
              <wp:posOffset>-108585</wp:posOffset>
            </wp:positionH>
            <wp:positionV relativeFrom="paragraph">
              <wp:posOffset>183515</wp:posOffset>
            </wp:positionV>
            <wp:extent cx="5810250" cy="8262620"/>
            <wp:effectExtent l="0" t="0" r="0" b="5080"/>
            <wp:wrapNone/>
            <wp:docPr id="52" name="图片 47" descr="f1af4ccc4b11772bd5c1cf9c0110f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7" descr="f1af4ccc4b11772bd5c1cf9c0110ff0"/>
                    <pic:cNvPicPr>
                      <a:picLocks noChangeAspect="1"/>
                    </pic:cNvPicPr>
                  </pic:nvPicPr>
                  <pic:blipFill>
                    <a:blip r:embed="rId48"/>
                    <a:srcRect l="3522" t="3445" r="2824" b="2367"/>
                    <a:stretch>
                      <a:fillRect/>
                    </a:stretch>
                  </pic:blipFill>
                  <pic:spPr>
                    <a:xfrm>
                      <a:off x="0" y="0"/>
                      <a:ext cx="5810250" cy="8262620"/>
                    </a:xfrm>
                    <a:prstGeom prst="rect">
                      <a:avLst/>
                    </a:prstGeom>
                    <a:noFill/>
                    <a:ln>
                      <a:noFill/>
                    </a:ln>
                  </pic:spPr>
                </pic:pic>
              </a:graphicData>
            </a:graphic>
          </wp:anchor>
        </w:drawing>
      </w:r>
      <w:r>
        <w:rPr>
          <w:rFonts w:hint="default" w:ascii="Times New Roman" w:hAnsi="Times New Roman" w:eastAsia="宋体" w:cs="Times New Roman"/>
          <w:b/>
          <w:bCs/>
          <w:color w:val="auto"/>
          <w:kern w:val="2"/>
          <w:sz w:val="24"/>
          <w:szCs w:val="24"/>
          <w:lang w:val="en-US" w:eastAsia="zh-CN" w:bidi="ar-SA"/>
        </w:rPr>
        <w:t>附图5：淄博市环境管控单元图</w:t>
      </w:r>
    </w:p>
    <w:p w14:paraId="02374ABB">
      <w:pPr>
        <w:jc w:val="center"/>
        <w:rPr>
          <w:rFonts w:hint="default" w:ascii="Times New Roman" w:hAnsi="Times New Roman" w:eastAsia="宋体" w:cs="Times New Roman"/>
          <w:color w:val="auto"/>
          <w:lang w:eastAsia="zh-CN"/>
        </w:rPr>
      </w:pPr>
    </w:p>
    <w:p w14:paraId="1EAB1939">
      <w:pPr>
        <w:pStyle w:val="23"/>
        <w:ind w:left="0" w:leftChars="0" w:firstLine="0" w:firstLineChars="0"/>
        <w:jc w:val="left"/>
        <w:rPr>
          <w:rFonts w:hint="default" w:ascii="Times New Roman" w:hAnsi="Times New Roman" w:cs="Times New Roman"/>
          <w:color w:val="auto"/>
          <w:sz w:val="21"/>
        </w:rPr>
      </w:pPr>
      <w:r>
        <w:rPr>
          <w:rFonts w:hint="default" w:ascii="Times New Roman" w:hAnsi="Times New Roman" w:eastAsia="宋体" w:cs="Times New Roman"/>
          <w:b/>
          <w:bCs/>
          <w:color w:val="auto"/>
          <w:kern w:val="2"/>
          <w:sz w:val="24"/>
          <w:szCs w:val="24"/>
          <w:lang w:val="en-US" w:eastAsia="zh-CN" w:bidi="ar-SA"/>
        </w:rPr>
        <mc:AlternateContent>
          <mc:Choice Requires="wps">
            <w:drawing>
              <wp:anchor distT="0" distB="0" distL="114300" distR="114300" simplePos="0" relativeHeight="251664384" behindDoc="0" locked="0" layoutInCell="1" allowOverlap="1">
                <wp:simplePos x="0" y="0"/>
                <wp:positionH relativeFrom="column">
                  <wp:posOffset>1409700</wp:posOffset>
                </wp:positionH>
                <wp:positionV relativeFrom="paragraph">
                  <wp:posOffset>3374390</wp:posOffset>
                </wp:positionV>
                <wp:extent cx="758190" cy="258445"/>
                <wp:effectExtent l="5080" t="4445" r="379730" b="289560"/>
                <wp:wrapNone/>
                <wp:docPr id="54" name="矩形标注 54"/>
                <wp:cNvGraphicFramePr/>
                <a:graphic xmlns:a="http://schemas.openxmlformats.org/drawingml/2006/main">
                  <a:graphicData uri="http://schemas.microsoft.com/office/word/2010/wordprocessingShape">
                    <wps:wsp>
                      <wps:cNvSpPr/>
                      <wps:spPr>
                        <a:xfrm>
                          <a:off x="0" y="0"/>
                          <a:ext cx="758190" cy="258445"/>
                        </a:xfrm>
                        <a:prstGeom prst="wedgeRectCallout">
                          <a:avLst>
                            <a:gd name="adj1" fmla="val 97236"/>
                            <a:gd name="adj2" fmla="val 155407"/>
                          </a:avLst>
                        </a:prstGeom>
                        <a:noFill/>
                        <a:ln w="9525" cap="flat" cmpd="sng">
                          <a:solidFill>
                            <a:srgbClr val="000000"/>
                          </a:solidFill>
                          <a:prstDash val="solid"/>
                          <a:round/>
                          <a:headEnd type="none" w="med" len="med"/>
                          <a:tailEnd type="none" w="med" len="med"/>
                        </a:ln>
                      </wps:spPr>
                      <wps:txbx>
                        <w:txbxContent>
                          <w:p w14:paraId="3F2ECE97">
                            <w:pPr>
                              <w:jc w:val="center"/>
                              <w:rPr>
                                <w:rFonts w:hint="eastAsia" w:eastAsia="宋体"/>
                                <w:b/>
                                <w:bCs/>
                                <w:color w:val="000000"/>
                                <w:lang w:eastAsia="zh-CN"/>
                              </w:rPr>
                            </w:pPr>
                            <w:r>
                              <w:rPr>
                                <w:rFonts w:hint="eastAsia" w:ascii="黑体" w:hAnsi="黑体" w:eastAsia="黑体" w:cs="黑体"/>
                                <w:b w:val="0"/>
                                <w:bCs w:val="0"/>
                                <w:color w:val="000000"/>
                                <w:lang w:eastAsia="zh-CN"/>
                              </w:rPr>
                              <w:t>项目位置</w:t>
                            </w:r>
                          </w:p>
                        </w:txbxContent>
                      </wps:txbx>
                      <wps:bodyPr anchor="ctr" anchorCtr="0" upright="1"/>
                    </wps:wsp>
                  </a:graphicData>
                </a:graphic>
              </wp:anchor>
            </w:drawing>
          </mc:Choice>
          <mc:Fallback>
            <w:pict>
              <v:shape id="_x0000_s1026" o:spid="_x0000_s1026" o:spt="61" type="#_x0000_t61" style="position:absolute;left:0pt;margin-left:111pt;margin-top:265.7pt;height:20.35pt;width:59.7pt;z-index:251664384;v-text-anchor:middle;mso-width-relative:page;mso-height-relative:page;" filled="f" stroked="t" coordsize="21600,21600" o:gfxdata="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lQ/GR2AAAAAsBAAAPAAAAAAAAAAEAIAAAACIA&#10;AABkcnMvZG93bnJldi54bWxQSwECFAAUAAAACACHTuJAdY4NiEICAACABAAADgAAAAAAAAABACAA&#10;AAAnAQAAZHJzL2Uyb0RvYy54bWxQSwUGAAAAAAYABgBZAQAA2wUAAAAA&#10;" adj="31803,44368">
                <v:fill on="f" focussize="0,0"/>
                <v:stroke color="#000000" joinstyle="round"/>
                <v:imagedata o:title=""/>
                <o:lock v:ext="edit" aspectratio="f"/>
                <v:textbox>
                  <w:txbxContent>
                    <w:p w14:paraId="3F2ECE97">
                      <w:pPr>
                        <w:jc w:val="center"/>
                        <w:rPr>
                          <w:rFonts w:hint="eastAsia" w:eastAsia="宋体"/>
                          <w:b/>
                          <w:bCs/>
                          <w:color w:val="000000"/>
                          <w:lang w:eastAsia="zh-CN"/>
                        </w:rPr>
                      </w:pPr>
                      <w:r>
                        <w:rPr>
                          <w:rFonts w:hint="eastAsia" w:ascii="黑体" w:hAnsi="黑体" w:eastAsia="黑体" w:cs="黑体"/>
                          <w:b w:val="0"/>
                          <w:bCs w:val="0"/>
                          <w:color w:val="000000"/>
                          <w:lang w:eastAsia="zh-CN"/>
                        </w:rPr>
                        <w:t>项目位置</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66432" behindDoc="0" locked="0" layoutInCell="1" allowOverlap="1">
                <wp:simplePos x="0" y="0"/>
                <wp:positionH relativeFrom="column">
                  <wp:posOffset>2505710</wp:posOffset>
                </wp:positionH>
                <wp:positionV relativeFrom="paragraph">
                  <wp:posOffset>3874770</wp:posOffset>
                </wp:positionV>
                <wp:extent cx="76200" cy="76200"/>
                <wp:effectExtent l="0" t="0" r="0" b="0"/>
                <wp:wrapNone/>
                <wp:docPr id="62" name="矩形 62"/>
                <wp:cNvGraphicFramePr/>
                <a:graphic xmlns:a="http://schemas.openxmlformats.org/drawingml/2006/main">
                  <a:graphicData uri="http://schemas.microsoft.com/office/word/2010/wordprocessingShape">
                    <wps:wsp>
                      <wps:cNvSpPr/>
                      <wps:spPr>
                        <a:xfrm>
                          <a:off x="2651760" y="5434965"/>
                          <a:ext cx="86360" cy="86360"/>
                        </a:xfrm>
                        <a:prstGeom prst="rect">
                          <a:avLst/>
                        </a:prstGeom>
                        <a:solidFill>
                          <a:srgbClr val="FF0000"/>
                        </a:solidFill>
                        <a:ln w="12700" cap="flat" cmpd="sng" algn="ctr">
                          <a:noFill/>
                          <a:prstDash val="solid"/>
                          <a:miter lim="800000"/>
                        </a:ln>
                        <a:effectLst/>
                      </wps:spPr>
                      <wps:txbx>
                        <w:txbxContent>
                          <w:p w14:paraId="4E24F367"/>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7.3pt;margin-top:305.1pt;height:6pt;width:6pt;z-index:251666432;v-text-anchor:middle;mso-width-relative:page;mso-height-relative:page;" fillcolor="#FF0000" filled="t" stroked="f" coordsize="21600,21600" o:gfxdata="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2mmSG9QAAAALAQAADwAAAAAAAAABACAAAAAi&#10;AAAAZHJzL2Rvd25yZXYueG1sUEsBAhQAFAAAAAgAh07iQMk3lf2AAgAA7wQAAA4AAAAAAAAAAQAg&#10;AAAAIwEAAGRycy9lMm9Eb2MueG1sUEsFBgAAAAAGAAYAWQEAABUGAAAAAA==&#10;">
                <v:fill on="t" focussize="0,0"/>
                <v:stroke on="f" weight="1pt" miterlimit="8" joinstyle="miter"/>
                <v:imagedata o:title=""/>
                <o:lock v:ext="edit" aspectratio="f"/>
                <v:textbox>
                  <w:txbxContent>
                    <w:p w14:paraId="4E24F367"/>
                  </w:txbxContent>
                </v:textbox>
              </v:rect>
            </w:pict>
          </mc:Fallback>
        </mc:AlternateContent>
      </w:r>
      <w:r>
        <w:rPr>
          <w:rFonts w:hint="default" w:ascii="Times New Roman" w:hAnsi="Times New Roman" w:eastAsia="宋体" w:cs="Times New Roman"/>
          <w:b/>
          <w:bCs/>
          <w:color w:val="auto"/>
          <w:kern w:val="2"/>
          <w:sz w:val="21"/>
          <w:szCs w:val="21"/>
          <w:lang w:val="en-US" w:eastAsia="zh-CN" w:bidi="ar-SA"/>
        </w:rPr>
        <w:br w:type="page"/>
      </w:r>
    </w:p>
    <w:p w14:paraId="4C08B1B4">
      <w:pPr>
        <w:rPr>
          <w:rFonts w:hint="default" w:ascii="Times New Roman" w:hAnsi="Times New Roman"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附图</w:t>
      </w:r>
      <w:r>
        <w:rPr>
          <w:rFonts w:hint="eastAsia" w:cs="Times New Roman"/>
          <w:b/>
          <w:bCs/>
          <w:color w:val="auto"/>
          <w:kern w:val="2"/>
          <w:sz w:val="24"/>
          <w:szCs w:val="24"/>
          <w:lang w:val="en-US" w:eastAsia="zh-CN" w:bidi="ar-SA"/>
        </w:rPr>
        <w:t>6</w:t>
      </w:r>
      <w:r>
        <w:rPr>
          <w:rFonts w:hint="default" w:ascii="Times New Roman" w:hAnsi="Times New Roman" w:eastAsia="宋体" w:cs="Times New Roman"/>
          <w:b/>
          <w:bCs/>
          <w:color w:val="auto"/>
          <w:kern w:val="2"/>
          <w:sz w:val="24"/>
          <w:szCs w:val="24"/>
          <w:lang w:val="en-US" w:eastAsia="zh-CN" w:bidi="ar-SA"/>
        </w:rPr>
        <w:t>：</w:t>
      </w:r>
      <w:r>
        <w:rPr>
          <w:rFonts w:hint="eastAsia" w:cs="Times New Roman"/>
          <w:b/>
          <w:bCs/>
          <w:color w:val="auto"/>
          <w:kern w:val="2"/>
          <w:sz w:val="24"/>
          <w:szCs w:val="24"/>
          <w:lang w:val="en-US" w:eastAsia="zh-CN" w:bidi="ar-SA"/>
        </w:rPr>
        <w:t>淄博市市域国土空间控制线规划图</w:t>
      </w:r>
    </w:p>
    <w:p w14:paraId="540B938C">
      <w:pPr>
        <w:pStyle w:val="30"/>
        <w:rPr>
          <w:rFonts w:hint="default" w:ascii="Times New Roman" w:hAnsi="Times New Roman" w:cs="Times New Roman"/>
          <w:color w:val="auto"/>
          <w:lang w:val="en-US" w:eastAsia="zh-CN"/>
        </w:rPr>
      </w:pPr>
      <w:r>
        <w:rPr>
          <w:rFonts w:hint="default" w:ascii="Times New Roman" w:hAnsi="Times New Roman" w:eastAsia="宋体" w:cs="Times New Roman"/>
          <w:b/>
          <w:bCs/>
          <w:color w:val="auto"/>
          <w:kern w:val="2"/>
          <w:sz w:val="24"/>
          <w:szCs w:val="24"/>
          <w:lang w:val="en-US" w:eastAsia="zh-CN" w:bidi="ar-SA"/>
        </w:rPr>
        <mc:AlternateContent>
          <mc:Choice Requires="wps">
            <w:drawing>
              <wp:anchor distT="0" distB="0" distL="114300" distR="114300" simplePos="0" relativeHeight="251678720" behindDoc="0" locked="0" layoutInCell="1" allowOverlap="1">
                <wp:simplePos x="0" y="0"/>
                <wp:positionH relativeFrom="column">
                  <wp:posOffset>2669540</wp:posOffset>
                </wp:positionH>
                <wp:positionV relativeFrom="paragraph">
                  <wp:posOffset>3140710</wp:posOffset>
                </wp:positionV>
                <wp:extent cx="758190" cy="307340"/>
                <wp:effectExtent l="227965" t="4445" r="23495" b="221615"/>
                <wp:wrapNone/>
                <wp:docPr id="32" name="矩形标注 32"/>
                <wp:cNvGraphicFramePr/>
                <a:graphic xmlns:a="http://schemas.openxmlformats.org/drawingml/2006/main">
                  <a:graphicData uri="http://schemas.microsoft.com/office/word/2010/wordprocessingShape">
                    <wps:wsp>
                      <wps:cNvSpPr/>
                      <wps:spPr>
                        <a:xfrm>
                          <a:off x="0" y="0"/>
                          <a:ext cx="758190" cy="307340"/>
                        </a:xfrm>
                        <a:prstGeom prst="wedgeRectCallout">
                          <a:avLst>
                            <a:gd name="adj1" fmla="val -79477"/>
                            <a:gd name="adj2" fmla="val 120250"/>
                          </a:avLst>
                        </a:prstGeom>
                        <a:noFill/>
                        <a:ln w="9525" cap="flat" cmpd="sng">
                          <a:solidFill>
                            <a:srgbClr val="FF0000"/>
                          </a:solidFill>
                          <a:prstDash val="solid"/>
                          <a:round/>
                          <a:headEnd type="none" w="med" len="med"/>
                          <a:tailEnd type="none" w="med" len="med"/>
                        </a:ln>
                      </wps:spPr>
                      <wps:txbx>
                        <w:txbxContent>
                          <w:p w14:paraId="7DFFA42C">
                            <w:pPr>
                              <w:jc w:val="center"/>
                              <w:rPr>
                                <w:rFonts w:hint="eastAsia" w:ascii="黑体" w:hAnsi="黑体" w:eastAsia="黑体" w:cs="黑体"/>
                                <w:b/>
                                <w:bCs/>
                                <w:color w:val="FF0000"/>
                                <w:lang w:eastAsia="zh-CN"/>
                              </w:rPr>
                            </w:pPr>
                            <w:r>
                              <w:rPr>
                                <w:rFonts w:hint="eastAsia" w:ascii="黑体" w:hAnsi="黑体" w:eastAsia="黑体" w:cs="黑体"/>
                                <w:b w:val="0"/>
                                <w:bCs w:val="0"/>
                                <w:color w:val="FF0000"/>
                                <w:sz w:val="22"/>
                                <w:szCs w:val="28"/>
                                <w:lang w:eastAsia="zh-CN"/>
                              </w:rPr>
                              <w:t>项目位置</w:t>
                            </w:r>
                          </w:p>
                        </w:txbxContent>
                      </wps:txbx>
                      <wps:bodyPr anchor="ctr" anchorCtr="0" upright="1"/>
                    </wps:wsp>
                  </a:graphicData>
                </a:graphic>
              </wp:anchor>
            </w:drawing>
          </mc:Choice>
          <mc:Fallback>
            <w:pict>
              <v:shape id="_x0000_s1026" o:spid="_x0000_s1026" o:spt="61" type="#_x0000_t61" style="position:absolute;left:0pt;margin-left:210.2pt;margin-top:247.3pt;height:24.2pt;width:59.7pt;z-index:251678720;v-text-anchor:middle;mso-width-relative:page;mso-height-relative:page;" filled="f" stroked="t" coordsize="21600,21600" o:gfxdata="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vdz4nWAAAACwEAAA8AAAAAAAAAAQAgAAAA&#10;IgAAAGRycy9kb3ducmV2LnhtbFBLAQIUABQAAAAIAIdO4kC3dfZzRgIAAIEEAAAOAAAAAAAAAAEA&#10;IAAAACUBAABkcnMvZTJvRG9jLnhtbFBLBQYAAAAABgAGAFkBAADdBQAAAAA=&#10;" adj="-6367,36774">
                <v:fill on="f" focussize="0,0"/>
                <v:stroke color="#FF0000" joinstyle="round"/>
                <v:imagedata o:title=""/>
                <o:lock v:ext="edit" aspectratio="f"/>
                <v:textbox>
                  <w:txbxContent>
                    <w:p w14:paraId="7DFFA42C">
                      <w:pPr>
                        <w:jc w:val="center"/>
                        <w:rPr>
                          <w:rFonts w:hint="eastAsia" w:ascii="黑体" w:hAnsi="黑体" w:eastAsia="黑体" w:cs="黑体"/>
                          <w:b/>
                          <w:bCs/>
                          <w:color w:val="FF0000"/>
                          <w:lang w:eastAsia="zh-CN"/>
                        </w:rPr>
                      </w:pPr>
                      <w:r>
                        <w:rPr>
                          <w:rFonts w:hint="eastAsia" w:ascii="黑体" w:hAnsi="黑体" w:eastAsia="黑体" w:cs="黑体"/>
                          <w:b w:val="0"/>
                          <w:bCs w:val="0"/>
                          <w:color w:val="FF0000"/>
                          <w:sz w:val="22"/>
                          <w:szCs w:val="28"/>
                          <w:lang w:eastAsia="zh-CN"/>
                        </w:rPr>
                        <w:t>项目位置</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9744" behindDoc="0" locked="0" layoutInCell="1" allowOverlap="1">
                <wp:simplePos x="0" y="0"/>
                <wp:positionH relativeFrom="column">
                  <wp:posOffset>2368550</wp:posOffset>
                </wp:positionH>
                <wp:positionV relativeFrom="paragraph">
                  <wp:posOffset>3639820</wp:posOffset>
                </wp:positionV>
                <wp:extent cx="75565" cy="75565"/>
                <wp:effectExtent l="0" t="0" r="635" b="635"/>
                <wp:wrapNone/>
                <wp:docPr id="33" name="椭圆 33"/>
                <wp:cNvGraphicFramePr/>
                <a:graphic xmlns:a="http://schemas.openxmlformats.org/drawingml/2006/main">
                  <a:graphicData uri="http://schemas.microsoft.com/office/word/2010/wordprocessingShape">
                    <wps:wsp>
                      <wps:cNvSpPr/>
                      <wps:spPr>
                        <a:xfrm>
                          <a:off x="2854960" y="4879340"/>
                          <a:ext cx="75565" cy="75565"/>
                        </a:xfrm>
                        <a:prstGeom prst="ellipse">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20021E9">
                            <w:pPr>
                              <w:jc w:val="center"/>
                              <w:rPr>
                                <w:rFonts w:hint="eastAsia" w:eastAsia="宋体"/>
                                <w:lang w:val="en-US" w:eastAsia="zh-CN"/>
                              </w:rPr>
                            </w:pPr>
                            <w:r>
                              <w:rPr>
                                <w:rFonts w:hint="eastAsia"/>
                                <w:lang w:val="en-US" w:eastAsia="zh-CN"/>
                              </w:rPr>
                              <w:t>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6.5pt;margin-top:286.6pt;height:5.95pt;width:5.95pt;z-index:251679744;v-text-anchor:middle;mso-width-relative:page;mso-height-relative:page;" fillcolor="#FF0000" filled="t" stroked="f" coordsize="21600,21600" o:gfxdata="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euhUp3AAAAAsBAAAPAAAAAAAAAAEAIAAAACIAAABkcnMv&#10;ZG93bnJldi54bWxQSwECFAAUAAAACACHTuJAH8ZLGXECAADNBAAADgAAAAAAAAABACAAAAArAQAA&#10;ZHJzL2Uyb0RvYy54bWxQSwUGAAAAAAYABgBZAQAADgYAAAAA&#10;">
                <v:fill on="t" focussize="0,0"/>
                <v:stroke on="f" weight="2pt"/>
                <v:imagedata o:title=""/>
                <o:lock v:ext="edit" aspectratio="f"/>
                <v:textbox>
                  <w:txbxContent>
                    <w:p w14:paraId="320021E9">
                      <w:pPr>
                        <w:jc w:val="center"/>
                        <w:rPr>
                          <w:rFonts w:hint="eastAsia" w:eastAsia="宋体"/>
                          <w:lang w:val="en-US" w:eastAsia="zh-CN"/>
                        </w:rPr>
                      </w:pPr>
                      <w:r>
                        <w:rPr>
                          <w:rFonts w:hint="eastAsia"/>
                          <w:lang w:val="en-US" w:eastAsia="zh-CN"/>
                        </w:rPr>
                        <w:t>0</w:t>
                      </w:r>
                    </w:p>
                  </w:txbxContent>
                </v:textbox>
              </v:shape>
            </w:pict>
          </mc:Fallback>
        </mc:AlternateContent>
      </w:r>
      <w:r>
        <w:rPr>
          <w:rFonts w:hint="default" w:ascii="Times New Roman" w:hAnsi="Times New Roman" w:cs="Times New Roman"/>
          <w:color w:val="auto"/>
          <w:lang w:val="en-US" w:eastAsia="zh-CN"/>
        </w:rPr>
        <w:drawing>
          <wp:inline distT="0" distB="0" distL="114300" distR="114300">
            <wp:extent cx="5612130" cy="7792720"/>
            <wp:effectExtent l="0" t="0" r="7620" b="17780"/>
            <wp:docPr id="34" name="图片 34" descr="三区三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三区三线1"/>
                    <pic:cNvPicPr>
                      <a:picLocks noChangeAspect="1"/>
                    </pic:cNvPicPr>
                  </pic:nvPicPr>
                  <pic:blipFill>
                    <a:blip r:embed="rId49"/>
                    <a:stretch>
                      <a:fillRect/>
                    </a:stretch>
                  </pic:blipFill>
                  <pic:spPr>
                    <a:xfrm>
                      <a:off x="0" y="0"/>
                      <a:ext cx="5612130" cy="7792720"/>
                    </a:xfrm>
                    <a:prstGeom prst="rect">
                      <a:avLst/>
                    </a:prstGeom>
                  </pic:spPr>
                </pic:pic>
              </a:graphicData>
            </a:graphic>
          </wp:inline>
        </w:drawing>
      </w:r>
    </w:p>
    <w:sectPr>
      <w:footerReference r:id="rId9"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88"/>
    <w:family w:val="decorative"/>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新宋体">
    <w:panose1 w:val="02010609030101010101"/>
    <w:charset w:val="86"/>
    <w:family w:val="modern"/>
    <w:pitch w:val="default"/>
    <w:sig w:usb0="00000003" w:usb1="288F0000" w:usb2="00000006" w:usb3="00000000" w:csb0="00040001" w:csb1="00000000"/>
  </w:font>
  <w:font w:name="Times New Roman Greek">
    <w:altName w:val="Times New Roman"/>
    <w:panose1 w:val="00000000000000000000"/>
    <w:charset w:val="A1"/>
    <w:family w:val="auto"/>
    <w:pitch w:val="default"/>
    <w:sig w:usb0="00000000" w:usb1="00000000" w:usb2="00000000" w:usb3="00000000" w:csb0="00000008"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679EE1">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DF387F">
    <w:pPr>
      <w:pStyle w:val="19"/>
      <w:framePr w:wrap="around" w:vAnchor="text" w:hAnchor="margin" w:xAlign="center" w:y="1"/>
      <w:rPr>
        <w:rStyle w:val="27"/>
      </w:rPr>
    </w:pPr>
    <w:r>
      <w:fldChar w:fldCharType="begin"/>
    </w:r>
    <w:r>
      <w:rPr>
        <w:rStyle w:val="27"/>
      </w:rPr>
      <w:instrText xml:space="preserve">PAGE  </w:instrText>
    </w:r>
    <w:r>
      <w:fldChar w:fldCharType="end"/>
    </w:r>
  </w:p>
  <w:p w14:paraId="74B51D6D">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58CEF1">
    <w:pPr>
      <w:pStyle w:val="19"/>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FFD2E6B">
                          <w:pPr>
                            <w:pStyle w:val="19"/>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LsTz5zgAQAAwQMAAA4AAAAA&#10;AAAAAQAgAAAAHgEAAGRycy9lMm9Eb2MueG1sUEsFBgAAAAAGAAYAWQEAAHAFAAAAAA==&#10;">
              <v:fill on="f" focussize="0,0"/>
              <v:stroke on="f"/>
              <v:imagedata o:title=""/>
              <o:lock v:ext="edit" aspectratio="f"/>
              <v:textbox inset="0mm,0mm,0mm,0mm" style="mso-fit-shape-to-text:t;">
                <w:txbxContent>
                  <w:p w14:paraId="6FFD2E6B">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E98A5B">
    <w:pPr>
      <w:pStyle w:val="19"/>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0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517CC41">
                          <w:pPr>
                            <w:pStyle w:val="19"/>
                          </w:pPr>
                          <w:r>
                            <w:fldChar w:fldCharType="begin"/>
                          </w:r>
                          <w:r>
                            <w:instrText xml:space="preserve"> PAGE  \* MERGEFORMAT </w:instrText>
                          </w:r>
                          <w:r>
                            <w:fldChar w:fldCharType="separate"/>
                          </w:r>
                          <w:r>
                            <w:t>2</w:t>
                          </w:r>
                          <w:r>
                            <w:fldChar w:fldCharType="end"/>
                          </w:r>
                        </w:p>
                      </w:txbxContent>
                    </wps:txbx>
                    <wps:bodyPr vert="horz" wrap="none" lIns="0" tIns="0" rIns="0" bIns="0" anchor="t" anchorCtr="0" upright="0">
                      <a:spAutoFit/>
                    </wps:bodyPr>
                  </wps:wsp>
                </a:graphicData>
              </a:graphic>
            </wp:anchor>
          </w:drawing>
        </mc:Choice>
        <mc:Fallback>
          <w:pict>
            <v:shape id="文本框 103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I3Cw+zgAQAAwQMAAA4AAAAA&#10;AAAAAQAgAAAAHgEAAGRycy9lMm9Eb2MueG1sUEsFBgAAAAAGAAYAWQEAAHAFAAAAAA==&#10;">
              <v:fill on="f" focussize="0,0"/>
              <v:stroke on="f"/>
              <v:imagedata o:title=""/>
              <o:lock v:ext="edit" aspectratio="f"/>
              <v:textbox inset="0mm,0mm,0mm,0mm" style="mso-fit-shape-to-text:t;">
                <w:txbxContent>
                  <w:p w14:paraId="7517CC41">
                    <w:pPr>
                      <w:pStyle w:val="1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5DC35F">
    <w:pPr>
      <w:pStyle w:val="19"/>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10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184E39A">
                          <w:pPr>
                            <w:pStyle w:val="19"/>
                          </w:pPr>
                          <w:r>
                            <w:fldChar w:fldCharType="begin"/>
                          </w:r>
                          <w:r>
                            <w:instrText xml:space="preserve"> PAGE  \* MERGEFORMAT </w:instrText>
                          </w:r>
                          <w:r>
                            <w:fldChar w:fldCharType="separate"/>
                          </w:r>
                          <w:r>
                            <w:t>8</w:t>
                          </w:r>
                          <w:r>
                            <w:fldChar w:fldCharType="end"/>
                          </w:r>
                        </w:p>
                      </w:txbxContent>
                    </wps:txbx>
                    <wps:bodyPr vert="horz" wrap="none" lIns="0" tIns="0" rIns="0" bIns="0" anchor="t" anchorCtr="0" upright="0">
                      <a:spAutoFit/>
                    </wps:bodyPr>
                  </wps:wsp>
                </a:graphicData>
              </a:graphic>
            </wp:anchor>
          </w:drawing>
        </mc:Choice>
        <mc:Fallback>
          <w:pict>
            <v:shape id="文本框 1035"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B4IpgX4QEAAMEDAAAOAAAA&#10;AAAAAAEAIAAAAB4BAABkcnMvZTJvRG9jLnhtbFBLBQYAAAAABgAGAFkBAABxBQAAAAA=&#10;">
              <v:fill on="f" focussize="0,0"/>
              <v:stroke on="f"/>
              <v:imagedata o:title=""/>
              <o:lock v:ext="edit" aspectratio="f"/>
              <v:textbox inset="0mm,0mm,0mm,0mm" style="mso-fit-shape-to-text:t;">
                <w:txbxContent>
                  <w:p w14:paraId="7184E39A">
                    <w:pPr>
                      <w:pStyle w:val="19"/>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FD46C">
    <w:pPr>
      <w:pStyle w:val="19"/>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69AA3D">
    <w:pPr>
      <w:pStyle w:val="19"/>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716E0A"/>
    <w:multiLevelType w:val="singleLevel"/>
    <w:tmpl w:val="8B716E0A"/>
    <w:lvl w:ilvl="0" w:tentative="0">
      <w:start w:val="2"/>
      <w:numFmt w:val="decimal"/>
      <w:suff w:val="nothing"/>
      <w:lvlText w:val="（%1）"/>
      <w:lvlJc w:val="left"/>
    </w:lvl>
  </w:abstractNum>
  <w:abstractNum w:abstractNumId="1">
    <w:nsid w:val="EE0D2F72"/>
    <w:multiLevelType w:val="singleLevel"/>
    <w:tmpl w:val="EE0D2F72"/>
    <w:lvl w:ilvl="0" w:tentative="0">
      <w:start w:val="1"/>
      <w:numFmt w:val="decimal"/>
      <w:suff w:val="nothing"/>
      <w:lvlText w:val="%1、"/>
      <w:lvlJc w:val="left"/>
    </w:lvl>
  </w:abstractNum>
  <w:abstractNum w:abstractNumId="2">
    <w:nsid w:val="245AFA31"/>
    <w:multiLevelType w:val="singleLevel"/>
    <w:tmpl w:val="245AFA31"/>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3">
    <w:nsid w:val="7700987B"/>
    <w:multiLevelType w:val="singleLevel"/>
    <w:tmpl w:val="7700987B"/>
    <w:lvl w:ilvl="0" w:tentative="0">
      <w:start w:val="1"/>
      <w:numFmt w:val="decimal"/>
      <w:suff w:val="nothing"/>
      <w:lvlText w:val="%1、"/>
      <w:lvlJc w:val="left"/>
    </w:lvl>
  </w:abstractNum>
  <w:abstractNum w:abstractNumId="4">
    <w:nsid w:val="7BB89EEA"/>
    <w:multiLevelType w:val="singleLevel"/>
    <w:tmpl w:val="7BB89EEA"/>
    <w:lvl w:ilvl="0" w:tentative="0">
      <w:start w:val="1"/>
      <w:numFmt w:val="decimal"/>
      <w:suff w:val="nothing"/>
      <w:lvlText w:val="（%1）"/>
      <w:lvlJc w:val="left"/>
    </w:lvl>
  </w:abstractNum>
  <w:num w:numId="1">
    <w:abstractNumId w:val="2"/>
  </w:num>
  <w:num w:numId="2">
    <w:abstractNumId w:val="4"/>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E3ZTJkMDk2OTdjMTg4ZjI3M2FmZGRjZDc2NmEyOTQifQ=="/>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08C3"/>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0360BD"/>
    <w:rsid w:val="011614FB"/>
    <w:rsid w:val="01290F7E"/>
    <w:rsid w:val="015D1E09"/>
    <w:rsid w:val="01874D45"/>
    <w:rsid w:val="025C27CD"/>
    <w:rsid w:val="02697903"/>
    <w:rsid w:val="02F96569"/>
    <w:rsid w:val="033B4BE7"/>
    <w:rsid w:val="03416159"/>
    <w:rsid w:val="03D251BA"/>
    <w:rsid w:val="03EA7B21"/>
    <w:rsid w:val="04363AE8"/>
    <w:rsid w:val="0548762F"/>
    <w:rsid w:val="05F83EAE"/>
    <w:rsid w:val="06377084"/>
    <w:rsid w:val="063E7D85"/>
    <w:rsid w:val="06D7510F"/>
    <w:rsid w:val="06E33B5C"/>
    <w:rsid w:val="07293586"/>
    <w:rsid w:val="07295285"/>
    <w:rsid w:val="07636392"/>
    <w:rsid w:val="076E3F95"/>
    <w:rsid w:val="07770C56"/>
    <w:rsid w:val="07C80EFB"/>
    <w:rsid w:val="07D4164E"/>
    <w:rsid w:val="086D4AD0"/>
    <w:rsid w:val="092217DD"/>
    <w:rsid w:val="093A7294"/>
    <w:rsid w:val="0A263993"/>
    <w:rsid w:val="0A2D3AC2"/>
    <w:rsid w:val="0AA755DF"/>
    <w:rsid w:val="0AE86FF0"/>
    <w:rsid w:val="0B120D44"/>
    <w:rsid w:val="0BD27BF6"/>
    <w:rsid w:val="0C3B3C7D"/>
    <w:rsid w:val="0C945850"/>
    <w:rsid w:val="0CAB2EAE"/>
    <w:rsid w:val="0D100648"/>
    <w:rsid w:val="0D621C7D"/>
    <w:rsid w:val="0E73034D"/>
    <w:rsid w:val="0EB350DA"/>
    <w:rsid w:val="0F13775A"/>
    <w:rsid w:val="0F3501E1"/>
    <w:rsid w:val="0F5F45FE"/>
    <w:rsid w:val="0F9A112B"/>
    <w:rsid w:val="0F9E0BB7"/>
    <w:rsid w:val="106D2F64"/>
    <w:rsid w:val="109F4AD4"/>
    <w:rsid w:val="10B63710"/>
    <w:rsid w:val="10F10820"/>
    <w:rsid w:val="111C2F7A"/>
    <w:rsid w:val="11665CA1"/>
    <w:rsid w:val="116F4196"/>
    <w:rsid w:val="12524084"/>
    <w:rsid w:val="13951726"/>
    <w:rsid w:val="140B52A5"/>
    <w:rsid w:val="14396509"/>
    <w:rsid w:val="14DD2C3C"/>
    <w:rsid w:val="16087E1D"/>
    <w:rsid w:val="164002A0"/>
    <w:rsid w:val="17701D14"/>
    <w:rsid w:val="17735226"/>
    <w:rsid w:val="188D7D18"/>
    <w:rsid w:val="189F624C"/>
    <w:rsid w:val="19C725DC"/>
    <w:rsid w:val="1A1C66C0"/>
    <w:rsid w:val="1A42393B"/>
    <w:rsid w:val="1AAD45DE"/>
    <w:rsid w:val="1B046F80"/>
    <w:rsid w:val="1B3267B5"/>
    <w:rsid w:val="1B40161D"/>
    <w:rsid w:val="1B441859"/>
    <w:rsid w:val="1B527E64"/>
    <w:rsid w:val="1B6606B1"/>
    <w:rsid w:val="1C5E7925"/>
    <w:rsid w:val="1C631597"/>
    <w:rsid w:val="1CFD070F"/>
    <w:rsid w:val="1D2E3157"/>
    <w:rsid w:val="1D490CBE"/>
    <w:rsid w:val="1D5F6196"/>
    <w:rsid w:val="1D6132A5"/>
    <w:rsid w:val="1D8965DF"/>
    <w:rsid w:val="1D8E56D5"/>
    <w:rsid w:val="1E5D0B90"/>
    <w:rsid w:val="1E72101E"/>
    <w:rsid w:val="1E7A43DA"/>
    <w:rsid w:val="1EDB37F9"/>
    <w:rsid w:val="1EEA2AA6"/>
    <w:rsid w:val="1FC94CE1"/>
    <w:rsid w:val="1FE7539E"/>
    <w:rsid w:val="20671BE0"/>
    <w:rsid w:val="20963CB8"/>
    <w:rsid w:val="209B0641"/>
    <w:rsid w:val="20A81A1B"/>
    <w:rsid w:val="20B07FB6"/>
    <w:rsid w:val="20B646FB"/>
    <w:rsid w:val="211B36CD"/>
    <w:rsid w:val="213B74B1"/>
    <w:rsid w:val="214A4CF6"/>
    <w:rsid w:val="215A2310"/>
    <w:rsid w:val="21A2792A"/>
    <w:rsid w:val="21DE318A"/>
    <w:rsid w:val="21EF5B80"/>
    <w:rsid w:val="21F506E7"/>
    <w:rsid w:val="22576990"/>
    <w:rsid w:val="229648AB"/>
    <w:rsid w:val="22F47480"/>
    <w:rsid w:val="23DE1C48"/>
    <w:rsid w:val="240210CD"/>
    <w:rsid w:val="24BF09F7"/>
    <w:rsid w:val="24DE1906"/>
    <w:rsid w:val="252D53FE"/>
    <w:rsid w:val="25B47A41"/>
    <w:rsid w:val="25EC2D81"/>
    <w:rsid w:val="264834DB"/>
    <w:rsid w:val="26C32B62"/>
    <w:rsid w:val="277057A2"/>
    <w:rsid w:val="28E026ED"/>
    <w:rsid w:val="290B0BF0"/>
    <w:rsid w:val="29206EB8"/>
    <w:rsid w:val="292E6041"/>
    <w:rsid w:val="2955745C"/>
    <w:rsid w:val="29595666"/>
    <w:rsid w:val="297A2328"/>
    <w:rsid w:val="29874881"/>
    <w:rsid w:val="29A0718A"/>
    <w:rsid w:val="29E325E0"/>
    <w:rsid w:val="2A452503"/>
    <w:rsid w:val="2BA936A8"/>
    <w:rsid w:val="2C315A5A"/>
    <w:rsid w:val="2C4B1C25"/>
    <w:rsid w:val="2CC258A2"/>
    <w:rsid w:val="2CE6717A"/>
    <w:rsid w:val="2D9E56F5"/>
    <w:rsid w:val="2E667F96"/>
    <w:rsid w:val="2E8226AB"/>
    <w:rsid w:val="2EAF4FA7"/>
    <w:rsid w:val="2F530A11"/>
    <w:rsid w:val="2FD065E6"/>
    <w:rsid w:val="2FD41CBE"/>
    <w:rsid w:val="2FD96870"/>
    <w:rsid w:val="30055F99"/>
    <w:rsid w:val="30580BC9"/>
    <w:rsid w:val="305E3F41"/>
    <w:rsid w:val="311C71F7"/>
    <w:rsid w:val="311E2ED7"/>
    <w:rsid w:val="315619EE"/>
    <w:rsid w:val="315C449C"/>
    <w:rsid w:val="31B82709"/>
    <w:rsid w:val="31D05482"/>
    <w:rsid w:val="32400B34"/>
    <w:rsid w:val="3297689D"/>
    <w:rsid w:val="329E6876"/>
    <w:rsid w:val="32C23E9E"/>
    <w:rsid w:val="333015F2"/>
    <w:rsid w:val="334B6320"/>
    <w:rsid w:val="339F6B72"/>
    <w:rsid w:val="33D934D4"/>
    <w:rsid w:val="33FE2F6A"/>
    <w:rsid w:val="340E07E5"/>
    <w:rsid w:val="34235BF7"/>
    <w:rsid w:val="34B34216"/>
    <w:rsid w:val="358C5FA8"/>
    <w:rsid w:val="35B043B4"/>
    <w:rsid w:val="35C15DF1"/>
    <w:rsid w:val="36074A7F"/>
    <w:rsid w:val="36923549"/>
    <w:rsid w:val="36B75FBF"/>
    <w:rsid w:val="36BD0C45"/>
    <w:rsid w:val="36FF52A9"/>
    <w:rsid w:val="37441A9D"/>
    <w:rsid w:val="37A205AD"/>
    <w:rsid w:val="37E00298"/>
    <w:rsid w:val="386106B9"/>
    <w:rsid w:val="38B302F9"/>
    <w:rsid w:val="38C41BD9"/>
    <w:rsid w:val="38F12CD3"/>
    <w:rsid w:val="38F937CC"/>
    <w:rsid w:val="38F94775"/>
    <w:rsid w:val="390878C0"/>
    <w:rsid w:val="391F00CC"/>
    <w:rsid w:val="392971ED"/>
    <w:rsid w:val="39325651"/>
    <w:rsid w:val="3A872856"/>
    <w:rsid w:val="3B0B33E3"/>
    <w:rsid w:val="3B3763D1"/>
    <w:rsid w:val="3B662C0C"/>
    <w:rsid w:val="3B707CFC"/>
    <w:rsid w:val="3C060F9B"/>
    <w:rsid w:val="3C2F6E1E"/>
    <w:rsid w:val="3C4F64BA"/>
    <w:rsid w:val="3CBC767F"/>
    <w:rsid w:val="3CDA245A"/>
    <w:rsid w:val="3D1E06B7"/>
    <w:rsid w:val="3D7B3D3F"/>
    <w:rsid w:val="3E147C59"/>
    <w:rsid w:val="3E70020A"/>
    <w:rsid w:val="3EDA0523"/>
    <w:rsid w:val="3FCA76B9"/>
    <w:rsid w:val="3FCC0881"/>
    <w:rsid w:val="3FEB57D3"/>
    <w:rsid w:val="40221DDB"/>
    <w:rsid w:val="407A6407"/>
    <w:rsid w:val="408829FA"/>
    <w:rsid w:val="4200449D"/>
    <w:rsid w:val="423A3BCC"/>
    <w:rsid w:val="424E57D2"/>
    <w:rsid w:val="42B26C49"/>
    <w:rsid w:val="433A6FE6"/>
    <w:rsid w:val="43480868"/>
    <w:rsid w:val="4350713C"/>
    <w:rsid w:val="436653E0"/>
    <w:rsid w:val="43C4431A"/>
    <w:rsid w:val="43EF2D90"/>
    <w:rsid w:val="43FB4A63"/>
    <w:rsid w:val="44997EC2"/>
    <w:rsid w:val="44B951CC"/>
    <w:rsid w:val="44C4421D"/>
    <w:rsid w:val="44CD14E0"/>
    <w:rsid w:val="44F20B0B"/>
    <w:rsid w:val="44FC588B"/>
    <w:rsid w:val="452E5F4C"/>
    <w:rsid w:val="45612018"/>
    <w:rsid w:val="45694231"/>
    <w:rsid w:val="457B0AF4"/>
    <w:rsid w:val="458946E9"/>
    <w:rsid w:val="45A47C0E"/>
    <w:rsid w:val="46342CF6"/>
    <w:rsid w:val="46577FD6"/>
    <w:rsid w:val="46D955A7"/>
    <w:rsid w:val="47133957"/>
    <w:rsid w:val="47236942"/>
    <w:rsid w:val="47914CDB"/>
    <w:rsid w:val="47A07E0C"/>
    <w:rsid w:val="47BA41C1"/>
    <w:rsid w:val="48475245"/>
    <w:rsid w:val="4870272E"/>
    <w:rsid w:val="48B63E7D"/>
    <w:rsid w:val="49C84BA9"/>
    <w:rsid w:val="49DC7715"/>
    <w:rsid w:val="4A023139"/>
    <w:rsid w:val="4A47569E"/>
    <w:rsid w:val="4A7B576F"/>
    <w:rsid w:val="4AF561A9"/>
    <w:rsid w:val="4B241572"/>
    <w:rsid w:val="4C4A0649"/>
    <w:rsid w:val="4C7E5ECA"/>
    <w:rsid w:val="4C876AA5"/>
    <w:rsid w:val="4D045D52"/>
    <w:rsid w:val="4D0E00FB"/>
    <w:rsid w:val="4D176606"/>
    <w:rsid w:val="4D536382"/>
    <w:rsid w:val="4DEC4FB0"/>
    <w:rsid w:val="4E075D8A"/>
    <w:rsid w:val="4E7E5848"/>
    <w:rsid w:val="4EAE1246"/>
    <w:rsid w:val="4EC00FAD"/>
    <w:rsid w:val="4EF43951"/>
    <w:rsid w:val="4F9843DC"/>
    <w:rsid w:val="4FC62A8C"/>
    <w:rsid w:val="4FE20F0D"/>
    <w:rsid w:val="4FE51552"/>
    <w:rsid w:val="5023004A"/>
    <w:rsid w:val="50504C4B"/>
    <w:rsid w:val="5051105B"/>
    <w:rsid w:val="505F6435"/>
    <w:rsid w:val="509C6E7C"/>
    <w:rsid w:val="50C259A9"/>
    <w:rsid w:val="511033E7"/>
    <w:rsid w:val="5162104E"/>
    <w:rsid w:val="51870A14"/>
    <w:rsid w:val="5254224F"/>
    <w:rsid w:val="53A039CC"/>
    <w:rsid w:val="53A1505A"/>
    <w:rsid w:val="54063E08"/>
    <w:rsid w:val="54216390"/>
    <w:rsid w:val="543437E8"/>
    <w:rsid w:val="549C661D"/>
    <w:rsid w:val="54F73313"/>
    <w:rsid w:val="54F80955"/>
    <w:rsid w:val="555170A7"/>
    <w:rsid w:val="55800ECD"/>
    <w:rsid w:val="5587536D"/>
    <w:rsid w:val="559B174B"/>
    <w:rsid w:val="55CE0CF4"/>
    <w:rsid w:val="55DC5120"/>
    <w:rsid w:val="56B22A9C"/>
    <w:rsid w:val="56F24C1F"/>
    <w:rsid w:val="571220C8"/>
    <w:rsid w:val="57276214"/>
    <w:rsid w:val="57B72A76"/>
    <w:rsid w:val="57C3426C"/>
    <w:rsid w:val="57CE1F93"/>
    <w:rsid w:val="588743D1"/>
    <w:rsid w:val="5887701A"/>
    <w:rsid w:val="58B70530"/>
    <w:rsid w:val="59763330"/>
    <w:rsid w:val="59C0439F"/>
    <w:rsid w:val="5A1E1882"/>
    <w:rsid w:val="5ABE2233"/>
    <w:rsid w:val="5B9C33A6"/>
    <w:rsid w:val="5BDF5D95"/>
    <w:rsid w:val="5BFE7528"/>
    <w:rsid w:val="5D066D29"/>
    <w:rsid w:val="5DBE7288"/>
    <w:rsid w:val="5E2467F1"/>
    <w:rsid w:val="5E996241"/>
    <w:rsid w:val="5EBD65BF"/>
    <w:rsid w:val="5F1A2B43"/>
    <w:rsid w:val="5F5C5FB8"/>
    <w:rsid w:val="5FB837BB"/>
    <w:rsid w:val="60CC405A"/>
    <w:rsid w:val="60E15B0B"/>
    <w:rsid w:val="61023A6B"/>
    <w:rsid w:val="61E215D8"/>
    <w:rsid w:val="61E66CAD"/>
    <w:rsid w:val="621B3775"/>
    <w:rsid w:val="62364782"/>
    <w:rsid w:val="628218E8"/>
    <w:rsid w:val="62D76923"/>
    <w:rsid w:val="62DF6883"/>
    <w:rsid w:val="63547D26"/>
    <w:rsid w:val="6394356A"/>
    <w:rsid w:val="63C61B2C"/>
    <w:rsid w:val="63CE60C7"/>
    <w:rsid w:val="63D40BE9"/>
    <w:rsid w:val="63FF0976"/>
    <w:rsid w:val="64102431"/>
    <w:rsid w:val="64A5243A"/>
    <w:rsid w:val="64F531DE"/>
    <w:rsid w:val="652E28CE"/>
    <w:rsid w:val="65373578"/>
    <w:rsid w:val="655E6BFB"/>
    <w:rsid w:val="65923CC7"/>
    <w:rsid w:val="664450F8"/>
    <w:rsid w:val="66DF1ABD"/>
    <w:rsid w:val="671F124A"/>
    <w:rsid w:val="677A33C6"/>
    <w:rsid w:val="681A7B2C"/>
    <w:rsid w:val="681F6961"/>
    <w:rsid w:val="685F5B6F"/>
    <w:rsid w:val="68610A2F"/>
    <w:rsid w:val="68805514"/>
    <w:rsid w:val="68A923A0"/>
    <w:rsid w:val="69316E2F"/>
    <w:rsid w:val="694E2071"/>
    <w:rsid w:val="69625558"/>
    <w:rsid w:val="69766163"/>
    <w:rsid w:val="697A3B33"/>
    <w:rsid w:val="698A2A90"/>
    <w:rsid w:val="69D44760"/>
    <w:rsid w:val="69DC03AA"/>
    <w:rsid w:val="6A12007A"/>
    <w:rsid w:val="6A520EC7"/>
    <w:rsid w:val="6AF87E20"/>
    <w:rsid w:val="6B322639"/>
    <w:rsid w:val="6C636C38"/>
    <w:rsid w:val="6D551CE1"/>
    <w:rsid w:val="6DB34098"/>
    <w:rsid w:val="6DB545B6"/>
    <w:rsid w:val="6DE02FB4"/>
    <w:rsid w:val="6E514CED"/>
    <w:rsid w:val="6E7170D0"/>
    <w:rsid w:val="6EB563D5"/>
    <w:rsid w:val="6ED92677"/>
    <w:rsid w:val="6F225983"/>
    <w:rsid w:val="6FFC5590"/>
    <w:rsid w:val="706D1DD0"/>
    <w:rsid w:val="70856B87"/>
    <w:rsid w:val="70D527EE"/>
    <w:rsid w:val="715B5300"/>
    <w:rsid w:val="71D27F8A"/>
    <w:rsid w:val="722A3062"/>
    <w:rsid w:val="72553024"/>
    <w:rsid w:val="7294672D"/>
    <w:rsid w:val="72AD38E2"/>
    <w:rsid w:val="73122968"/>
    <w:rsid w:val="731F5D5E"/>
    <w:rsid w:val="73C51AD5"/>
    <w:rsid w:val="74177616"/>
    <w:rsid w:val="741E793C"/>
    <w:rsid w:val="745C60B0"/>
    <w:rsid w:val="745E3944"/>
    <w:rsid w:val="75F106DA"/>
    <w:rsid w:val="7635099D"/>
    <w:rsid w:val="76D324DD"/>
    <w:rsid w:val="77762421"/>
    <w:rsid w:val="77B56B1F"/>
    <w:rsid w:val="780F09F4"/>
    <w:rsid w:val="785879AB"/>
    <w:rsid w:val="7890010A"/>
    <w:rsid w:val="78A90480"/>
    <w:rsid w:val="78A92982"/>
    <w:rsid w:val="78DC4D12"/>
    <w:rsid w:val="79224A93"/>
    <w:rsid w:val="7A364017"/>
    <w:rsid w:val="7A8265E1"/>
    <w:rsid w:val="7AD14412"/>
    <w:rsid w:val="7B686D42"/>
    <w:rsid w:val="7B841746"/>
    <w:rsid w:val="7BEE11BB"/>
    <w:rsid w:val="7C313482"/>
    <w:rsid w:val="7C6C5AC7"/>
    <w:rsid w:val="7CC6544B"/>
    <w:rsid w:val="7CD1467C"/>
    <w:rsid w:val="7D0239FF"/>
    <w:rsid w:val="7D3F4AA4"/>
    <w:rsid w:val="7D5E40CD"/>
    <w:rsid w:val="7D891A09"/>
    <w:rsid w:val="7DCD56F2"/>
    <w:rsid w:val="7DF44422"/>
    <w:rsid w:val="7E4F5233"/>
    <w:rsid w:val="7E582D05"/>
    <w:rsid w:val="7F001CE7"/>
    <w:rsid w:val="7F033CFC"/>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qFormat="1"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99"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99" w:semiHidden="0" w:name="Body Text Indent 2" w:locked="1"/>
    <w:lsdException w:qFormat="1"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26">
    <w:name w:val="Default Paragraph Font"/>
    <w:autoRedefine/>
    <w:semiHidden/>
    <w:qFormat/>
    <w:uiPriority w:val="0"/>
  </w:style>
  <w:style w:type="table" w:default="1" w:styleId="24">
    <w:name w:val="Normal Table"/>
    <w:autoRedefine/>
    <w:semiHidden/>
    <w:qFormat/>
    <w:uiPriority w:val="0"/>
    <w:tblPr>
      <w:tblCellMar>
        <w:top w:w="0" w:type="dxa"/>
        <w:left w:w="108" w:type="dxa"/>
        <w:bottom w:w="0" w:type="dxa"/>
        <w:right w:w="108" w:type="dxa"/>
      </w:tblCellMar>
    </w:tblPr>
  </w:style>
  <w:style w:type="paragraph" w:styleId="3">
    <w:name w:val="Normal Indent"/>
    <w:basedOn w:val="1"/>
    <w:qFormat/>
    <w:locked/>
    <w:uiPriority w:val="0"/>
    <w:pPr>
      <w:ind w:firstLine="420" w:firstLineChars="200"/>
    </w:pPr>
    <w:rPr>
      <w:sz w:val="24"/>
      <w:szCs w:val="20"/>
    </w:rPr>
  </w:style>
  <w:style w:type="paragraph" w:styleId="4">
    <w:name w:val="annotation text"/>
    <w:basedOn w:val="1"/>
    <w:link w:val="34"/>
    <w:autoRedefine/>
    <w:semiHidden/>
    <w:qFormat/>
    <w:uiPriority w:val="0"/>
    <w:pPr>
      <w:jc w:val="left"/>
    </w:pPr>
    <w:rPr>
      <w:kern w:val="0"/>
      <w:sz w:val="24"/>
      <w:szCs w:val="20"/>
    </w:rPr>
  </w:style>
  <w:style w:type="paragraph" w:styleId="5">
    <w:name w:val="Body Text"/>
    <w:basedOn w:val="1"/>
    <w:next w:val="6"/>
    <w:link w:val="35"/>
    <w:autoRedefine/>
    <w:qFormat/>
    <w:uiPriority w:val="0"/>
    <w:pPr>
      <w:widowControl/>
      <w:snapToGrid w:val="0"/>
      <w:spacing w:before="60" w:after="160" w:line="259" w:lineRule="auto"/>
      <w:ind w:right="113"/>
    </w:pPr>
    <w:rPr>
      <w:kern w:val="0"/>
      <w:sz w:val="18"/>
      <w:szCs w:val="20"/>
    </w:rPr>
  </w:style>
  <w:style w:type="paragraph" w:styleId="6">
    <w:name w:val="toc 9"/>
    <w:basedOn w:val="1"/>
    <w:next w:val="1"/>
    <w:qFormat/>
    <w:locked/>
    <w:uiPriority w:val="0"/>
    <w:pPr>
      <w:ind w:left="1680"/>
      <w:jc w:val="left"/>
    </w:pPr>
    <w:rPr>
      <w:rFonts w:ascii="Calibri" w:hAnsi="Calibri"/>
      <w:sz w:val="18"/>
      <w:szCs w:val="18"/>
    </w:rPr>
  </w:style>
  <w:style w:type="paragraph" w:styleId="7">
    <w:name w:val="Body Text Indent"/>
    <w:basedOn w:val="1"/>
    <w:next w:val="8"/>
    <w:link w:val="36"/>
    <w:autoRedefine/>
    <w:qFormat/>
    <w:uiPriority w:val="0"/>
    <w:pPr>
      <w:spacing w:after="120"/>
      <w:ind w:left="420" w:leftChars="200"/>
    </w:pPr>
    <w:rPr>
      <w:kern w:val="0"/>
      <w:sz w:val="24"/>
      <w:szCs w:val="20"/>
    </w:rPr>
  </w:style>
  <w:style w:type="paragraph" w:customStyle="1" w:styleId="8">
    <w:name w:val="样式 正文文本缩进 + 行距: 1.5 倍行距"/>
    <w:basedOn w:val="9"/>
    <w:next w:val="11"/>
    <w:autoRedefine/>
    <w:qFormat/>
    <w:uiPriority w:val="0"/>
    <w:pPr>
      <w:spacing w:after="120" w:line="360" w:lineRule="auto"/>
      <w:ind w:left="90" w:leftChars="32" w:firstLine="560" w:firstLineChars="200"/>
    </w:pPr>
    <w:rPr>
      <w:rFonts w:cs="宋体"/>
    </w:rPr>
  </w:style>
  <w:style w:type="paragraph" w:customStyle="1" w:styleId="9">
    <w:name w:val="Body Text Indent"/>
    <w:basedOn w:val="10"/>
    <w:next w:val="8"/>
    <w:autoRedefine/>
    <w:qFormat/>
    <w:uiPriority w:val="0"/>
    <w:pPr>
      <w:spacing w:after="120"/>
      <w:ind w:left="420"/>
    </w:pPr>
    <w:rPr>
      <w:szCs w:val="21"/>
    </w:rPr>
  </w:style>
  <w:style w:type="paragraph" w:customStyle="1" w:styleId="10">
    <w:name w:val="Normal"/>
    <w:qFormat/>
    <w:uiPriority w:val="0"/>
    <w:pPr>
      <w:widowControl w:val="0"/>
      <w:adjustRightInd w:val="0"/>
      <w:spacing w:line="360" w:lineRule="atLeast"/>
      <w:textAlignment w:val="baseline"/>
    </w:pPr>
    <w:rPr>
      <w:rFonts w:ascii="Tms Rmn" w:hAnsi="Tms Rmn" w:eastAsia="宋体" w:cs="Times New Roman"/>
      <w:lang w:val="en-US" w:eastAsia="zh-CN" w:bidi="ar-SA"/>
    </w:rPr>
  </w:style>
  <w:style w:type="paragraph" w:styleId="11">
    <w:name w:val="header"/>
    <w:basedOn w:val="1"/>
    <w:next w:val="12"/>
    <w:link w:val="40"/>
    <w:autoRedefine/>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2">
    <w:name w:val="样式5"/>
    <w:basedOn w:val="13"/>
    <w:autoRedefine/>
    <w:qFormat/>
    <w:uiPriority w:val="0"/>
    <w:pPr>
      <w:snapToGrid w:val="0"/>
      <w:spacing w:before="62" w:beforeLines="20" w:after="62" w:afterLines="20" w:line="480" w:lineRule="exact"/>
      <w:ind w:firstLine="523" w:firstLineChars="218"/>
      <w:jc w:val="both"/>
    </w:pPr>
    <w:rPr>
      <w:i/>
      <w:iCs/>
      <w:kern w:val="2"/>
      <w:sz w:val="24"/>
      <w:szCs w:val="20"/>
    </w:rPr>
  </w:style>
  <w:style w:type="paragraph" w:customStyle="1" w:styleId="13">
    <w:name w:val="正文1"/>
    <w:basedOn w:val="5"/>
    <w:next w:val="1"/>
    <w:autoRedefine/>
    <w:qFormat/>
    <w:uiPriority w:val="0"/>
    <w:pPr>
      <w:adjustRightInd w:val="0"/>
      <w:snapToGrid w:val="0"/>
      <w:spacing w:line="500" w:lineRule="atLeast"/>
      <w:ind w:firstLine="567"/>
    </w:pPr>
    <w:rPr>
      <w:sz w:val="28"/>
    </w:rPr>
  </w:style>
  <w:style w:type="paragraph" w:styleId="14">
    <w:name w:val="Plain Text"/>
    <w:basedOn w:val="1"/>
    <w:autoRedefine/>
    <w:qFormat/>
    <w:locked/>
    <w:uiPriority w:val="0"/>
    <w:pPr>
      <w:adjustRightInd w:val="0"/>
      <w:snapToGrid w:val="0"/>
      <w:jc w:val="both"/>
    </w:pPr>
    <w:rPr>
      <w:rFonts w:ascii="宋体" w:hAnsi="Courier New" w:eastAsia="Times New Roman"/>
      <w:sz w:val="21"/>
      <w:szCs w:val="20"/>
    </w:rPr>
  </w:style>
  <w:style w:type="paragraph" w:styleId="15">
    <w:name w:val="List Bullet 5"/>
    <w:basedOn w:val="1"/>
    <w:autoRedefine/>
    <w:qFormat/>
    <w:locked/>
    <w:uiPriority w:val="0"/>
    <w:pPr>
      <w:numPr>
        <w:ilvl w:val="0"/>
        <w:numId w:val="1"/>
      </w:numPr>
    </w:pPr>
  </w:style>
  <w:style w:type="paragraph" w:styleId="16">
    <w:name w:val="Date"/>
    <w:basedOn w:val="1"/>
    <w:next w:val="1"/>
    <w:link w:val="37"/>
    <w:autoRedefine/>
    <w:qFormat/>
    <w:uiPriority w:val="0"/>
    <w:pPr>
      <w:ind w:left="100" w:leftChars="2500"/>
    </w:pPr>
    <w:rPr>
      <w:kern w:val="0"/>
      <w:sz w:val="24"/>
      <w:szCs w:val="20"/>
    </w:rPr>
  </w:style>
  <w:style w:type="paragraph" w:styleId="17">
    <w:name w:val="Body Text Indent 2"/>
    <w:basedOn w:val="1"/>
    <w:autoRedefine/>
    <w:qFormat/>
    <w:locked/>
    <w:uiPriority w:val="99"/>
    <w:pPr>
      <w:spacing w:after="120" w:line="480" w:lineRule="auto"/>
      <w:ind w:left="420" w:leftChars="200"/>
    </w:pPr>
  </w:style>
  <w:style w:type="paragraph" w:styleId="18">
    <w:name w:val="Balloon Text"/>
    <w:basedOn w:val="1"/>
    <w:link w:val="38"/>
    <w:autoRedefine/>
    <w:semiHidden/>
    <w:qFormat/>
    <w:uiPriority w:val="0"/>
    <w:rPr>
      <w:kern w:val="0"/>
      <w:sz w:val="18"/>
      <w:szCs w:val="20"/>
    </w:rPr>
  </w:style>
  <w:style w:type="paragraph" w:styleId="19">
    <w:name w:val="footer"/>
    <w:basedOn w:val="1"/>
    <w:link w:val="39"/>
    <w:autoRedefine/>
    <w:qFormat/>
    <w:uiPriority w:val="99"/>
    <w:pPr>
      <w:tabs>
        <w:tab w:val="center" w:pos="4153"/>
        <w:tab w:val="right" w:pos="8306"/>
      </w:tabs>
      <w:snapToGrid w:val="0"/>
      <w:jc w:val="left"/>
    </w:pPr>
    <w:rPr>
      <w:kern w:val="0"/>
      <w:sz w:val="18"/>
      <w:szCs w:val="20"/>
    </w:rPr>
  </w:style>
  <w:style w:type="paragraph" w:styleId="20">
    <w:name w:val="Body Text Indent 3"/>
    <w:basedOn w:val="1"/>
    <w:autoRedefine/>
    <w:qFormat/>
    <w:locked/>
    <w:uiPriority w:val="0"/>
    <w:pPr>
      <w:ind w:firstLine="480"/>
    </w:pPr>
    <w:rPr>
      <w:sz w:val="24"/>
      <w:szCs w:val="20"/>
    </w:rPr>
  </w:style>
  <w:style w:type="paragraph" w:styleId="21">
    <w:name w:val="Normal (Web)"/>
    <w:basedOn w:val="1"/>
    <w:link w:val="41"/>
    <w:autoRedefine/>
    <w:qFormat/>
    <w:uiPriority w:val="0"/>
    <w:pPr>
      <w:widowControl/>
      <w:spacing w:before="100" w:beforeAutospacing="1" w:after="100" w:afterAutospacing="1"/>
      <w:jc w:val="left"/>
    </w:pPr>
    <w:rPr>
      <w:rFonts w:ascii="宋体" w:hAnsi="宋体"/>
      <w:kern w:val="0"/>
      <w:sz w:val="24"/>
      <w:szCs w:val="20"/>
    </w:rPr>
  </w:style>
  <w:style w:type="paragraph" w:styleId="22">
    <w:name w:val="annotation subject"/>
    <w:basedOn w:val="4"/>
    <w:next w:val="4"/>
    <w:link w:val="42"/>
    <w:autoRedefine/>
    <w:semiHidden/>
    <w:qFormat/>
    <w:uiPriority w:val="0"/>
    <w:rPr>
      <w:b/>
      <w:sz w:val="24"/>
      <w:szCs w:val="20"/>
    </w:rPr>
  </w:style>
  <w:style w:type="paragraph" w:styleId="23">
    <w:name w:val="Body Text First Indent 2"/>
    <w:basedOn w:val="7"/>
    <w:next w:val="1"/>
    <w:autoRedefine/>
    <w:qFormat/>
    <w:locked/>
    <w:uiPriority w:val="99"/>
    <w:pPr>
      <w:ind w:firstLine="420"/>
    </w:pPr>
  </w:style>
  <w:style w:type="table" w:styleId="25">
    <w:name w:val="Table Grid"/>
    <w:basedOn w:val="24"/>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page number"/>
    <w:basedOn w:val="26"/>
    <w:autoRedefine/>
    <w:qFormat/>
    <w:locked/>
    <w:uiPriority w:val="0"/>
  </w:style>
  <w:style w:type="character" w:styleId="28">
    <w:name w:val="Hyperlink"/>
    <w:basedOn w:val="26"/>
    <w:autoRedefine/>
    <w:qFormat/>
    <w:locked/>
    <w:uiPriority w:val="0"/>
    <w:rPr>
      <w:color w:val="0000FF"/>
      <w:u w:val="single"/>
    </w:rPr>
  </w:style>
  <w:style w:type="character" w:styleId="29">
    <w:name w:val="annotation reference"/>
    <w:autoRedefine/>
    <w:semiHidden/>
    <w:qFormat/>
    <w:uiPriority w:val="0"/>
    <w:rPr>
      <w:sz w:val="21"/>
    </w:rPr>
  </w:style>
  <w:style w:type="paragraph" w:customStyle="1" w:styleId="30">
    <w:name w:val="Default"/>
    <w:basedOn w:val="31"/>
    <w:autoRedefine/>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31">
    <w:name w:val="纯文本1"/>
    <w:basedOn w:val="1"/>
    <w:autoRedefine/>
    <w:qFormat/>
    <w:uiPriority w:val="0"/>
    <w:pPr>
      <w:adjustRightInd w:val="0"/>
    </w:pPr>
    <w:rPr>
      <w:rFonts w:ascii="宋体" w:hAnsi="Courier New"/>
      <w:szCs w:val="20"/>
    </w:rPr>
  </w:style>
  <w:style w:type="paragraph" w:customStyle="1" w:styleId="32">
    <w:name w:val="目录 11"/>
    <w:next w:val="1"/>
    <w:autoRedefine/>
    <w:qFormat/>
    <w:uiPriority w:val="0"/>
    <w:pPr>
      <w:wordWrap w:val="0"/>
      <w:jc w:val="both"/>
    </w:pPr>
    <w:rPr>
      <w:rFonts w:ascii="Times New Roman" w:hAnsi="Times New Roman" w:eastAsia="黑体" w:cs="Times New Roman"/>
      <w:sz w:val="21"/>
      <w:szCs w:val="22"/>
      <w:lang w:val="en-US" w:eastAsia="zh-CN" w:bidi="ar-SA"/>
    </w:rPr>
  </w:style>
  <w:style w:type="paragraph" w:customStyle="1" w:styleId="33">
    <w:name w:val="正文文本缩进1"/>
    <w:basedOn w:val="1"/>
    <w:next w:val="8"/>
    <w:autoRedefine/>
    <w:qFormat/>
    <w:uiPriority w:val="99"/>
    <w:pPr>
      <w:spacing w:after="120" w:line="360" w:lineRule="auto"/>
      <w:ind w:left="420" w:leftChars="200" w:firstLine="200" w:firstLineChars="200"/>
    </w:pPr>
    <w:rPr>
      <w:sz w:val="24"/>
    </w:rPr>
  </w:style>
  <w:style w:type="character" w:customStyle="1" w:styleId="34">
    <w:name w:val="批注文字 Char"/>
    <w:link w:val="4"/>
    <w:autoRedefine/>
    <w:qFormat/>
    <w:locked/>
    <w:uiPriority w:val="0"/>
    <w:rPr>
      <w:rFonts w:ascii="Times New Roman" w:hAnsi="Times New Roman" w:eastAsia="宋体"/>
      <w:sz w:val="24"/>
    </w:rPr>
  </w:style>
  <w:style w:type="character" w:customStyle="1" w:styleId="35">
    <w:name w:val="正文文本 Char"/>
    <w:link w:val="5"/>
    <w:autoRedefine/>
    <w:qFormat/>
    <w:locked/>
    <w:uiPriority w:val="0"/>
    <w:rPr>
      <w:sz w:val="18"/>
    </w:rPr>
  </w:style>
  <w:style w:type="character" w:customStyle="1" w:styleId="36">
    <w:name w:val="正文文本缩进 Char"/>
    <w:link w:val="7"/>
    <w:autoRedefine/>
    <w:semiHidden/>
    <w:qFormat/>
    <w:locked/>
    <w:uiPriority w:val="0"/>
    <w:rPr>
      <w:rFonts w:ascii="Times New Roman" w:hAnsi="Times New Roman" w:eastAsia="宋体"/>
      <w:sz w:val="24"/>
    </w:rPr>
  </w:style>
  <w:style w:type="character" w:customStyle="1" w:styleId="37">
    <w:name w:val="日期 Char"/>
    <w:link w:val="16"/>
    <w:autoRedefine/>
    <w:qFormat/>
    <w:locked/>
    <w:uiPriority w:val="0"/>
    <w:rPr>
      <w:rFonts w:ascii="Times New Roman" w:hAnsi="Times New Roman" w:eastAsia="宋体"/>
      <w:sz w:val="24"/>
    </w:rPr>
  </w:style>
  <w:style w:type="character" w:customStyle="1" w:styleId="38">
    <w:name w:val="批注框文本 Char"/>
    <w:link w:val="18"/>
    <w:autoRedefine/>
    <w:semiHidden/>
    <w:qFormat/>
    <w:locked/>
    <w:uiPriority w:val="0"/>
    <w:rPr>
      <w:rFonts w:ascii="Times New Roman" w:hAnsi="Times New Roman" w:eastAsia="宋体"/>
      <w:sz w:val="18"/>
    </w:rPr>
  </w:style>
  <w:style w:type="character" w:customStyle="1" w:styleId="39">
    <w:name w:val="页脚 Char"/>
    <w:link w:val="19"/>
    <w:autoRedefine/>
    <w:qFormat/>
    <w:locked/>
    <w:uiPriority w:val="99"/>
    <w:rPr>
      <w:sz w:val="18"/>
    </w:rPr>
  </w:style>
  <w:style w:type="character" w:customStyle="1" w:styleId="40">
    <w:name w:val="页眉 Char"/>
    <w:link w:val="11"/>
    <w:autoRedefine/>
    <w:qFormat/>
    <w:locked/>
    <w:uiPriority w:val="0"/>
    <w:rPr>
      <w:sz w:val="18"/>
    </w:rPr>
  </w:style>
  <w:style w:type="character" w:customStyle="1" w:styleId="41">
    <w:name w:val="普通(网站) Char"/>
    <w:link w:val="21"/>
    <w:autoRedefine/>
    <w:qFormat/>
    <w:locked/>
    <w:uiPriority w:val="0"/>
    <w:rPr>
      <w:rFonts w:ascii="宋体" w:hAnsi="宋体" w:eastAsia="宋体"/>
      <w:sz w:val="24"/>
    </w:rPr>
  </w:style>
  <w:style w:type="character" w:customStyle="1" w:styleId="42">
    <w:name w:val="批注主题 Char"/>
    <w:link w:val="22"/>
    <w:autoRedefine/>
    <w:semiHidden/>
    <w:qFormat/>
    <w:locked/>
    <w:uiPriority w:val="0"/>
    <w:rPr>
      <w:rFonts w:ascii="Times New Roman" w:hAnsi="Times New Roman" w:eastAsia="宋体"/>
      <w:b/>
      <w:kern w:val="2"/>
      <w:sz w:val="24"/>
    </w:rPr>
  </w:style>
  <w:style w:type="character" w:customStyle="1" w:styleId="43">
    <w:name w:val="页脚 字符"/>
    <w:basedOn w:val="26"/>
    <w:autoRedefine/>
    <w:qFormat/>
    <w:uiPriority w:val="99"/>
  </w:style>
  <w:style w:type="character" w:customStyle="1" w:styleId="44">
    <w:name w:val="正文文本 字符1"/>
    <w:autoRedefine/>
    <w:semiHidden/>
    <w:qFormat/>
    <w:uiPriority w:val="0"/>
    <w:rPr>
      <w:rFonts w:ascii="Times New Roman" w:hAnsi="Times New Roman" w:eastAsia="宋体"/>
      <w:sz w:val="24"/>
    </w:rPr>
  </w:style>
  <w:style w:type="character" w:customStyle="1" w:styleId="45">
    <w:name w:val="表格 Char"/>
    <w:link w:val="46"/>
    <w:autoRedefine/>
    <w:qFormat/>
    <w:locked/>
    <w:uiPriority w:val="0"/>
    <w:rPr>
      <w:rFonts w:ascii="宋体"/>
      <w:sz w:val="21"/>
    </w:rPr>
  </w:style>
  <w:style w:type="paragraph" w:customStyle="1" w:styleId="46">
    <w:name w:val="表格"/>
    <w:basedOn w:val="3"/>
    <w:next w:val="1"/>
    <w:link w:val="45"/>
    <w:autoRedefine/>
    <w:qFormat/>
    <w:uiPriority w:val="0"/>
    <w:pPr>
      <w:adjustRightInd w:val="0"/>
      <w:snapToGrid w:val="0"/>
      <w:spacing w:beforeLines="10" w:afterLines="10" w:line="259" w:lineRule="auto"/>
      <w:jc w:val="center"/>
    </w:pPr>
    <w:rPr>
      <w:rFonts w:ascii="宋体"/>
      <w:kern w:val="0"/>
      <w:szCs w:val="20"/>
    </w:rPr>
  </w:style>
  <w:style w:type="paragraph" w:customStyle="1" w:styleId="47">
    <w:name w:val="表格使用文字"/>
    <w:basedOn w:val="1"/>
    <w:autoRedefine/>
    <w:qFormat/>
    <w:uiPriority w:val="99"/>
    <w:pPr>
      <w:jc w:val="center"/>
    </w:pPr>
    <w:rPr>
      <w:color w:val="000000"/>
      <w:szCs w:val="20"/>
    </w:rPr>
  </w:style>
  <w:style w:type="character" w:customStyle="1" w:styleId="48">
    <w:name w:val="日期 字符"/>
    <w:autoRedefine/>
    <w:semiHidden/>
    <w:qFormat/>
    <w:uiPriority w:val="0"/>
    <w:rPr>
      <w:rFonts w:ascii="Times New Roman" w:hAnsi="Times New Roman" w:eastAsia="宋体"/>
      <w:sz w:val="24"/>
    </w:rPr>
  </w:style>
  <w:style w:type="character" w:customStyle="1" w:styleId="49">
    <w:name w:val="批注文字 字符1"/>
    <w:autoRedefine/>
    <w:semiHidden/>
    <w:qFormat/>
    <w:uiPriority w:val="0"/>
    <w:rPr>
      <w:rFonts w:ascii="Times New Roman" w:hAnsi="Times New Roman" w:eastAsia="宋体"/>
      <w:sz w:val="24"/>
    </w:rPr>
  </w:style>
  <w:style w:type="paragraph" w:customStyle="1" w:styleId="50">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1">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52">
    <w:name w:val="Table Paragraph"/>
    <w:basedOn w:val="1"/>
    <w:autoRedefine/>
    <w:qFormat/>
    <w:uiPriority w:val="1"/>
    <w:pPr>
      <w:autoSpaceDE w:val="0"/>
      <w:autoSpaceDN w:val="0"/>
      <w:spacing w:line="240" w:lineRule="auto"/>
      <w:ind w:firstLine="0" w:firstLineChars="0"/>
      <w:jc w:val="center"/>
    </w:pPr>
    <w:rPr>
      <w:rFonts w:ascii="宋体" w:hAnsi="宋体" w:eastAsia="宋体" w:cs="宋体"/>
      <w:kern w:val="0"/>
      <w:sz w:val="22"/>
      <w:szCs w:val="22"/>
      <w:lang w:eastAsia="en-US"/>
    </w:rPr>
  </w:style>
  <w:style w:type="paragraph" w:customStyle="1" w:styleId="53">
    <w:name w:val="表格内容"/>
    <w:basedOn w:val="1"/>
    <w:autoRedefine/>
    <w:qFormat/>
    <w:uiPriority w:val="0"/>
    <w:pPr>
      <w:spacing w:line="330" w:lineRule="exact"/>
      <w:ind w:firstLine="0" w:firstLineChars="0"/>
    </w:pPr>
    <w:rPr>
      <w:rFonts w:ascii="Times New Roman" w:hAnsi="Times New Roman" w:eastAsia="宋体" w:cs="Times New Roman"/>
      <w:sz w:val="21"/>
      <w:szCs w:val="24"/>
    </w:rPr>
  </w:style>
  <w:style w:type="paragraph" w:customStyle="1" w:styleId="54">
    <w:name w:val="表内容"/>
    <w:basedOn w:val="1"/>
    <w:next w:val="1"/>
    <w:autoRedefine/>
    <w:qFormat/>
    <w:uiPriority w:val="0"/>
    <w:pPr>
      <w:adjustRightInd w:val="0"/>
      <w:snapToGrid w:val="0"/>
      <w:jc w:val="center"/>
    </w:pPr>
    <w:rPr>
      <w:szCs w:val="21"/>
    </w:rPr>
  </w:style>
  <w:style w:type="paragraph" w:customStyle="1" w:styleId="55">
    <w:name w:val="表内容1"/>
    <w:basedOn w:val="1"/>
    <w:next w:val="1"/>
    <w:autoRedefine/>
    <w:qFormat/>
    <w:uiPriority w:val="0"/>
    <w:pPr>
      <w:jc w:val="center"/>
    </w:pPr>
    <w:rPr>
      <w:kern w:val="0"/>
      <w:szCs w:val="21"/>
    </w:rPr>
  </w:style>
  <w:style w:type="paragraph" w:customStyle="1" w:styleId="56">
    <w:name w:val="Table Text"/>
    <w:basedOn w:val="1"/>
    <w:semiHidden/>
    <w:qFormat/>
    <w:uiPriority w:val="0"/>
    <w:rPr>
      <w:rFonts w:ascii="宋体" w:hAnsi="宋体" w:eastAsia="宋体" w:cs="宋体"/>
      <w:sz w:val="22"/>
      <w:szCs w:val="22"/>
      <w:lang w:val="en-US" w:eastAsia="en-US" w:bidi="ar-SA"/>
    </w:rPr>
  </w:style>
  <w:style w:type="table" w:customStyle="1" w:styleId="57">
    <w:name w:val="Table Normal"/>
    <w:autoRedefine/>
    <w:semiHidden/>
    <w:unhideWhenUsed/>
    <w:qFormat/>
    <w:uiPriority w:val="0"/>
    <w:tblPr>
      <w:tblCellMar>
        <w:top w:w="0" w:type="dxa"/>
        <w:left w:w="0" w:type="dxa"/>
        <w:bottom w:w="0" w:type="dxa"/>
        <w:right w:w="0" w:type="dxa"/>
      </w:tblCellMar>
    </w:tblPr>
  </w:style>
  <w:style w:type="character" w:customStyle="1" w:styleId="58">
    <w:name w:val="font11"/>
    <w:basedOn w:val="26"/>
    <w:autoRedefine/>
    <w:qFormat/>
    <w:uiPriority w:val="0"/>
    <w:rPr>
      <w:rFonts w:hint="eastAsia" w:ascii="宋体" w:hAnsi="宋体" w:eastAsia="宋体" w:cs="宋体"/>
      <w:color w:val="000000"/>
      <w:sz w:val="21"/>
      <w:szCs w:val="21"/>
      <w:u w:val="none"/>
    </w:rPr>
  </w:style>
  <w:style w:type="character" w:customStyle="1" w:styleId="59">
    <w:name w:val="font21"/>
    <w:basedOn w:val="26"/>
    <w:autoRedefine/>
    <w:qFormat/>
    <w:uiPriority w:val="0"/>
    <w:rPr>
      <w:rFonts w:hint="default" w:ascii="Times New Roman" w:hAnsi="Times New Roman" w:cs="Times New Roman"/>
      <w:color w:val="000000"/>
      <w:sz w:val="22"/>
      <w:szCs w:val="22"/>
      <w:u w:val="none"/>
    </w:rPr>
  </w:style>
  <w:style w:type="character" w:customStyle="1" w:styleId="60">
    <w:name w:val="font31"/>
    <w:basedOn w:val="26"/>
    <w:qFormat/>
    <w:uiPriority w:val="0"/>
    <w:rPr>
      <w:rFonts w:hint="eastAsia" w:ascii="宋体" w:hAnsi="宋体" w:eastAsia="宋体" w:cs="宋体"/>
      <w:color w:val="000000"/>
      <w:sz w:val="19"/>
      <w:szCs w:val="19"/>
      <w:u w:val="none"/>
    </w:rPr>
  </w:style>
  <w:style w:type="paragraph" w:customStyle="1" w:styleId="61">
    <w:name w:val="表居中（中文）"/>
    <w:basedOn w:val="62"/>
    <w:qFormat/>
    <w:uiPriority w:val="0"/>
    <w:pPr>
      <w:ind w:left="0"/>
      <w:jc w:val="center"/>
    </w:pPr>
  </w:style>
  <w:style w:type="paragraph" w:customStyle="1" w:styleId="62">
    <w:name w:val="表格内容（中文）"/>
    <w:qFormat/>
    <w:uiPriority w:val="0"/>
    <w:pPr>
      <w:widowControl w:val="0"/>
      <w:adjustRightInd w:val="0"/>
      <w:spacing w:line="380" w:lineRule="atLeast"/>
      <w:ind w:left="113"/>
      <w:textAlignment w:val="baseline"/>
    </w:pPr>
    <w:rPr>
      <w:rFonts w:ascii="Times New Roman" w:hAnsi="Times New Roman" w:eastAsia="楷体_GB2312" w:cs="Times New Roman"/>
      <w:sz w:val="21"/>
      <w:lang w:val="en-US" w:eastAsia="zh-CN" w:bidi="ar-SA"/>
    </w:rPr>
  </w:style>
  <w:style w:type="character" w:customStyle="1" w:styleId="63">
    <w:name w:val="font51"/>
    <w:basedOn w:val="26"/>
    <w:qFormat/>
    <w:uiPriority w:val="0"/>
    <w:rPr>
      <w:rFonts w:hint="default" w:ascii="Times New Roman" w:hAnsi="Times New Roman" w:cs="Times New Roman"/>
      <w:color w:val="FF0000"/>
      <w:sz w:val="21"/>
      <w:szCs w:val="21"/>
      <w:u w:val="none"/>
    </w:rPr>
  </w:style>
  <w:style w:type="character" w:customStyle="1" w:styleId="64">
    <w:name w:val="font91"/>
    <w:basedOn w:val="26"/>
    <w:qFormat/>
    <w:uiPriority w:val="0"/>
    <w:rPr>
      <w:rFonts w:hint="eastAsia" w:ascii="宋体" w:hAnsi="宋体" w:eastAsia="宋体" w:cs="宋体"/>
      <w:color w:val="FF0000"/>
      <w:sz w:val="21"/>
      <w:szCs w:val="21"/>
      <w:u w:val="none"/>
    </w:rPr>
  </w:style>
  <w:style w:type="character" w:customStyle="1" w:styleId="65">
    <w:name w:val="font41"/>
    <w:basedOn w:val="26"/>
    <w:qFormat/>
    <w:uiPriority w:val="0"/>
    <w:rPr>
      <w:rFonts w:hint="default" w:ascii="Times New Roman" w:hAnsi="Times New Roman" w:cs="Times New Roman"/>
      <w:color w:val="000000"/>
      <w:sz w:val="21"/>
      <w:szCs w:val="21"/>
      <w:u w:val="none"/>
    </w:rPr>
  </w:style>
  <w:style w:type="character" w:customStyle="1" w:styleId="66">
    <w:name w:val="font12"/>
    <w:basedOn w:val="26"/>
    <w:qFormat/>
    <w:uiPriority w:val="0"/>
    <w:rPr>
      <w:rFonts w:hint="eastAsia" w:ascii="宋体" w:hAnsi="宋体" w:eastAsia="宋体" w:cs="宋体"/>
      <w:color w:val="000000"/>
      <w:sz w:val="21"/>
      <w:szCs w:val="21"/>
      <w:u w:val="none"/>
    </w:rPr>
  </w:style>
  <w:style w:type="character" w:customStyle="1" w:styleId="67">
    <w:name w:val="font01"/>
    <w:basedOn w:val="26"/>
    <w:qFormat/>
    <w:uiPriority w:val="0"/>
    <w:rPr>
      <w:rFonts w:hint="eastAsia" w:ascii="宋体" w:hAnsi="宋体" w:eastAsia="宋体" w:cs="宋体"/>
      <w:color w:val="000000"/>
      <w:sz w:val="22"/>
      <w:szCs w:val="22"/>
      <w:u w:val="none"/>
    </w:rPr>
  </w:style>
  <w:style w:type="paragraph" w:customStyle="1" w:styleId="68">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jpe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wmf"/><Relationship Id="rId13" Type="http://schemas.openxmlformats.org/officeDocument/2006/relationships/image" Target="media/image3.wmf"/><Relationship Id="rId12" Type="http://schemas.openxmlformats.org/officeDocument/2006/relationships/image" Target="media/image2.wmf"/><Relationship Id="rId11" Type="http://schemas.openxmlformats.org/officeDocument/2006/relationships/image" Target="media/image1.wmf"/><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103</Pages>
  <Words>1589</Words>
  <Characters>1758</Characters>
  <Lines>13</Lines>
  <Paragraphs>3</Paragraphs>
  <TotalTime>2</TotalTime>
  <ScaleCrop>false</ScaleCrop>
  <LinksUpToDate>false</LinksUpToDate>
  <CharactersWithSpaces>1823</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小王的大王</cp:lastModifiedBy>
  <cp:lastPrinted>2024-03-11T06:37:00Z</cp:lastPrinted>
  <dcterms:modified xsi:type="dcterms:W3CDTF">2026-04-21T01:23:36Z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995CF495E2284136A9536167EE1BB9EE_13</vt:lpwstr>
  </property>
  <property fmtid="{D5CDD505-2E9C-101B-9397-08002B2CF9AE}" pid="4" name="KSOTemplateDocerSaveRecord">
    <vt:lpwstr>eyJoZGlkIjoiNzA4OWJmMzY2ZDA1Y2U1YjRiZTkyYzA4MzFhNTI0MjEiLCJ1c2VySWQiOiI5MTEwNDcwMTkifQ==</vt:lpwstr>
  </property>
</Properties>
</file>