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emf" ContentType="image/x-emf"/>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D7725B3">
      <w:pPr>
        <w:adjustRightInd w:val="0"/>
        <w:snapToGrid w:val="0"/>
        <w:rPr>
          <w:color w:val="FF0000"/>
          <w:sz w:val="36"/>
          <w:szCs w:val="36"/>
        </w:rPr>
      </w:pPr>
    </w:p>
    <w:p w14:paraId="72342276">
      <w:pPr>
        <w:adjustRightInd w:val="0"/>
        <w:snapToGrid w:val="0"/>
        <w:rPr>
          <w:color w:val="FF0000"/>
          <w:sz w:val="36"/>
          <w:szCs w:val="36"/>
        </w:rPr>
      </w:pPr>
    </w:p>
    <w:p w14:paraId="515472E8">
      <w:pPr>
        <w:adjustRightInd w:val="0"/>
        <w:snapToGrid w:val="0"/>
        <w:rPr>
          <w:color w:val="FF0000"/>
          <w:sz w:val="36"/>
          <w:szCs w:val="36"/>
        </w:rPr>
      </w:pPr>
    </w:p>
    <w:p w14:paraId="427140BD">
      <w:pPr>
        <w:adjustRightInd w:val="0"/>
        <w:snapToGrid w:val="0"/>
        <w:rPr>
          <w:color w:val="auto"/>
          <w:sz w:val="36"/>
          <w:szCs w:val="36"/>
        </w:rPr>
      </w:pPr>
    </w:p>
    <w:p w14:paraId="70049C78">
      <w:pPr>
        <w:adjustRightInd w:val="0"/>
        <w:snapToGrid w:val="0"/>
        <w:jc w:val="center"/>
        <w:outlineLvl w:val="0"/>
        <w:rPr>
          <w:bCs/>
          <w:color w:val="auto"/>
          <w:sz w:val="72"/>
          <w:szCs w:val="72"/>
        </w:rPr>
      </w:pPr>
      <w:r>
        <w:rPr>
          <w:bCs/>
          <w:color w:val="auto"/>
          <w:sz w:val="72"/>
          <w:szCs w:val="72"/>
        </w:rPr>
        <w:t>建设项目环境影响报告表</w:t>
      </w:r>
    </w:p>
    <w:p w14:paraId="616D8556">
      <w:pPr>
        <w:adjustRightInd w:val="0"/>
        <w:snapToGrid w:val="0"/>
        <w:spacing w:before="120" w:beforeLines="50"/>
        <w:jc w:val="center"/>
        <w:rPr>
          <w:bCs/>
          <w:color w:val="auto"/>
          <w:sz w:val="48"/>
          <w:szCs w:val="48"/>
        </w:rPr>
      </w:pPr>
      <w:r>
        <w:rPr>
          <w:bCs/>
          <w:color w:val="auto"/>
          <w:sz w:val="48"/>
          <w:szCs w:val="48"/>
        </w:rPr>
        <w:t>（污染影响类）</w:t>
      </w:r>
    </w:p>
    <w:p w14:paraId="74B056F3">
      <w:pPr>
        <w:adjustRightInd w:val="0"/>
        <w:snapToGrid w:val="0"/>
        <w:spacing w:line="288" w:lineRule="auto"/>
        <w:jc w:val="center"/>
        <w:rPr>
          <w:color w:val="FF0000"/>
          <w:kern w:val="44"/>
          <w:sz w:val="44"/>
          <w:szCs w:val="44"/>
        </w:rPr>
      </w:pPr>
    </w:p>
    <w:p w14:paraId="374E15A9">
      <w:pPr>
        <w:adjustRightInd w:val="0"/>
        <w:snapToGrid w:val="0"/>
        <w:jc w:val="center"/>
        <w:rPr>
          <w:color w:val="FF0000"/>
          <w:sz w:val="52"/>
          <w:szCs w:val="52"/>
        </w:rPr>
      </w:pPr>
    </w:p>
    <w:p w14:paraId="022B0392">
      <w:pPr>
        <w:adjustRightInd w:val="0"/>
        <w:snapToGrid w:val="0"/>
        <w:ind w:firstLine="1040"/>
        <w:rPr>
          <w:color w:val="FF0000"/>
          <w:sz w:val="44"/>
          <w:szCs w:val="44"/>
        </w:rPr>
      </w:pPr>
    </w:p>
    <w:p w14:paraId="6BF3E256">
      <w:pPr>
        <w:adjustRightInd w:val="0"/>
        <w:snapToGrid w:val="0"/>
        <w:ind w:firstLine="1040"/>
        <w:rPr>
          <w:color w:val="FF0000"/>
          <w:sz w:val="44"/>
          <w:szCs w:val="44"/>
        </w:rPr>
      </w:pPr>
    </w:p>
    <w:p w14:paraId="25E364A8">
      <w:pPr>
        <w:adjustRightInd w:val="0"/>
        <w:snapToGrid w:val="0"/>
        <w:ind w:firstLine="1040"/>
        <w:rPr>
          <w:color w:val="FF0000"/>
          <w:sz w:val="44"/>
          <w:szCs w:val="44"/>
        </w:rPr>
      </w:pPr>
    </w:p>
    <w:p w14:paraId="5B6163B0">
      <w:pPr>
        <w:adjustRightInd w:val="0"/>
        <w:snapToGrid w:val="0"/>
        <w:ind w:firstLine="1040"/>
        <w:rPr>
          <w:color w:val="FF0000"/>
          <w:sz w:val="44"/>
          <w:szCs w:val="44"/>
        </w:rPr>
      </w:pPr>
    </w:p>
    <w:p w14:paraId="074D5AE4">
      <w:pPr>
        <w:keepNext w:val="0"/>
        <w:keepLines w:val="0"/>
        <w:pageBreakBefore w:val="0"/>
        <w:widowControl w:val="0"/>
        <w:kinsoku/>
        <w:wordWrap/>
        <w:overflowPunct/>
        <w:topLinePunct w:val="0"/>
        <w:autoSpaceDE/>
        <w:autoSpaceDN/>
        <w:bidi w:val="0"/>
        <w:adjustRightInd w:val="0"/>
        <w:snapToGrid w:val="0"/>
        <w:spacing w:line="360" w:lineRule="auto"/>
        <w:ind w:left="1980" w:hanging="1980" w:hangingChars="550"/>
        <w:jc w:val="left"/>
        <w:textAlignment w:val="auto"/>
        <w:rPr>
          <w:color w:val="auto"/>
          <w:sz w:val="36"/>
          <w:szCs w:val="36"/>
          <w:u w:val="single"/>
        </w:rPr>
      </w:pPr>
      <w:r>
        <w:rPr>
          <w:color w:val="auto"/>
          <w:sz w:val="36"/>
          <w:szCs w:val="36"/>
        </w:rPr>
        <w:t>项目名称：</w:t>
      </w:r>
      <w:r>
        <w:rPr>
          <w:rFonts w:hint="eastAsia"/>
          <w:color w:val="auto"/>
          <w:sz w:val="36"/>
          <w:szCs w:val="36"/>
          <w:u w:val="single"/>
          <w:lang w:val="en-US" w:eastAsia="zh-CN"/>
        </w:rPr>
        <w:t xml:space="preserve"> </w:t>
      </w:r>
      <w:r>
        <w:rPr>
          <w:rFonts w:hint="eastAsia" w:ascii="Times New Roman" w:hAnsi="Times New Roman" w:eastAsia="宋体" w:cs="Times New Roman"/>
          <w:color w:val="auto"/>
          <w:sz w:val="36"/>
          <w:szCs w:val="36"/>
          <w:u w:val="single"/>
          <w:lang w:val="en-US" w:eastAsia="zh-CN"/>
        </w:rPr>
        <w:t xml:space="preserve">淄博利赛环保科技有限公司仓库整体搬迁技改项目 </w:t>
      </w:r>
      <w:r>
        <w:rPr>
          <w:rFonts w:hint="eastAsia"/>
          <w:color w:val="auto"/>
          <w:sz w:val="36"/>
          <w:szCs w:val="36"/>
          <w:u w:val="single"/>
        </w:rPr>
        <w:t xml:space="preserve"> </w:t>
      </w:r>
    </w:p>
    <w:p w14:paraId="3DC35C05">
      <w:pPr>
        <w:adjustRightInd w:val="0"/>
        <w:snapToGrid w:val="0"/>
        <w:spacing w:line="360" w:lineRule="auto"/>
        <w:jc w:val="left"/>
        <w:rPr>
          <w:color w:val="auto"/>
          <w:sz w:val="36"/>
          <w:szCs w:val="36"/>
          <w:u w:val="single"/>
        </w:rPr>
      </w:pPr>
      <w:r>
        <w:rPr>
          <w:color w:val="auto"/>
          <w:sz w:val="36"/>
          <w:szCs w:val="36"/>
        </w:rPr>
        <w:t>建设单位（盖章）：</w:t>
      </w:r>
      <w:r>
        <w:rPr>
          <w:rFonts w:hint="eastAsia" w:ascii="Times New Roman" w:hAnsi="Times New Roman" w:eastAsia="宋体" w:cs="Times New Roman"/>
          <w:color w:val="auto"/>
          <w:sz w:val="36"/>
          <w:szCs w:val="36"/>
          <w:u w:val="single"/>
          <w:lang w:val="en-US" w:eastAsia="zh-CN"/>
        </w:rPr>
        <w:t xml:space="preserve"> 淄博利赛环保科技有限公司 </w:t>
      </w:r>
      <w:r>
        <w:rPr>
          <w:rFonts w:hint="eastAsia" w:eastAsia="宋体" w:cs="Times New Roman"/>
          <w:color w:val="auto"/>
          <w:sz w:val="36"/>
          <w:szCs w:val="36"/>
          <w:u w:val="single"/>
          <w:lang w:val="en-US" w:eastAsia="zh-CN"/>
        </w:rPr>
        <w:t xml:space="preserve">   </w:t>
      </w:r>
      <w:r>
        <w:rPr>
          <w:rFonts w:hint="eastAsia" w:ascii="Times New Roman" w:hAnsi="Times New Roman" w:eastAsia="宋体" w:cs="Times New Roman"/>
          <w:color w:val="auto"/>
          <w:sz w:val="36"/>
          <w:szCs w:val="36"/>
          <w:u w:val="single"/>
          <w:lang w:val="en-US" w:eastAsia="zh-CN"/>
        </w:rPr>
        <w:t xml:space="preserve"> </w:t>
      </w:r>
    </w:p>
    <w:p w14:paraId="63BE6BF1">
      <w:pPr>
        <w:adjustRightInd w:val="0"/>
        <w:snapToGrid w:val="0"/>
        <w:spacing w:line="360" w:lineRule="auto"/>
        <w:jc w:val="left"/>
        <w:rPr>
          <w:color w:val="FF0000"/>
          <w:sz w:val="36"/>
          <w:szCs w:val="36"/>
          <w:u w:val="single"/>
        </w:rPr>
      </w:pPr>
      <w:r>
        <w:rPr>
          <w:color w:val="auto"/>
          <w:sz w:val="36"/>
          <w:szCs w:val="36"/>
        </w:rPr>
        <w:t>编制日期：</w:t>
      </w:r>
      <w:r>
        <w:rPr>
          <w:color w:val="auto"/>
          <w:sz w:val="36"/>
          <w:szCs w:val="36"/>
          <w:u w:val="single"/>
        </w:rPr>
        <w:t xml:space="preserve">    </w:t>
      </w:r>
      <w:r>
        <w:rPr>
          <w:rFonts w:hint="eastAsia"/>
          <w:color w:val="auto"/>
          <w:sz w:val="36"/>
          <w:szCs w:val="36"/>
          <w:u w:val="single"/>
        </w:rPr>
        <w:t xml:space="preserve">      </w:t>
      </w:r>
      <w:r>
        <w:rPr>
          <w:color w:val="auto"/>
          <w:sz w:val="36"/>
          <w:szCs w:val="36"/>
          <w:u w:val="single"/>
        </w:rPr>
        <w:t>二零二</w:t>
      </w:r>
      <w:r>
        <w:rPr>
          <w:rFonts w:hint="eastAsia"/>
          <w:color w:val="auto"/>
          <w:sz w:val="36"/>
          <w:szCs w:val="36"/>
          <w:u w:val="single"/>
          <w:lang w:val="en-US" w:eastAsia="zh-CN"/>
        </w:rPr>
        <w:t>六年五</w:t>
      </w:r>
      <w:r>
        <w:rPr>
          <w:color w:val="auto"/>
          <w:sz w:val="36"/>
          <w:szCs w:val="36"/>
          <w:u w:val="single"/>
        </w:rPr>
        <w:t>月</w:t>
      </w:r>
      <w:r>
        <w:rPr>
          <w:rFonts w:hint="eastAsia"/>
          <w:color w:val="auto"/>
          <w:sz w:val="36"/>
          <w:szCs w:val="36"/>
          <w:u w:val="single"/>
        </w:rPr>
        <w:t xml:space="preserve">  </w:t>
      </w:r>
      <w:r>
        <w:rPr>
          <w:rFonts w:hint="eastAsia"/>
          <w:color w:val="auto"/>
          <w:sz w:val="36"/>
          <w:szCs w:val="36"/>
          <w:u w:val="single"/>
          <w:lang w:val="en-US" w:eastAsia="zh-CN"/>
        </w:rPr>
        <w:t xml:space="preserve">   </w:t>
      </w:r>
      <w:r>
        <w:rPr>
          <w:rFonts w:hint="eastAsia"/>
          <w:color w:val="auto"/>
          <w:sz w:val="36"/>
          <w:szCs w:val="36"/>
          <w:u w:val="single"/>
        </w:rPr>
        <w:t xml:space="preserve">       </w:t>
      </w:r>
    </w:p>
    <w:p w14:paraId="7D53582C">
      <w:pPr>
        <w:adjustRightInd w:val="0"/>
        <w:snapToGrid w:val="0"/>
        <w:spacing w:line="288" w:lineRule="auto"/>
        <w:ind w:firstLine="1040"/>
        <w:rPr>
          <w:color w:val="FF0000"/>
          <w:sz w:val="36"/>
          <w:szCs w:val="36"/>
          <w:u w:val="single"/>
        </w:rPr>
      </w:pPr>
      <w:bookmarkStart w:id="0" w:name="_Hlk57884087"/>
    </w:p>
    <w:p w14:paraId="26775FD1">
      <w:pPr>
        <w:adjustRightInd w:val="0"/>
        <w:snapToGrid w:val="0"/>
        <w:spacing w:line="288" w:lineRule="auto"/>
        <w:ind w:firstLine="1040"/>
        <w:rPr>
          <w:color w:val="FF0000"/>
          <w:sz w:val="36"/>
          <w:szCs w:val="36"/>
        </w:rPr>
      </w:pPr>
    </w:p>
    <w:p w14:paraId="657E8543">
      <w:pPr>
        <w:adjustRightInd w:val="0"/>
        <w:snapToGrid w:val="0"/>
        <w:spacing w:line="288" w:lineRule="auto"/>
        <w:ind w:firstLine="1040"/>
        <w:rPr>
          <w:color w:val="FF0000"/>
          <w:sz w:val="36"/>
          <w:szCs w:val="36"/>
        </w:rPr>
      </w:pPr>
    </w:p>
    <w:p w14:paraId="030B0EF1">
      <w:pPr>
        <w:adjustRightInd w:val="0"/>
        <w:snapToGrid w:val="0"/>
        <w:spacing w:line="288" w:lineRule="auto"/>
        <w:ind w:firstLine="1040"/>
        <w:rPr>
          <w:color w:val="FF0000"/>
          <w:sz w:val="36"/>
          <w:szCs w:val="36"/>
        </w:rPr>
      </w:pPr>
    </w:p>
    <w:p w14:paraId="2B3F0666">
      <w:pPr>
        <w:adjustRightInd w:val="0"/>
        <w:snapToGrid w:val="0"/>
        <w:spacing w:line="288" w:lineRule="auto"/>
        <w:ind w:firstLine="1040"/>
        <w:rPr>
          <w:color w:val="FF0000"/>
          <w:sz w:val="36"/>
          <w:szCs w:val="36"/>
        </w:rPr>
      </w:pPr>
    </w:p>
    <w:p w14:paraId="4D2DB760">
      <w:pPr>
        <w:adjustRightInd w:val="0"/>
        <w:snapToGrid w:val="0"/>
        <w:spacing w:line="288" w:lineRule="auto"/>
        <w:ind w:firstLine="1040"/>
        <w:rPr>
          <w:color w:val="FF0000"/>
          <w:sz w:val="36"/>
          <w:szCs w:val="36"/>
        </w:rPr>
      </w:pPr>
    </w:p>
    <w:bookmarkEnd w:id="0"/>
    <w:p w14:paraId="25516CEF">
      <w:pPr>
        <w:adjustRightInd w:val="0"/>
        <w:snapToGrid w:val="0"/>
        <w:spacing w:line="288" w:lineRule="auto"/>
        <w:jc w:val="center"/>
        <w:rPr>
          <w:color w:val="auto"/>
          <w:sz w:val="36"/>
          <w:szCs w:val="36"/>
        </w:rPr>
      </w:pPr>
      <w:r>
        <w:rPr>
          <w:color w:val="auto"/>
          <w:sz w:val="36"/>
          <w:szCs w:val="36"/>
        </w:rPr>
        <w:t>中华人民共和国生态环境部制</w:t>
      </w:r>
    </w:p>
    <w:p w14:paraId="246EF527">
      <w:pPr>
        <w:sectPr>
          <w:footerReference r:id="rId3" w:type="default"/>
          <w:pgSz w:w="11906" w:h="16838"/>
          <w:pgMar w:top="1440" w:right="1800" w:bottom="1440" w:left="1800" w:header="851" w:footer="992" w:gutter="0"/>
          <w:cols w:space="425" w:num="1"/>
          <w:docGrid w:type="lines" w:linePitch="312" w:charSpace="0"/>
        </w:sectPr>
      </w:pPr>
    </w:p>
    <w:p w14:paraId="269EFFA5">
      <w:pPr>
        <w:rPr>
          <w:rFonts w:hint="eastAsia" w:eastAsia="宋体"/>
          <w:lang w:eastAsia="zh-CN"/>
        </w:rPr>
        <w:sectPr>
          <w:pgSz w:w="11906" w:h="16838"/>
          <w:pgMar w:top="1440" w:right="1800" w:bottom="1440" w:left="1800" w:header="851" w:footer="992" w:gutter="0"/>
          <w:cols w:space="425" w:num="1"/>
          <w:docGrid w:type="lines" w:linePitch="312" w:charSpace="0"/>
        </w:sectPr>
      </w:pPr>
      <w:bookmarkStart w:id="4" w:name="_GoBack"/>
      <w:r>
        <w:rPr>
          <w:rFonts w:hint="eastAsia" w:eastAsia="宋体"/>
          <w:lang w:eastAsia="zh-CN"/>
        </w:rPr>
        <w:drawing>
          <wp:inline distT="0" distB="0" distL="114300" distR="114300">
            <wp:extent cx="5259070" cy="8008620"/>
            <wp:effectExtent l="0" t="0" r="17780" b="11430"/>
            <wp:docPr id="128" name="图片 128" descr="夸克扫描王_编制单位和编制人员情况表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夸克扫描王_编制单位和编制人员情况表_01"/>
                    <pic:cNvPicPr>
                      <a:picLocks noChangeAspect="1"/>
                    </pic:cNvPicPr>
                  </pic:nvPicPr>
                  <pic:blipFill>
                    <a:blip r:embed="rId5"/>
                    <a:stretch>
                      <a:fillRect/>
                    </a:stretch>
                  </pic:blipFill>
                  <pic:spPr>
                    <a:xfrm>
                      <a:off x="0" y="0"/>
                      <a:ext cx="5259070" cy="8008620"/>
                    </a:xfrm>
                    <a:prstGeom prst="rect">
                      <a:avLst/>
                    </a:prstGeom>
                  </pic:spPr>
                </pic:pic>
              </a:graphicData>
            </a:graphic>
          </wp:inline>
        </w:drawing>
      </w:r>
      <w:bookmarkEnd w:id="4"/>
      <w:r>
        <w:rPr>
          <w:rFonts w:hint="eastAsia" w:eastAsia="宋体"/>
          <w:lang w:eastAsia="zh-CN"/>
        </w:rPr>
        <w:drawing>
          <wp:inline distT="0" distB="0" distL="114300" distR="114300">
            <wp:extent cx="5259070" cy="8016875"/>
            <wp:effectExtent l="0" t="0" r="17780" b="3175"/>
            <wp:docPr id="129" name="图片 129" descr="夸克扫描王_编制单位和编制人员情况表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夸克扫描王_编制单位和编制人员情况表_02"/>
                    <pic:cNvPicPr>
                      <a:picLocks noChangeAspect="1"/>
                    </pic:cNvPicPr>
                  </pic:nvPicPr>
                  <pic:blipFill>
                    <a:blip r:embed="rId6"/>
                    <a:stretch>
                      <a:fillRect/>
                    </a:stretch>
                  </pic:blipFill>
                  <pic:spPr>
                    <a:xfrm>
                      <a:off x="0" y="0"/>
                      <a:ext cx="5259070" cy="8016875"/>
                    </a:xfrm>
                    <a:prstGeom prst="rect">
                      <a:avLst/>
                    </a:prstGeom>
                  </pic:spPr>
                </pic:pic>
              </a:graphicData>
            </a:graphic>
          </wp:inline>
        </w:drawing>
      </w:r>
    </w:p>
    <w:p w14:paraId="091B1051">
      <w:pPr>
        <w:jc w:val="center"/>
        <w:rPr>
          <w:rFonts w:hint="eastAsia" w:eastAsia="宋体"/>
          <w:lang w:eastAsia="zh-CN"/>
        </w:rPr>
        <w:sectPr>
          <w:pgSz w:w="16838" w:h="11906" w:orient="landscape"/>
          <w:pgMar w:top="1800" w:right="1440" w:bottom="1800" w:left="1440" w:header="851" w:footer="992" w:gutter="0"/>
          <w:cols w:space="425" w:num="1"/>
          <w:docGrid w:type="lines" w:linePitch="312" w:charSpace="0"/>
        </w:sectPr>
      </w:pPr>
      <w:r>
        <w:rPr>
          <w:rFonts w:hint="eastAsia" w:eastAsia="宋体"/>
          <w:lang w:eastAsia="zh-CN"/>
        </w:rPr>
        <w:drawing>
          <wp:inline distT="0" distB="0" distL="114300" distR="114300">
            <wp:extent cx="6721475" cy="5196205"/>
            <wp:effectExtent l="0" t="0" r="3175" b="4445"/>
            <wp:docPr id="130" name="图片 130" descr="夸克扫描王_编制单位和编制人员情况表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夸克扫描王_编制单位和编制人员情况表_03"/>
                    <pic:cNvPicPr>
                      <a:picLocks noChangeAspect="1"/>
                    </pic:cNvPicPr>
                  </pic:nvPicPr>
                  <pic:blipFill>
                    <a:blip r:embed="rId7"/>
                    <a:stretch>
                      <a:fillRect/>
                    </a:stretch>
                  </pic:blipFill>
                  <pic:spPr>
                    <a:xfrm>
                      <a:off x="0" y="0"/>
                      <a:ext cx="6721475" cy="5196205"/>
                    </a:xfrm>
                    <a:prstGeom prst="rect">
                      <a:avLst/>
                    </a:prstGeom>
                  </pic:spPr>
                </pic:pic>
              </a:graphicData>
            </a:graphic>
          </wp:inline>
        </w:drawing>
      </w:r>
      <w:r>
        <w:rPr>
          <w:rFonts w:hint="eastAsia" w:eastAsia="宋体"/>
          <w:lang w:eastAsia="zh-CN"/>
        </w:rPr>
        <w:drawing>
          <wp:inline distT="0" distB="0" distL="114300" distR="114300">
            <wp:extent cx="6749415" cy="5249545"/>
            <wp:effectExtent l="0" t="0" r="13335" b="8255"/>
            <wp:docPr id="131" name="图片 131" descr="夸克扫描王_编制单位和编制人员情况表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夸克扫描王_编制单位和编制人员情况表_04"/>
                    <pic:cNvPicPr>
                      <a:picLocks noChangeAspect="1"/>
                    </pic:cNvPicPr>
                  </pic:nvPicPr>
                  <pic:blipFill>
                    <a:blip r:embed="rId8"/>
                    <a:stretch>
                      <a:fillRect/>
                    </a:stretch>
                  </pic:blipFill>
                  <pic:spPr>
                    <a:xfrm>
                      <a:off x="0" y="0"/>
                      <a:ext cx="6749415" cy="5249545"/>
                    </a:xfrm>
                    <a:prstGeom prst="rect">
                      <a:avLst/>
                    </a:prstGeom>
                  </pic:spPr>
                </pic:pic>
              </a:graphicData>
            </a:graphic>
          </wp:inline>
        </w:drawing>
      </w:r>
      <w:r>
        <w:rPr>
          <w:rFonts w:hint="eastAsia" w:eastAsia="宋体"/>
          <w:lang w:eastAsia="zh-CN"/>
        </w:rPr>
        <w:drawing>
          <wp:inline distT="0" distB="0" distL="114300" distR="114300">
            <wp:extent cx="6749415" cy="5249545"/>
            <wp:effectExtent l="0" t="0" r="13335" b="8255"/>
            <wp:docPr id="132" name="图片 132" descr="夸克扫描王_编制单位和编制人员情况表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descr="夸克扫描王_编制单位和编制人员情况表_05"/>
                    <pic:cNvPicPr>
                      <a:picLocks noChangeAspect="1"/>
                    </pic:cNvPicPr>
                  </pic:nvPicPr>
                  <pic:blipFill>
                    <a:blip r:embed="rId9"/>
                    <a:stretch>
                      <a:fillRect/>
                    </a:stretch>
                  </pic:blipFill>
                  <pic:spPr>
                    <a:xfrm>
                      <a:off x="0" y="0"/>
                      <a:ext cx="6749415" cy="5249545"/>
                    </a:xfrm>
                    <a:prstGeom prst="rect">
                      <a:avLst/>
                    </a:prstGeom>
                  </pic:spPr>
                </pic:pic>
              </a:graphicData>
            </a:graphic>
          </wp:inline>
        </w:drawing>
      </w:r>
    </w:p>
    <w:p w14:paraId="69FD1D70"/>
    <w:p w14:paraId="1D3DD98A">
      <w:pPr>
        <w:pStyle w:val="23"/>
        <w:keepNext w:val="0"/>
        <w:keepLines w:val="0"/>
        <w:pageBreakBefore w:val="0"/>
        <w:widowControl/>
        <w:kinsoku/>
        <w:wordWrap/>
        <w:overflowPunct/>
        <w:topLinePunct w:val="0"/>
        <w:autoSpaceDE/>
        <w:autoSpaceDN/>
        <w:bidi w:val="0"/>
        <w:adjustRightInd w:val="0"/>
        <w:snapToGrid w:val="0"/>
        <w:spacing w:before="0" w:beforeAutospacing="0" w:after="0" w:afterAutospacing="0" w:line="360" w:lineRule="auto"/>
        <w:jc w:val="center"/>
        <w:textAlignment w:val="auto"/>
        <w:outlineLvl w:val="0"/>
        <w:rPr>
          <w:rFonts w:ascii="Times New Roman" w:hAnsi="Times New Roman"/>
          <w:b/>
          <w:snapToGrid w:val="0"/>
          <w:color w:val="auto"/>
          <w:sz w:val="30"/>
          <w:szCs w:val="30"/>
        </w:rPr>
      </w:pPr>
      <w:r>
        <w:rPr>
          <w:rFonts w:ascii="Times New Roman" w:hAnsi="Times New Roman"/>
          <w:b/>
          <w:snapToGrid w:val="0"/>
          <w:color w:val="auto"/>
          <w:sz w:val="30"/>
          <w:szCs w:val="30"/>
        </w:rPr>
        <w:t>一、建设项目基本情况</w:t>
      </w:r>
    </w:p>
    <w:tbl>
      <w:tblPr>
        <w:tblStyle w:val="27"/>
        <w:tblW w:w="497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441"/>
        <w:gridCol w:w="599"/>
        <w:gridCol w:w="455"/>
        <w:gridCol w:w="1765"/>
        <w:gridCol w:w="1836"/>
        <w:gridCol w:w="3227"/>
        <w:gridCol w:w="4"/>
      </w:tblGrid>
      <w:tr w14:paraId="4DABC4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2" w:type="pct"/>
          <w:trHeight w:val="397" w:hRule="atLeast"/>
          <w:jc w:val="center"/>
        </w:trPr>
        <w:tc>
          <w:tcPr>
            <w:tcW w:w="977" w:type="pct"/>
            <w:gridSpan w:val="3"/>
            <w:tcBorders>
              <w:tl2br w:val="nil"/>
              <w:tr2bl w:val="nil"/>
            </w:tcBorders>
            <w:tcMar>
              <w:top w:w="16" w:type="dxa"/>
              <w:left w:w="16" w:type="dxa"/>
              <w:right w:w="16" w:type="dxa"/>
            </w:tcMar>
            <w:vAlign w:val="center"/>
          </w:tcPr>
          <w:p w14:paraId="52C6EED3">
            <w:pPr>
              <w:adjustRightInd w:val="0"/>
              <w:snapToGrid w:val="0"/>
              <w:jc w:val="center"/>
              <w:rPr>
                <w:color w:val="auto"/>
                <w:sz w:val="24"/>
              </w:rPr>
            </w:pPr>
            <w:r>
              <w:rPr>
                <w:color w:val="auto"/>
                <w:sz w:val="24"/>
              </w:rPr>
              <w:t>建设项目名称</w:t>
            </w:r>
          </w:p>
        </w:tc>
        <w:tc>
          <w:tcPr>
            <w:tcW w:w="4020" w:type="pct"/>
            <w:gridSpan w:val="3"/>
            <w:tcBorders>
              <w:tl2br w:val="nil"/>
              <w:tr2bl w:val="nil"/>
            </w:tcBorders>
            <w:vAlign w:val="center"/>
          </w:tcPr>
          <w:p w14:paraId="592B0A75">
            <w:pPr>
              <w:adjustRightInd w:val="0"/>
              <w:snapToGrid w:val="0"/>
              <w:jc w:val="center"/>
              <w:rPr>
                <w:rFonts w:hint="default" w:eastAsia="宋体"/>
                <w:color w:val="auto"/>
                <w:sz w:val="24"/>
                <w:lang w:val="en-US" w:eastAsia="zh-CN"/>
              </w:rPr>
            </w:pPr>
            <w:r>
              <w:rPr>
                <w:rFonts w:hint="eastAsia" w:cs="Times New Roman"/>
                <w:color w:val="auto"/>
                <w:sz w:val="24"/>
                <w:lang w:val="en-US" w:eastAsia="zh-CN"/>
              </w:rPr>
              <w:t>淄博利赛环保科技有限公司仓库整体搬迁技改项目</w:t>
            </w:r>
          </w:p>
        </w:tc>
      </w:tr>
      <w:tr w14:paraId="4965F4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2" w:type="pct"/>
          <w:trHeight w:val="397" w:hRule="atLeast"/>
          <w:jc w:val="center"/>
        </w:trPr>
        <w:tc>
          <w:tcPr>
            <w:tcW w:w="977" w:type="pct"/>
            <w:gridSpan w:val="3"/>
            <w:tcBorders>
              <w:tl2br w:val="nil"/>
              <w:tr2bl w:val="nil"/>
            </w:tcBorders>
            <w:tcMar>
              <w:top w:w="16" w:type="dxa"/>
              <w:left w:w="16" w:type="dxa"/>
              <w:right w:w="16" w:type="dxa"/>
            </w:tcMar>
            <w:vAlign w:val="center"/>
          </w:tcPr>
          <w:p w14:paraId="7E3694BE">
            <w:pPr>
              <w:adjustRightInd w:val="0"/>
              <w:snapToGrid w:val="0"/>
              <w:jc w:val="center"/>
              <w:rPr>
                <w:rFonts w:hint="eastAsia"/>
                <w:color w:val="auto"/>
                <w:sz w:val="24"/>
                <w:lang w:val="en-US" w:eastAsia="zh-CN"/>
              </w:rPr>
            </w:pPr>
            <w:r>
              <w:rPr>
                <w:rFonts w:hint="eastAsia"/>
                <w:color w:val="auto"/>
                <w:sz w:val="24"/>
                <w:lang w:val="en-US" w:eastAsia="zh-CN"/>
              </w:rPr>
              <w:t>项目代码</w:t>
            </w:r>
          </w:p>
        </w:tc>
        <w:tc>
          <w:tcPr>
            <w:tcW w:w="4020" w:type="pct"/>
            <w:gridSpan w:val="3"/>
            <w:tcBorders>
              <w:tl2br w:val="nil"/>
              <w:tr2bl w:val="nil"/>
            </w:tcBorders>
            <w:vAlign w:val="center"/>
          </w:tcPr>
          <w:p w14:paraId="49C25780">
            <w:pPr>
              <w:adjustRightInd w:val="0"/>
              <w:snapToGrid w:val="0"/>
              <w:jc w:val="center"/>
              <w:rPr>
                <w:rFonts w:hint="eastAsia"/>
                <w:color w:val="auto"/>
                <w:sz w:val="24"/>
                <w:lang w:val="en-US" w:eastAsia="zh-CN"/>
              </w:rPr>
            </w:pPr>
            <w:r>
              <w:rPr>
                <w:rFonts w:hint="eastAsia"/>
                <w:color w:val="auto"/>
                <w:sz w:val="24"/>
                <w:lang w:val="en-US" w:eastAsia="zh-CN"/>
              </w:rPr>
              <w:t>2603-370302-89-02-617109</w:t>
            </w:r>
          </w:p>
        </w:tc>
      </w:tr>
      <w:tr w14:paraId="3AFE0C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2" w:type="pct"/>
          <w:trHeight w:val="397" w:hRule="atLeast"/>
          <w:jc w:val="center"/>
        </w:trPr>
        <w:tc>
          <w:tcPr>
            <w:tcW w:w="977" w:type="pct"/>
            <w:gridSpan w:val="3"/>
            <w:tcBorders>
              <w:tl2br w:val="nil"/>
              <w:tr2bl w:val="nil"/>
            </w:tcBorders>
            <w:tcMar>
              <w:top w:w="16" w:type="dxa"/>
              <w:left w:w="16" w:type="dxa"/>
              <w:right w:w="16" w:type="dxa"/>
            </w:tcMar>
            <w:vAlign w:val="center"/>
          </w:tcPr>
          <w:p w14:paraId="1EC2647F">
            <w:pPr>
              <w:adjustRightInd w:val="0"/>
              <w:snapToGrid w:val="0"/>
              <w:jc w:val="center"/>
              <w:rPr>
                <w:color w:val="auto"/>
                <w:sz w:val="24"/>
              </w:rPr>
            </w:pPr>
            <w:r>
              <w:rPr>
                <w:color w:val="auto"/>
                <w:sz w:val="24"/>
              </w:rPr>
              <w:t>建设单位联系人</w:t>
            </w:r>
          </w:p>
        </w:tc>
        <w:tc>
          <w:tcPr>
            <w:tcW w:w="1039" w:type="pct"/>
            <w:tcBorders>
              <w:tl2br w:val="nil"/>
              <w:tr2bl w:val="nil"/>
            </w:tcBorders>
            <w:vAlign w:val="center"/>
          </w:tcPr>
          <w:p w14:paraId="207B555C">
            <w:pPr>
              <w:adjustRightInd w:val="0"/>
              <w:snapToGrid w:val="0"/>
              <w:jc w:val="center"/>
              <w:rPr>
                <w:rFonts w:hint="eastAsia" w:eastAsia="宋体"/>
                <w:color w:val="auto"/>
                <w:sz w:val="24"/>
                <w:lang w:eastAsia="zh-CN"/>
              </w:rPr>
            </w:pPr>
            <w:r>
              <w:rPr>
                <w:rFonts w:hint="eastAsia"/>
                <w:color w:val="auto"/>
                <w:sz w:val="24"/>
                <w:lang w:val="en-US" w:eastAsia="zh-CN"/>
              </w:rPr>
              <w:t>郭春泉</w:t>
            </w:r>
          </w:p>
        </w:tc>
        <w:tc>
          <w:tcPr>
            <w:tcW w:w="1081" w:type="pct"/>
            <w:tcBorders>
              <w:tl2br w:val="nil"/>
              <w:tr2bl w:val="nil"/>
            </w:tcBorders>
            <w:vAlign w:val="center"/>
          </w:tcPr>
          <w:p w14:paraId="269C9BDF">
            <w:pPr>
              <w:adjustRightInd w:val="0"/>
              <w:snapToGrid w:val="0"/>
              <w:jc w:val="center"/>
              <w:rPr>
                <w:color w:val="auto"/>
                <w:sz w:val="24"/>
              </w:rPr>
            </w:pPr>
            <w:r>
              <w:rPr>
                <w:color w:val="auto"/>
                <w:sz w:val="24"/>
              </w:rPr>
              <w:t>联系方式</w:t>
            </w:r>
          </w:p>
        </w:tc>
        <w:tc>
          <w:tcPr>
            <w:tcW w:w="1899" w:type="pct"/>
            <w:tcBorders>
              <w:tl2br w:val="nil"/>
              <w:tr2bl w:val="nil"/>
            </w:tcBorders>
            <w:vAlign w:val="center"/>
          </w:tcPr>
          <w:p w14:paraId="50A6A39A">
            <w:pPr>
              <w:adjustRightInd w:val="0"/>
              <w:snapToGrid w:val="0"/>
              <w:jc w:val="center"/>
              <w:rPr>
                <w:rFonts w:hint="default" w:eastAsia="宋体"/>
                <w:color w:val="auto"/>
                <w:sz w:val="24"/>
                <w:lang w:val="en-US" w:eastAsia="zh-CN"/>
              </w:rPr>
            </w:pPr>
            <w:r>
              <w:rPr>
                <w:rFonts w:hint="eastAsia"/>
                <w:color w:val="auto"/>
                <w:sz w:val="24"/>
                <w:lang w:val="en-US" w:eastAsia="zh-CN"/>
              </w:rPr>
              <w:t>13001508368</w:t>
            </w:r>
          </w:p>
        </w:tc>
      </w:tr>
      <w:tr w14:paraId="1484EE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2" w:type="pct"/>
          <w:trHeight w:val="397" w:hRule="atLeast"/>
          <w:jc w:val="center"/>
        </w:trPr>
        <w:tc>
          <w:tcPr>
            <w:tcW w:w="977" w:type="pct"/>
            <w:gridSpan w:val="3"/>
            <w:tcBorders>
              <w:tl2br w:val="nil"/>
              <w:tr2bl w:val="nil"/>
            </w:tcBorders>
            <w:tcMar>
              <w:top w:w="16" w:type="dxa"/>
              <w:left w:w="16" w:type="dxa"/>
              <w:right w:w="16" w:type="dxa"/>
            </w:tcMar>
            <w:vAlign w:val="center"/>
          </w:tcPr>
          <w:p w14:paraId="216A1DA4">
            <w:pPr>
              <w:adjustRightInd w:val="0"/>
              <w:snapToGrid w:val="0"/>
              <w:jc w:val="center"/>
              <w:rPr>
                <w:color w:val="auto"/>
                <w:sz w:val="24"/>
              </w:rPr>
            </w:pPr>
            <w:r>
              <w:rPr>
                <w:color w:val="auto"/>
                <w:sz w:val="24"/>
              </w:rPr>
              <w:t>建设地点</w:t>
            </w:r>
          </w:p>
        </w:tc>
        <w:tc>
          <w:tcPr>
            <w:tcW w:w="4020" w:type="pct"/>
            <w:gridSpan w:val="3"/>
            <w:tcBorders>
              <w:tl2br w:val="nil"/>
              <w:tr2bl w:val="nil"/>
            </w:tcBorders>
            <w:vAlign w:val="center"/>
          </w:tcPr>
          <w:p w14:paraId="18659120">
            <w:pPr>
              <w:adjustRightInd w:val="0"/>
              <w:snapToGrid w:val="0"/>
              <w:jc w:val="center"/>
              <w:rPr>
                <w:rFonts w:hint="default" w:eastAsia="宋体"/>
                <w:color w:val="auto"/>
                <w:sz w:val="24"/>
                <w:lang w:val="en-US" w:eastAsia="zh-CN"/>
              </w:rPr>
            </w:pPr>
            <w:r>
              <w:rPr>
                <w:rFonts w:hint="eastAsia"/>
                <w:color w:val="auto"/>
                <w:sz w:val="24"/>
                <w:lang w:val="en-US" w:eastAsia="zh-CN"/>
              </w:rPr>
              <w:t>淄博市淄川区罗村镇南韩村村委西北1000米</w:t>
            </w:r>
          </w:p>
        </w:tc>
      </w:tr>
      <w:tr w14:paraId="3678FB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2" w:type="pct"/>
          <w:trHeight w:val="397" w:hRule="atLeast"/>
          <w:jc w:val="center"/>
        </w:trPr>
        <w:tc>
          <w:tcPr>
            <w:tcW w:w="977" w:type="pct"/>
            <w:gridSpan w:val="3"/>
            <w:tcBorders>
              <w:tl2br w:val="nil"/>
              <w:tr2bl w:val="nil"/>
            </w:tcBorders>
            <w:tcMar>
              <w:top w:w="16" w:type="dxa"/>
              <w:left w:w="16" w:type="dxa"/>
              <w:right w:w="16" w:type="dxa"/>
            </w:tcMar>
            <w:vAlign w:val="center"/>
          </w:tcPr>
          <w:p w14:paraId="0E61655B">
            <w:pPr>
              <w:adjustRightInd w:val="0"/>
              <w:snapToGrid w:val="0"/>
              <w:jc w:val="center"/>
              <w:rPr>
                <w:color w:val="auto"/>
                <w:sz w:val="24"/>
              </w:rPr>
            </w:pPr>
            <w:r>
              <w:rPr>
                <w:color w:val="auto"/>
                <w:sz w:val="24"/>
              </w:rPr>
              <w:t>地理坐标</w:t>
            </w:r>
          </w:p>
        </w:tc>
        <w:tc>
          <w:tcPr>
            <w:tcW w:w="4020" w:type="pct"/>
            <w:gridSpan w:val="3"/>
            <w:tcBorders>
              <w:tl2br w:val="nil"/>
              <w:tr2bl w:val="nil"/>
            </w:tcBorders>
            <w:vAlign w:val="center"/>
          </w:tcPr>
          <w:p w14:paraId="0E2DA026">
            <w:pPr>
              <w:adjustRightInd w:val="0"/>
              <w:snapToGrid w:val="0"/>
              <w:jc w:val="center"/>
              <w:rPr>
                <w:color w:val="auto"/>
                <w:sz w:val="24"/>
              </w:rPr>
            </w:pPr>
            <w:r>
              <w:rPr>
                <w:rFonts w:hint="eastAsia"/>
                <w:color w:val="auto"/>
                <w:sz w:val="24"/>
                <w:lang w:val="en-US" w:eastAsia="zh-CN"/>
              </w:rPr>
              <w:t>经度118°4′50.992″，纬度36°42′01.933″</w:t>
            </w:r>
          </w:p>
        </w:tc>
      </w:tr>
      <w:tr w14:paraId="2A065D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2" w:type="pct"/>
          <w:trHeight w:val="397" w:hRule="atLeast"/>
          <w:jc w:val="center"/>
        </w:trPr>
        <w:tc>
          <w:tcPr>
            <w:tcW w:w="977" w:type="pct"/>
            <w:gridSpan w:val="3"/>
            <w:tcBorders>
              <w:tl2br w:val="nil"/>
              <w:tr2bl w:val="nil"/>
            </w:tcBorders>
            <w:tcMar>
              <w:top w:w="16" w:type="dxa"/>
              <w:left w:w="16" w:type="dxa"/>
              <w:right w:w="16" w:type="dxa"/>
            </w:tcMar>
            <w:vAlign w:val="center"/>
          </w:tcPr>
          <w:p w14:paraId="171D9EA3">
            <w:pPr>
              <w:adjustRightInd w:val="0"/>
              <w:snapToGrid w:val="0"/>
              <w:jc w:val="center"/>
              <w:rPr>
                <w:color w:val="auto"/>
                <w:sz w:val="24"/>
              </w:rPr>
            </w:pPr>
            <w:r>
              <w:rPr>
                <w:color w:val="auto"/>
                <w:sz w:val="24"/>
              </w:rPr>
              <w:t>国民经济</w:t>
            </w:r>
          </w:p>
          <w:p w14:paraId="04AB39D0">
            <w:pPr>
              <w:adjustRightInd w:val="0"/>
              <w:snapToGrid w:val="0"/>
              <w:jc w:val="center"/>
              <w:rPr>
                <w:color w:val="auto"/>
                <w:sz w:val="24"/>
              </w:rPr>
            </w:pPr>
            <w:r>
              <w:rPr>
                <w:color w:val="auto"/>
                <w:sz w:val="24"/>
              </w:rPr>
              <w:t>行业类别</w:t>
            </w:r>
          </w:p>
        </w:tc>
        <w:tc>
          <w:tcPr>
            <w:tcW w:w="1039" w:type="pct"/>
            <w:tcBorders>
              <w:tl2br w:val="nil"/>
              <w:tr2bl w:val="nil"/>
            </w:tcBorders>
            <w:vAlign w:val="center"/>
          </w:tcPr>
          <w:p w14:paraId="4CD6D7C7">
            <w:pPr>
              <w:adjustRightInd w:val="0"/>
              <w:snapToGrid w:val="0"/>
              <w:jc w:val="center"/>
              <w:rPr>
                <w:rFonts w:hint="eastAsia"/>
                <w:color w:val="auto"/>
                <w:sz w:val="24"/>
                <w:lang w:val="en-US" w:eastAsia="zh-CN"/>
              </w:rPr>
            </w:pPr>
            <w:r>
              <w:rPr>
                <w:rFonts w:hint="eastAsia"/>
                <w:color w:val="auto"/>
                <w:sz w:val="24"/>
                <w:lang w:val="en-US" w:eastAsia="zh-CN"/>
              </w:rPr>
              <w:t>N7724危险</w:t>
            </w:r>
          </w:p>
          <w:p w14:paraId="2EA131EF">
            <w:pPr>
              <w:adjustRightInd w:val="0"/>
              <w:snapToGrid w:val="0"/>
              <w:jc w:val="center"/>
              <w:rPr>
                <w:rFonts w:hint="default" w:eastAsia="宋体"/>
                <w:color w:val="auto"/>
                <w:sz w:val="24"/>
                <w:lang w:val="en-US" w:eastAsia="zh-CN"/>
              </w:rPr>
            </w:pPr>
            <w:r>
              <w:rPr>
                <w:rFonts w:hint="eastAsia"/>
                <w:color w:val="auto"/>
                <w:sz w:val="24"/>
                <w:lang w:val="en-US" w:eastAsia="zh-CN"/>
              </w:rPr>
              <w:t>废物治理</w:t>
            </w:r>
          </w:p>
        </w:tc>
        <w:tc>
          <w:tcPr>
            <w:tcW w:w="1081" w:type="pct"/>
            <w:tcBorders>
              <w:tl2br w:val="nil"/>
              <w:tr2bl w:val="nil"/>
            </w:tcBorders>
            <w:vAlign w:val="center"/>
          </w:tcPr>
          <w:p w14:paraId="58889EAD">
            <w:pPr>
              <w:adjustRightInd w:val="0"/>
              <w:snapToGrid w:val="0"/>
              <w:jc w:val="center"/>
              <w:rPr>
                <w:color w:val="auto"/>
                <w:sz w:val="24"/>
              </w:rPr>
            </w:pPr>
            <w:bookmarkStart w:id="1" w:name="_Hlk49843745"/>
            <w:r>
              <w:rPr>
                <w:color w:val="auto"/>
                <w:sz w:val="24"/>
              </w:rPr>
              <w:t>建设项目</w:t>
            </w:r>
          </w:p>
          <w:p w14:paraId="1DEF5C89">
            <w:pPr>
              <w:adjustRightInd w:val="0"/>
              <w:snapToGrid w:val="0"/>
              <w:jc w:val="center"/>
              <w:rPr>
                <w:color w:val="auto"/>
                <w:sz w:val="24"/>
              </w:rPr>
            </w:pPr>
            <w:r>
              <w:rPr>
                <w:color w:val="auto"/>
                <w:sz w:val="24"/>
              </w:rPr>
              <w:t>行业类别</w:t>
            </w:r>
            <w:bookmarkEnd w:id="1"/>
          </w:p>
        </w:tc>
        <w:tc>
          <w:tcPr>
            <w:tcW w:w="1899" w:type="pct"/>
            <w:tcBorders>
              <w:tl2br w:val="nil"/>
              <w:tr2bl w:val="nil"/>
            </w:tcBorders>
            <w:vAlign w:val="center"/>
          </w:tcPr>
          <w:p w14:paraId="0DB1892E">
            <w:pPr>
              <w:adjustRightInd w:val="0"/>
              <w:snapToGrid w:val="0"/>
              <w:rPr>
                <w:rFonts w:hint="default" w:eastAsia="宋体"/>
                <w:color w:val="auto"/>
                <w:sz w:val="24"/>
                <w:lang w:val="en-US" w:eastAsia="zh-CN"/>
              </w:rPr>
            </w:pPr>
            <w:r>
              <w:rPr>
                <w:rFonts w:hint="eastAsia"/>
                <w:color w:val="auto"/>
                <w:sz w:val="24"/>
                <w:lang w:val="en-US" w:eastAsia="zh-CN"/>
              </w:rPr>
              <w:t>四十七、生态保护和环境治理业  101.危险废物（不含医疗废物）利用及处置</w:t>
            </w:r>
          </w:p>
        </w:tc>
      </w:tr>
      <w:tr w14:paraId="435AB1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2" w:type="pct"/>
          <w:trHeight w:val="397" w:hRule="atLeast"/>
          <w:jc w:val="center"/>
        </w:trPr>
        <w:tc>
          <w:tcPr>
            <w:tcW w:w="977" w:type="pct"/>
            <w:gridSpan w:val="3"/>
            <w:tcBorders>
              <w:tl2br w:val="nil"/>
              <w:tr2bl w:val="nil"/>
            </w:tcBorders>
            <w:tcMar>
              <w:top w:w="16" w:type="dxa"/>
              <w:left w:w="16" w:type="dxa"/>
              <w:right w:w="16" w:type="dxa"/>
            </w:tcMar>
            <w:vAlign w:val="center"/>
          </w:tcPr>
          <w:p w14:paraId="00FFC68F">
            <w:pPr>
              <w:adjustRightInd w:val="0"/>
              <w:snapToGrid w:val="0"/>
              <w:jc w:val="center"/>
              <w:rPr>
                <w:color w:val="auto"/>
                <w:sz w:val="24"/>
              </w:rPr>
            </w:pPr>
            <w:r>
              <w:rPr>
                <w:color w:val="auto"/>
                <w:sz w:val="24"/>
              </w:rPr>
              <w:t>建设性质</w:t>
            </w:r>
          </w:p>
        </w:tc>
        <w:tc>
          <w:tcPr>
            <w:tcW w:w="1039" w:type="pct"/>
            <w:tcBorders>
              <w:tl2br w:val="nil"/>
              <w:tr2bl w:val="nil"/>
            </w:tcBorders>
            <w:vAlign w:val="center"/>
          </w:tcPr>
          <w:p w14:paraId="3380B6CD">
            <w:pPr>
              <w:adjustRightInd w:val="0"/>
              <w:snapToGrid w:val="0"/>
              <w:jc w:val="left"/>
              <w:rPr>
                <w:rFonts w:hint="eastAsia" w:eastAsia="宋体"/>
                <w:color w:val="auto"/>
                <w:sz w:val="24"/>
                <w:lang w:eastAsia="zh-CN"/>
              </w:rPr>
            </w:pPr>
            <w:r>
              <w:rPr>
                <w:rFonts w:hint="eastAsia"/>
                <w:color w:val="auto"/>
                <w:sz w:val="24"/>
                <w:lang w:eastAsia="zh-CN"/>
              </w:rPr>
              <w:t>☑</w:t>
            </w:r>
            <w:r>
              <w:rPr>
                <w:color w:val="auto"/>
                <w:sz w:val="24"/>
              </w:rPr>
              <w:t>新建</w:t>
            </w:r>
            <w:r>
              <w:rPr>
                <w:rFonts w:hint="eastAsia"/>
                <w:color w:val="auto"/>
                <w:sz w:val="24"/>
                <w:lang w:eastAsia="zh-CN"/>
              </w:rPr>
              <w:t>（</w:t>
            </w:r>
            <w:r>
              <w:rPr>
                <w:rFonts w:hint="eastAsia"/>
                <w:color w:val="auto"/>
                <w:sz w:val="24"/>
                <w:lang w:val="en-US" w:eastAsia="zh-CN"/>
              </w:rPr>
              <w:t>迁建</w:t>
            </w:r>
            <w:r>
              <w:rPr>
                <w:rFonts w:hint="eastAsia"/>
                <w:color w:val="auto"/>
                <w:sz w:val="24"/>
                <w:lang w:eastAsia="zh-CN"/>
              </w:rPr>
              <w:t>）</w:t>
            </w:r>
          </w:p>
          <w:p w14:paraId="0F7297F7">
            <w:pPr>
              <w:adjustRightInd w:val="0"/>
              <w:snapToGrid w:val="0"/>
              <w:jc w:val="left"/>
              <w:rPr>
                <w:color w:val="auto"/>
                <w:sz w:val="24"/>
              </w:rPr>
            </w:pPr>
            <w:r>
              <w:rPr>
                <w:rFonts w:hint="eastAsia"/>
                <w:color w:val="auto"/>
                <w:sz w:val="24"/>
                <w:lang w:eastAsia="zh-CN"/>
              </w:rPr>
              <w:t>□</w:t>
            </w:r>
            <w:r>
              <w:rPr>
                <w:color w:val="auto"/>
                <w:sz w:val="24"/>
              </w:rPr>
              <w:t>改建</w:t>
            </w:r>
          </w:p>
          <w:p w14:paraId="3E9C31C8">
            <w:pPr>
              <w:adjustRightInd w:val="0"/>
              <w:snapToGrid w:val="0"/>
              <w:jc w:val="left"/>
              <w:rPr>
                <w:color w:val="auto"/>
                <w:sz w:val="24"/>
              </w:rPr>
            </w:pPr>
            <w:r>
              <w:rPr>
                <w:rFonts w:hint="eastAsia"/>
                <w:color w:val="auto"/>
                <w:sz w:val="24"/>
                <w:lang w:eastAsia="zh-CN"/>
              </w:rPr>
              <w:t>□</w:t>
            </w:r>
            <w:r>
              <w:rPr>
                <w:color w:val="auto"/>
                <w:sz w:val="24"/>
              </w:rPr>
              <w:t>扩建</w:t>
            </w:r>
          </w:p>
          <w:p w14:paraId="0CB73069">
            <w:pPr>
              <w:adjustRightInd w:val="0"/>
              <w:snapToGrid w:val="0"/>
              <w:jc w:val="left"/>
              <w:rPr>
                <w:color w:val="auto"/>
                <w:sz w:val="24"/>
              </w:rPr>
            </w:pPr>
            <w:r>
              <w:rPr>
                <w:rFonts w:hint="eastAsia"/>
                <w:color w:val="auto"/>
                <w:sz w:val="24"/>
                <w:lang w:eastAsia="zh-CN"/>
              </w:rPr>
              <w:t>□</w:t>
            </w:r>
            <w:r>
              <w:rPr>
                <w:color w:val="auto"/>
                <w:sz w:val="24"/>
              </w:rPr>
              <w:t>技术改造</w:t>
            </w:r>
          </w:p>
        </w:tc>
        <w:tc>
          <w:tcPr>
            <w:tcW w:w="1081" w:type="pct"/>
            <w:tcBorders>
              <w:tl2br w:val="nil"/>
              <w:tr2bl w:val="nil"/>
            </w:tcBorders>
            <w:vAlign w:val="center"/>
          </w:tcPr>
          <w:p w14:paraId="2013413B">
            <w:pPr>
              <w:adjustRightInd w:val="0"/>
              <w:snapToGrid w:val="0"/>
              <w:jc w:val="center"/>
              <w:rPr>
                <w:color w:val="auto"/>
                <w:sz w:val="24"/>
              </w:rPr>
            </w:pPr>
            <w:r>
              <w:rPr>
                <w:color w:val="auto"/>
                <w:sz w:val="24"/>
              </w:rPr>
              <w:t>建设项目</w:t>
            </w:r>
          </w:p>
          <w:p w14:paraId="4C41FD60">
            <w:pPr>
              <w:adjustRightInd w:val="0"/>
              <w:snapToGrid w:val="0"/>
              <w:jc w:val="center"/>
              <w:rPr>
                <w:color w:val="auto"/>
                <w:sz w:val="24"/>
              </w:rPr>
            </w:pPr>
            <w:r>
              <w:rPr>
                <w:color w:val="auto"/>
                <w:sz w:val="24"/>
              </w:rPr>
              <w:t>申报情形</w:t>
            </w:r>
          </w:p>
        </w:tc>
        <w:tc>
          <w:tcPr>
            <w:tcW w:w="1899" w:type="pct"/>
            <w:tcBorders>
              <w:tl2br w:val="nil"/>
              <w:tr2bl w:val="nil"/>
            </w:tcBorders>
            <w:vAlign w:val="center"/>
          </w:tcPr>
          <w:p w14:paraId="02FC7C14">
            <w:pPr>
              <w:adjustRightInd w:val="0"/>
              <w:snapToGrid w:val="0"/>
              <w:jc w:val="left"/>
              <w:rPr>
                <w:color w:val="auto"/>
                <w:sz w:val="24"/>
              </w:rPr>
            </w:pPr>
            <w:r>
              <w:rPr>
                <w:color w:val="auto"/>
                <w:sz w:val="24"/>
              </w:rPr>
              <w:t>☑首次申报项目</w:t>
            </w:r>
          </w:p>
          <w:p w14:paraId="08C632A2">
            <w:pPr>
              <w:adjustRightInd w:val="0"/>
              <w:snapToGrid w:val="0"/>
              <w:jc w:val="left"/>
              <w:rPr>
                <w:color w:val="auto"/>
                <w:sz w:val="24"/>
              </w:rPr>
            </w:pPr>
            <w:r>
              <w:rPr>
                <w:rFonts w:hint="eastAsia"/>
                <w:color w:val="auto"/>
                <w:sz w:val="24"/>
                <w:lang w:eastAsia="zh-CN"/>
              </w:rPr>
              <w:t>□</w:t>
            </w:r>
            <w:r>
              <w:rPr>
                <w:color w:val="auto"/>
                <w:sz w:val="24"/>
              </w:rPr>
              <w:t>不予批准后再次申报项目</w:t>
            </w:r>
          </w:p>
          <w:p w14:paraId="4635EB72">
            <w:pPr>
              <w:adjustRightInd w:val="0"/>
              <w:snapToGrid w:val="0"/>
              <w:jc w:val="left"/>
              <w:rPr>
                <w:color w:val="auto"/>
                <w:sz w:val="24"/>
              </w:rPr>
            </w:pPr>
            <w:r>
              <w:rPr>
                <w:rFonts w:hint="eastAsia"/>
                <w:color w:val="auto"/>
                <w:sz w:val="24"/>
                <w:lang w:eastAsia="zh-CN"/>
              </w:rPr>
              <w:t>□</w:t>
            </w:r>
            <w:r>
              <w:rPr>
                <w:color w:val="auto"/>
                <w:sz w:val="24"/>
              </w:rPr>
              <w:t>超五年重新审核项目</w:t>
            </w:r>
          </w:p>
          <w:p w14:paraId="624487CA">
            <w:pPr>
              <w:adjustRightInd w:val="0"/>
              <w:snapToGrid w:val="0"/>
              <w:jc w:val="left"/>
              <w:rPr>
                <w:color w:val="auto"/>
                <w:sz w:val="24"/>
              </w:rPr>
            </w:pPr>
            <w:r>
              <w:rPr>
                <w:rFonts w:hint="eastAsia"/>
                <w:color w:val="auto"/>
                <w:sz w:val="24"/>
                <w:lang w:eastAsia="zh-CN"/>
              </w:rPr>
              <w:t>□</w:t>
            </w:r>
            <w:r>
              <w:rPr>
                <w:color w:val="auto"/>
                <w:sz w:val="24"/>
              </w:rPr>
              <w:t>重大变动重新报批项目</w:t>
            </w:r>
          </w:p>
        </w:tc>
      </w:tr>
      <w:tr w14:paraId="6AFF55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2" w:type="pct"/>
          <w:trHeight w:val="397" w:hRule="atLeast"/>
          <w:jc w:val="center"/>
        </w:trPr>
        <w:tc>
          <w:tcPr>
            <w:tcW w:w="977" w:type="pct"/>
            <w:gridSpan w:val="3"/>
            <w:tcBorders>
              <w:tl2br w:val="nil"/>
              <w:tr2bl w:val="nil"/>
            </w:tcBorders>
            <w:tcMar>
              <w:top w:w="16" w:type="dxa"/>
              <w:left w:w="16" w:type="dxa"/>
              <w:right w:w="16" w:type="dxa"/>
            </w:tcMar>
            <w:vAlign w:val="center"/>
          </w:tcPr>
          <w:p w14:paraId="18533B62">
            <w:pPr>
              <w:adjustRightInd w:val="0"/>
              <w:snapToGrid w:val="0"/>
              <w:jc w:val="center"/>
              <w:rPr>
                <w:color w:val="auto"/>
                <w:sz w:val="24"/>
              </w:rPr>
            </w:pPr>
            <w:r>
              <w:rPr>
                <w:color w:val="auto"/>
                <w:sz w:val="24"/>
              </w:rPr>
              <w:t>项目审批（备案）</w:t>
            </w:r>
          </w:p>
          <w:p w14:paraId="3FF13E67">
            <w:pPr>
              <w:adjustRightInd w:val="0"/>
              <w:snapToGrid w:val="0"/>
              <w:jc w:val="center"/>
              <w:rPr>
                <w:color w:val="auto"/>
                <w:sz w:val="24"/>
              </w:rPr>
            </w:pPr>
            <w:r>
              <w:rPr>
                <w:color w:val="auto"/>
                <w:sz w:val="24"/>
              </w:rPr>
              <w:t>部门（选填）</w:t>
            </w:r>
          </w:p>
        </w:tc>
        <w:tc>
          <w:tcPr>
            <w:tcW w:w="1039" w:type="pct"/>
            <w:tcBorders>
              <w:tl2br w:val="nil"/>
              <w:tr2bl w:val="nil"/>
            </w:tcBorders>
            <w:vAlign w:val="center"/>
          </w:tcPr>
          <w:p w14:paraId="63E973B0">
            <w:pPr>
              <w:keepNext w:val="0"/>
              <w:keepLines w:val="0"/>
              <w:widowControl/>
              <w:suppressLineNumbers w:val="0"/>
              <w:jc w:val="left"/>
              <w:rPr>
                <w:rFonts w:hint="default" w:eastAsia="宋体"/>
                <w:color w:val="auto"/>
                <w:sz w:val="24"/>
                <w:lang w:val="en-US" w:eastAsia="zh-CN"/>
              </w:rPr>
            </w:pPr>
            <w:r>
              <w:rPr>
                <w:rFonts w:hint="eastAsia" w:ascii="宋体" w:hAnsi="宋体" w:eastAsia="宋体" w:cs="宋体"/>
                <w:color w:val="auto"/>
                <w:kern w:val="2"/>
                <w:sz w:val="24"/>
                <w:szCs w:val="24"/>
                <w:lang w:val="en-US" w:eastAsia="zh-CN" w:bidi="ar"/>
              </w:rPr>
              <w:t>淄川区行政审批服务局</w:t>
            </w:r>
          </w:p>
        </w:tc>
        <w:tc>
          <w:tcPr>
            <w:tcW w:w="1081" w:type="pct"/>
            <w:tcBorders>
              <w:tl2br w:val="nil"/>
              <w:tr2bl w:val="nil"/>
            </w:tcBorders>
            <w:vAlign w:val="center"/>
          </w:tcPr>
          <w:p w14:paraId="6B7A8499">
            <w:pPr>
              <w:adjustRightInd w:val="0"/>
              <w:snapToGrid w:val="0"/>
              <w:jc w:val="center"/>
              <w:rPr>
                <w:color w:val="auto"/>
                <w:sz w:val="24"/>
              </w:rPr>
            </w:pPr>
            <w:r>
              <w:rPr>
                <w:color w:val="auto"/>
                <w:sz w:val="24"/>
              </w:rPr>
              <w:t>项目审批（备案）</w:t>
            </w:r>
          </w:p>
          <w:p w14:paraId="2A254A6B">
            <w:pPr>
              <w:adjustRightInd w:val="0"/>
              <w:snapToGrid w:val="0"/>
              <w:jc w:val="center"/>
              <w:rPr>
                <w:color w:val="auto"/>
                <w:sz w:val="24"/>
              </w:rPr>
            </w:pPr>
            <w:r>
              <w:rPr>
                <w:color w:val="auto"/>
                <w:sz w:val="24"/>
              </w:rPr>
              <w:t>文号（选填）</w:t>
            </w:r>
          </w:p>
        </w:tc>
        <w:tc>
          <w:tcPr>
            <w:tcW w:w="1899" w:type="pct"/>
            <w:tcBorders>
              <w:tl2br w:val="nil"/>
              <w:tr2bl w:val="nil"/>
            </w:tcBorders>
            <w:vAlign w:val="center"/>
          </w:tcPr>
          <w:p w14:paraId="2823AE3D">
            <w:pPr>
              <w:adjustRightInd w:val="0"/>
              <w:snapToGrid w:val="0"/>
              <w:jc w:val="center"/>
              <w:rPr>
                <w:color w:val="auto"/>
                <w:sz w:val="24"/>
              </w:rPr>
            </w:pPr>
            <w:r>
              <w:rPr>
                <w:rFonts w:hint="eastAsia"/>
                <w:color w:val="auto"/>
                <w:sz w:val="24"/>
                <w:lang w:val="en-US" w:eastAsia="zh-CN"/>
              </w:rPr>
              <w:t>2603-370302-89-02-617109</w:t>
            </w:r>
          </w:p>
        </w:tc>
      </w:tr>
      <w:tr w14:paraId="2D5E69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2" w:type="pct"/>
          <w:trHeight w:val="397" w:hRule="atLeast"/>
          <w:jc w:val="center"/>
        </w:trPr>
        <w:tc>
          <w:tcPr>
            <w:tcW w:w="977" w:type="pct"/>
            <w:gridSpan w:val="3"/>
            <w:tcBorders>
              <w:tl2br w:val="nil"/>
              <w:tr2bl w:val="nil"/>
            </w:tcBorders>
            <w:tcMar>
              <w:top w:w="16" w:type="dxa"/>
              <w:left w:w="16" w:type="dxa"/>
              <w:right w:w="16" w:type="dxa"/>
            </w:tcMar>
            <w:vAlign w:val="center"/>
          </w:tcPr>
          <w:p w14:paraId="4F74CC55">
            <w:pPr>
              <w:adjustRightInd w:val="0"/>
              <w:snapToGrid w:val="0"/>
              <w:jc w:val="center"/>
              <w:rPr>
                <w:color w:val="auto"/>
                <w:sz w:val="24"/>
              </w:rPr>
            </w:pPr>
            <w:r>
              <w:rPr>
                <w:color w:val="auto"/>
                <w:sz w:val="24"/>
              </w:rPr>
              <w:t>总投资（万元）</w:t>
            </w:r>
          </w:p>
        </w:tc>
        <w:tc>
          <w:tcPr>
            <w:tcW w:w="1039" w:type="pct"/>
            <w:tcBorders>
              <w:tl2br w:val="nil"/>
              <w:tr2bl w:val="nil"/>
            </w:tcBorders>
            <w:vAlign w:val="center"/>
          </w:tcPr>
          <w:p w14:paraId="393DD3E7">
            <w:pPr>
              <w:adjustRightInd w:val="0"/>
              <w:snapToGrid w:val="0"/>
              <w:jc w:val="center"/>
              <w:rPr>
                <w:rFonts w:hint="default" w:eastAsia="宋体"/>
                <w:color w:val="auto"/>
                <w:sz w:val="24"/>
                <w:lang w:val="en-US" w:eastAsia="zh-CN"/>
              </w:rPr>
            </w:pPr>
            <w:r>
              <w:rPr>
                <w:rFonts w:hint="eastAsia"/>
                <w:color w:val="auto"/>
                <w:sz w:val="24"/>
                <w:lang w:val="en-US" w:eastAsia="zh-CN"/>
              </w:rPr>
              <w:t>2000</w:t>
            </w:r>
          </w:p>
        </w:tc>
        <w:tc>
          <w:tcPr>
            <w:tcW w:w="1081" w:type="pct"/>
            <w:tcBorders>
              <w:tl2br w:val="nil"/>
              <w:tr2bl w:val="nil"/>
            </w:tcBorders>
            <w:tcMar>
              <w:top w:w="16" w:type="dxa"/>
              <w:left w:w="16" w:type="dxa"/>
              <w:right w:w="16" w:type="dxa"/>
            </w:tcMar>
            <w:vAlign w:val="center"/>
          </w:tcPr>
          <w:p w14:paraId="4E6693FB">
            <w:pPr>
              <w:adjustRightInd w:val="0"/>
              <w:snapToGrid w:val="0"/>
              <w:jc w:val="center"/>
              <w:rPr>
                <w:color w:val="auto"/>
                <w:sz w:val="24"/>
              </w:rPr>
            </w:pPr>
            <w:r>
              <w:rPr>
                <w:color w:val="auto"/>
                <w:sz w:val="24"/>
              </w:rPr>
              <w:t>环保投资（万元）</w:t>
            </w:r>
          </w:p>
        </w:tc>
        <w:tc>
          <w:tcPr>
            <w:tcW w:w="1899" w:type="pct"/>
            <w:tcBorders>
              <w:tl2br w:val="nil"/>
              <w:tr2bl w:val="nil"/>
            </w:tcBorders>
            <w:vAlign w:val="center"/>
          </w:tcPr>
          <w:p w14:paraId="06D7C40B">
            <w:pPr>
              <w:adjustRightInd w:val="0"/>
              <w:snapToGrid w:val="0"/>
              <w:jc w:val="center"/>
              <w:rPr>
                <w:rFonts w:hint="default" w:eastAsia="宋体"/>
                <w:color w:val="auto"/>
                <w:sz w:val="24"/>
                <w:lang w:val="en-US" w:eastAsia="zh-CN"/>
              </w:rPr>
            </w:pPr>
            <w:r>
              <w:rPr>
                <w:rFonts w:hint="eastAsia"/>
                <w:color w:val="auto"/>
                <w:sz w:val="24"/>
                <w:lang w:val="en-US" w:eastAsia="zh-CN"/>
              </w:rPr>
              <w:t>30</w:t>
            </w:r>
          </w:p>
        </w:tc>
      </w:tr>
      <w:tr w14:paraId="4E3F7C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2" w:type="pct"/>
          <w:trHeight w:val="397" w:hRule="atLeast"/>
          <w:jc w:val="center"/>
        </w:trPr>
        <w:tc>
          <w:tcPr>
            <w:tcW w:w="977" w:type="pct"/>
            <w:gridSpan w:val="3"/>
            <w:tcBorders>
              <w:tl2br w:val="nil"/>
              <w:tr2bl w:val="nil"/>
            </w:tcBorders>
            <w:tcMar>
              <w:top w:w="16" w:type="dxa"/>
              <w:left w:w="16" w:type="dxa"/>
              <w:right w:w="16" w:type="dxa"/>
            </w:tcMar>
            <w:vAlign w:val="center"/>
          </w:tcPr>
          <w:p w14:paraId="02CFB2B9">
            <w:pPr>
              <w:adjustRightInd w:val="0"/>
              <w:snapToGrid w:val="0"/>
              <w:jc w:val="center"/>
              <w:rPr>
                <w:color w:val="auto"/>
                <w:sz w:val="24"/>
              </w:rPr>
            </w:pPr>
            <w:r>
              <w:rPr>
                <w:color w:val="auto"/>
                <w:sz w:val="24"/>
              </w:rPr>
              <w:t>环保投资占比（%）</w:t>
            </w:r>
          </w:p>
        </w:tc>
        <w:tc>
          <w:tcPr>
            <w:tcW w:w="1039" w:type="pct"/>
            <w:tcBorders>
              <w:tl2br w:val="nil"/>
              <w:tr2bl w:val="nil"/>
            </w:tcBorders>
            <w:vAlign w:val="center"/>
          </w:tcPr>
          <w:p w14:paraId="7408F409">
            <w:pPr>
              <w:adjustRightInd w:val="0"/>
              <w:snapToGrid w:val="0"/>
              <w:jc w:val="center"/>
              <w:rPr>
                <w:rFonts w:hint="default"/>
                <w:color w:val="auto"/>
                <w:sz w:val="24"/>
                <w:lang w:val="en-US"/>
              </w:rPr>
            </w:pPr>
            <w:r>
              <w:rPr>
                <w:rFonts w:hint="eastAsia"/>
                <w:color w:val="auto"/>
                <w:sz w:val="24"/>
                <w:lang w:val="en-US" w:eastAsia="zh-CN"/>
              </w:rPr>
              <w:t>1.5</w:t>
            </w:r>
          </w:p>
        </w:tc>
        <w:tc>
          <w:tcPr>
            <w:tcW w:w="1081" w:type="pct"/>
            <w:tcBorders>
              <w:tl2br w:val="nil"/>
              <w:tr2bl w:val="nil"/>
            </w:tcBorders>
            <w:tcMar>
              <w:top w:w="16" w:type="dxa"/>
              <w:left w:w="16" w:type="dxa"/>
              <w:right w:w="16" w:type="dxa"/>
            </w:tcMar>
            <w:vAlign w:val="center"/>
          </w:tcPr>
          <w:p w14:paraId="00B015E3">
            <w:pPr>
              <w:adjustRightInd w:val="0"/>
              <w:snapToGrid w:val="0"/>
              <w:jc w:val="center"/>
              <w:rPr>
                <w:color w:val="auto"/>
                <w:sz w:val="24"/>
              </w:rPr>
            </w:pPr>
            <w:r>
              <w:rPr>
                <w:color w:val="auto"/>
                <w:sz w:val="24"/>
              </w:rPr>
              <w:t>施工工期</w:t>
            </w:r>
          </w:p>
        </w:tc>
        <w:tc>
          <w:tcPr>
            <w:tcW w:w="1899" w:type="pct"/>
            <w:tcBorders>
              <w:tl2br w:val="nil"/>
              <w:tr2bl w:val="nil"/>
            </w:tcBorders>
            <w:vAlign w:val="center"/>
          </w:tcPr>
          <w:p w14:paraId="72A987D9">
            <w:pPr>
              <w:adjustRightInd w:val="0"/>
              <w:snapToGrid w:val="0"/>
              <w:jc w:val="center"/>
              <w:rPr>
                <w:rFonts w:hint="default" w:eastAsia="宋体"/>
                <w:color w:val="auto"/>
                <w:sz w:val="24"/>
                <w:lang w:val="en-US" w:eastAsia="zh-CN"/>
              </w:rPr>
            </w:pPr>
            <w:r>
              <w:rPr>
                <w:rFonts w:hint="eastAsia"/>
                <w:color w:val="auto"/>
                <w:sz w:val="24"/>
                <w:lang w:val="en-US" w:eastAsia="zh-CN"/>
              </w:rPr>
              <w:t>4个月</w:t>
            </w:r>
          </w:p>
        </w:tc>
      </w:tr>
      <w:tr w14:paraId="7276E3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2" w:type="pct"/>
          <w:trHeight w:val="397" w:hRule="atLeast"/>
          <w:jc w:val="center"/>
        </w:trPr>
        <w:tc>
          <w:tcPr>
            <w:tcW w:w="977" w:type="pct"/>
            <w:gridSpan w:val="3"/>
            <w:tcBorders>
              <w:tl2br w:val="nil"/>
              <w:tr2bl w:val="nil"/>
            </w:tcBorders>
            <w:tcMar>
              <w:top w:w="16" w:type="dxa"/>
              <w:left w:w="16" w:type="dxa"/>
              <w:right w:w="16" w:type="dxa"/>
            </w:tcMar>
            <w:vAlign w:val="center"/>
          </w:tcPr>
          <w:p w14:paraId="76928A5D">
            <w:pPr>
              <w:adjustRightInd w:val="0"/>
              <w:snapToGrid w:val="0"/>
              <w:jc w:val="center"/>
              <w:rPr>
                <w:color w:val="auto"/>
                <w:sz w:val="24"/>
              </w:rPr>
            </w:pPr>
            <w:r>
              <w:rPr>
                <w:color w:val="auto"/>
                <w:sz w:val="24"/>
              </w:rPr>
              <w:t>是否开工建设</w:t>
            </w:r>
          </w:p>
        </w:tc>
        <w:tc>
          <w:tcPr>
            <w:tcW w:w="1039" w:type="pct"/>
            <w:tcBorders>
              <w:tl2br w:val="nil"/>
              <w:tr2bl w:val="nil"/>
            </w:tcBorders>
            <w:vAlign w:val="center"/>
          </w:tcPr>
          <w:p w14:paraId="292F6B77">
            <w:pPr>
              <w:adjustRightInd w:val="0"/>
              <w:snapToGrid w:val="0"/>
              <w:jc w:val="center"/>
              <w:rPr>
                <w:color w:val="auto"/>
                <w:sz w:val="24"/>
              </w:rPr>
            </w:pPr>
            <w:r>
              <w:rPr>
                <w:color w:val="auto"/>
                <w:sz w:val="24"/>
              </w:rPr>
              <w:t>☑否</w:t>
            </w:r>
          </w:p>
          <w:p w14:paraId="0CB55A9E">
            <w:pPr>
              <w:adjustRightInd w:val="0"/>
              <w:snapToGrid w:val="0"/>
              <w:jc w:val="center"/>
              <w:rPr>
                <w:color w:val="auto"/>
                <w:sz w:val="24"/>
              </w:rPr>
            </w:pPr>
            <w:r>
              <w:rPr>
                <w:color w:val="auto"/>
                <w:sz w:val="24"/>
              </w:rPr>
              <w:t>□是</w:t>
            </w:r>
          </w:p>
        </w:tc>
        <w:tc>
          <w:tcPr>
            <w:tcW w:w="1081" w:type="pct"/>
            <w:tcBorders>
              <w:tl2br w:val="nil"/>
              <w:tr2bl w:val="nil"/>
            </w:tcBorders>
            <w:tcMar>
              <w:top w:w="16" w:type="dxa"/>
              <w:left w:w="16" w:type="dxa"/>
              <w:right w:w="16" w:type="dxa"/>
            </w:tcMar>
            <w:vAlign w:val="center"/>
          </w:tcPr>
          <w:p w14:paraId="1FCD7DA5">
            <w:pPr>
              <w:adjustRightInd w:val="0"/>
              <w:snapToGrid w:val="0"/>
              <w:jc w:val="center"/>
              <w:rPr>
                <w:color w:val="auto"/>
                <w:sz w:val="24"/>
              </w:rPr>
            </w:pPr>
            <w:r>
              <w:rPr>
                <w:color w:val="auto"/>
                <w:spacing w:val="-6"/>
                <w:sz w:val="24"/>
              </w:rPr>
              <w:t>用地面积（m</w:t>
            </w:r>
            <w:r>
              <w:rPr>
                <w:color w:val="auto"/>
                <w:spacing w:val="-6"/>
                <w:sz w:val="24"/>
                <w:vertAlign w:val="superscript"/>
              </w:rPr>
              <w:t>2</w:t>
            </w:r>
            <w:r>
              <w:rPr>
                <w:color w:val="auto"/>
                <w:spacing w:val="-6"/>
                <w:sz w:val="24"/>
              </w:rPr>
              <w:t>）</w:t>
            </w:r>
          </w:p>
        </w:tc>
        <w:tc>
          <w:tcPr>
            <w:tcW w:w="1899" w:type="pct"/>
            <w:tcBorders>
              <w:tl2br w:val="nil"/>
              <w:tr2bl w:val="nil"/>
            </w:tcBorders>
            <w:vAlign w:val="center"/>
          </w:tcPr>
          <w:p w14:paraId="39BEAF68">
            <w:pPr>
              <w:adjustRightInd w:val="0"/>
              <w:snapToGrid w:val="0"/>
              <w:jc w:val="center"/>
              <w:rPr>
                <w:rFonts w:hint="default" w:eastAsia="宋体"/>
                <w:color w:val="auto"/>
                <w:sz w:val="24"/>
                <w:lang w:val="en-US" w:eastAsia="zh-CN"/>
              </w:rPr>
            </w:pPr>
            <w:r>
              <w:rPr>
                <w:rFonts w:hint="eastAsia"/>
                <w:color w:val="auto"/>
                <w:sz w:val="24"/>
                <w:lang w:val="en-US" w:eastAsia="zh-CN"/>
              </w:rPr>
              <w:t>800</w:t>
            </w:r>
          </w:p>
        </w:tc>
      </w:tr>
      <w:tr w14:paraId="6A2E3F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 w:type="pct"/>
          <w:trHeight w:val="5840" w:hRule="atLeast"/>
          <w:jc w:val="center"/>
        </w:trPr>
        <w:tc>
          <w:tcPr>
            <w:tcW w:w="709" w:type="pct"/>
            <w:gridSpan w:val="2"/>
            <w:tcBorders>
              <w:tl2br w:val="nil"/>
              <w:tr2bl w:val="nil"/>
            </w:tcBorders>
            <w:vAlign w:val="center"/>
          </w:tcPr>
          <w:p w14:paraId="473CDAA3">
            <w:pPr>
              <w:autoSpaceDE w:val="0"/>
              <w:autoSpaceDN w:val="0"/>
              <w:adjustRightInd w:val="0"/>
              <w:snapToGrid w:val="0"/>
              <w:jc w:val="center"/>
              <w:rPr>
                <w:color w:val="auto"/>
                <w:kern w:val="0"/>
                <w:sz w:val="24"/>
              </w:rPr>
            </w:pPr>
            <w:r>
              <w:rPr>
                <w:color w:val="auto"/>
                <w:kern w:val="0"/>
                <w:sz w:val="24"/>
              </w:rPr>
              <w:t>专项评价</w:t>
            </w:r>
          </w:p>
          <w:p w14:paraId="72737DD2">
            <w:pPr>
              <w:autoSpaceDE w:val="0"/>
              <w:autoSpaceDN w:val="0"/>
              <w:adjustRightInd w:val="0"/>
              <w:snapToGrid w:val="0"/>
              <w:jc w:val="center"/>
              <w:rPr>
                <w:color w:val="FF0000"/>
                <w:kern w:val="0"/>
                <w:sz w:val="24"/>
              </w:rPr>
            </w:pPr>
            <w:r>
              <w:rPr>
                <w:color w:val="auto"/>
                <w:kern w:val="0"/>
                <w:sz w:val="24"/>
              </w:rPr>
              <w:t>设置情况</w:t>
            </w:r>
          </w:p>
        </w:tc>
        <w:tc>
          <w:tcPr>
            <w:tcW w:w="4288" w:type="pct"/>
            <w:gridSpan w:val="4"/>
            <w:tcBorders>
              <w:tl2br w:val="nil"/>
              <w:tr2bl w:val="nil"/>
            </w:tcBorders>
            <w:vAlign w:val="center"/>
          </w:tcPr>
          <w:p w14:paraId="4BF9D397">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leftChars="0" w:firstLine="480" w:firstLineChars="200"/>
              <w:jc w:val="both"/>
              <w:textAlignment w:val="auto"/>
              <w:rPr>
                <w:rFonts w:hint="default" w:ascii="宋体" w:hAnsi="宋体" w:cs="宋体"/>
                <w:b w:val="0"/>
                <w:bCs w:val="0"/>
                <w:color w:val="auto"/>
                <w:kern w:val="0"/>
                <w:sz w:val="24"/>
                <w:szCs w:val="24"/>
                <w:lang w:val="en-US" w:eastAsia="zh-CN" w:bidi="ar"/>
              </w:rPr>
            </w:pPr>
            <w:r>
              <w:rPr>
                <w:rFonts w:hint="eastAsia" w:ascii="宋体" w:hAnsi="宋体" w:cs="宋体"/>
                <w:b w:val="0"/>
                <w:bCs w:val="0"/>
                <w:color w:val="auto"/>
                <w:kern w:val="0"/>
                <w:sz w:val="24"/>
                <w:szCs w:val="24"/>
                <w:lang w:val="en-US" w:eastAsia="zh-CN" w:bidi="ar"/>
              </w:rPr>
              <w:t>本项目专项评价设置情况见表1-1。</w:t>
            </w:r>
          </w:p>
          <w:p w14:paraId="607C9E42">
            <w:pPr>
              <w:keepNext w:val="0"/>
              <w:keepLines w:val="0"/>
              <w:pageBreakBefore w:val="0"/>
              <w:widowControl w:val="0"/>
              <w:numPr>
                <w:ilvl w:val="0"/>
                <w:numId w:val="2"/>
              </w:numPr>
              <w:kinsoku/>
              <w:wordWrap/>
              <w:overflowPunct/>
              <w:topLinePunct w:val="0"/>
              <w:autoSpaceDE w:val="0"/>
              <w:autoSpaceDN w:val="0"/>
              <w:bidi w:val="0"/>
              <w:adjustRightInd w:val="0"/>
              <w:snapToGrid w:val="0"/>
              <w:spacing w:line="360" w:lineRule="auto"/>
              <w:ind w:left="0" w:leftChars="0" w:firstLine="403" w:firstLineChars="0"/>
              <w:jc w:val="center"/>
              <w:textAlignment w:val="auto"/>
              <w:rPr>
                <w:rFonts w:hint="eastAsia" w:ascii="宋体" w:hAnsi="宋体" w:cs="宋体"/>
                <w:b/>
                <w:bCs/>
                <w:color w:val="auto"/>
                <w:kern w:val="0"/>
                <w:sz w:val="24"/>
                <w:szCs w:val="24"/>
                <w:lang w:val="en-US" w:eastAsia="zh-CN" w:bidi="ar"/>
              </w:rPr>
            </w:pPr>
            <w:r>
              <w:rPr>
                <w:rFonts w:hint="eastAsia" w:ascii="宋体" w:hAnsi="宋体" w:cs="宋体"/>
                <w:b/>
                <w:bCs/>
                <w:color w:val="auto"/>
                <w:kern w:val="0"/>
                <w:sz w:val="24"/>
                <w:szCs w:val="24"/>
                <w:lang w:val="en-US" w:eastAsia="zh-CN" w:bidi="ar"/>
              </w:rPr>
              <w:t>专项评价设置情况表</w:t>
            </w:r>
          </w:p>
          <w:tbl>
            <w:tblPr>
              <w:tblStyle w:val="2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99"/>
              <w:gridCol w:w="3476"/>
              <w:gridCol w:w="1449"/>
              <w:gridCol w:w="1033"/>
            </w:tblGrid>
            <w:tr w14:paraId="2B6341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71" w:type="dxa"/>
                  <w:noWrap w:val="0"/>
                  <w:vAlign w:val="center"/>
                </w:tcPr>
                <w:p w14:paraId="351D0A58">
                  <w:pPr>
                    <w:autoSpaceDE w:val="0"/>
                    <w:autoSpaceDN w:val="0"/>
                    <w:adjustRightInd w:val="0"/>
                    <w:snapToGrid w:val="0"/>
                    <w:jc w:val="center"/>
                    <w:rPr>
                      <w:color w:val="auto"/>
                      <w:kern w:val="0"/>
                      <w:szCs w:val="21"/>
                    </w:rPr>
                  </w:pPr>
                  <w:r>
                    <w:rPr>
                      <w:color w:val="auto"/>
                      <w:kern w:val="0"/>
                      <w:szCs w:val="21"/>
                    </w:rPr>
                    <w:t>专项评价的类别</w:t>
                  </w:r>
                </w:p>
              </w:tc>
              <w:tc>
                <w:tcPr>
                  <w:tcW w:w="3754" w:type="dxa"/>
                  <w:noWrap w:val="0"/>
                  <w:vAlign w:val="center"/>
                </w:tcPr>
                <w:p w14:paraId="7FDE772E">
                  <w:pPr>
                    <w:autoSpaceDE w:val="0"/>
                    <w:autoSpaceDN w:val="0"/>
                    <w:adjustRightInd w:val="0"/>
                    <w:snapToGrid w:val="0"/>
                    <w:jc w:val="center"/>
                    <w:rPr>
                      <w:color w:val="auto"/>
                      <w:kern w:val="0"/>
                      <w:szCs w:val="21"/>
                    </w:rPr>
                  </w:pPr>
                  <w:r>
                    <w:rPr>
                      <w:color w:val="auto"/>
                      <w:kern w:val="0"/>
                      <w:szCs w:val="21"/>
                    </w:rPr>
                    <w:t>设置原则</w:t>
                  </w:r>
                </w:p>
              </w:tc>
              <w:tc>
                <w:tcPr>
                  <w:tcW w:w="1535" w:type="dxa"/>
                  <w:noWrap w:val="0"/>
                  <w:vAlign w:val="center"/>
                </w:tcPr>
                <w:p w14:paraId="6E0801E2">
                  <w:pPr>
                    <w:autoSpaceDE w:val="0"/>
                    <w:autoSpaceDN w:val="0"/>
                    <w:adjustRightInd w:val="0"/>
                    <w:snapToGrid w:val="0"/>
                    <w:jc w:val="center"/>
                    <w:rPr>
                      <w:color w:val="auto"/>
                      <w:kern w:val="0"/>
                      <w:szCs w:val="21"/>
                    </w:rPr>
                  </w:pPr>
                  <w:r>
                    <w:rPr>
                      <w:color w:val="auto"/>
                      <w:kern w:val="0"/>
                      <w:szCs w:val="21"/>
                    </w:rPr>
                    <w:t>本项目情况</w:t>
                  </w:r>
                </w:p>
              </w:tc>
              <w:tc>
                <w:tcPr>
                  <w:tcW w:w="1097" w:type="dxa"/>
                  <w:noWrap w:val="0"/>
                  <w:vAlign w:val="center"/>
                </w:tcPr>
                <w:p w14:paraId="49151B6B">
                  <w:pPr>
                    <w:autoSpaceDE w:val="0"/>
                    <w:autoSpaceDN w:val="0"/>
                    <w:adjustRightInd w:val="0"/>
                    <w:snapToGrid w:val="0"/>
                    <w:jc w:val="center"/>
                    <w:rPr>
                      <w:color w:val="auto"/>
                      <w:kern w:val="0"/>
                      <w:szCs w:val="21"/>
                    </w:rPr>
                  </w:pPr>
                  <w:r>
                    <w:rPr>
                      <w:color w:val="auto"/>
                      <w:kern w:val="0"/>
                      <w:szCs w:val="21"/>
                    </w:rPr>
                    <w:t>专项设置情况</w:t>
                  </w:r>
                </w:p>
              </w:tc>
            </w:tr>
            <w:tr w14:paraId="344DD3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71" w:type="dxa"/>
                  <w:noWrap w:val="0"/>
                  <w:vAlign w:val="center"/>
                </w:tcPr>
                <w:p w14:paraId="710489EE">
                  <w:pPr>
                    <w:autoSpaceDE w:val="0"/>
                    <w:autoSpaceDN w:val="0"/>
                    <w:adjustRightInd w:val="0"/>
                    <w:snapToGrid w:val="0"/>
                    <w:jc w:val="center"/>
                    <w:rPr>
                      <w:color w:val="auto"/>
                      <w:kern w:val="0"/>
                      <w:szCs w:val="21"/>
                    </w:rPr>
                  </w:pPr>
                  <w:r>
                    <w:rPr>
                      <w:color w:val="auto"/>
                      <w:kern w:val="0"/>
                      <w:szCs w:val="21"/>
                    </w:rPr>
                    <w:t>大气</w:t>
                  </w:r>
                </w:p>
              </w:tc>
              <w:tc>
                <w:tcPr>
                  <w:tcW w:w="3754" w:type="dxa"/>
                  <w:noWrap w:val="0"/>
                  <w:vAlign w:val="center"/>
                </w:tcPr>
                <w:p w14:paraId="678607AD">
                  <w:pPr>
                    <w:autoSpaceDE w:val="0"/>
                    <w:autoSpaceDN w:val="0"/>
                    <w:adjustRightInd w:val="0"/>
                    <w:snapToGrid w:val="0"/>
                    <w:jc w:val="left"/>
                    <w:rPr>
                      <w:color w:val="auto"/>
                      <w:kern w:val="0"/>
                      <w:szCs w:val="21"/>
                    </w:rPr>
                  </w:pPr>
                  <w:r>
                    <w:rPr>
                      <w:color w:val="auto"/>
                      <w:kern w:val="0"/>
                      <w:szCs w:val="21"/>
                    </w:rPr>
                    <w:t>排放废气含有毒有害污染物、二噁英、苯并[a]芘、氰化物、氯气且厂界外500米范围内有环境空气保护目标的建设项目</w:t>
                  </w:r>
                </w:p>
              </w:tc>
              <w:tc>
                <w:tcPr>
                  <w:tcW w:w="1535" w:type="dxa"/>
                  <w:noWrap w:val="0"/>
                  <w:vAlign w:val="center"/>
                </w:tcPr>
                <w:p w14:paraId="2A8227A0">
                  <w:pPr>
                    <w:autoSpaceDE w:val="0"/>
                    <w:autoSpaceDN w:val="0"/>
                    <w:adjustRightInd w:val="0"/>
                    <w:snapToGrid w:val="0"/>
                    <w:jc w:val="center"/>
                    <w:rPr>
                      <w:color w:val="auto"/>
                      <w:kern w:val="0"/>
                      <w:szCs w:val="21"/>
                    </w:rPr>
                  </w:pPr>
                  <w:r>
                    <w:rPr>
                      <w:color w:val="auto"/>
                      <w:kern w:val="0"/>
                      <w:szCs w:val="21"/>
                    </w:rPr>
                    <w:t>本项目不涉及</w:t>
                  </w:r>
                </w:p>
                <w:p w14:paraId="73EA21B0">
                  <w:pPr>
                    <w:autoSpaceDE w:val="0"/>
                    <w:autoSpaceDN w:val="0"/>
                    <w:adjustRightInd w:val="0"/>
                    <w:snapToGrid w:val="0"/>
                    <w:jc w:val="center"/>
                    <w:rPr>
                      <w:color w:val="auto"/>
                      <w:kern w:val="0"/>
                      <w:szCs w:val="21"/>
                    </w:rPr>
                  </w:pPr>
                  <w:r>
                    <w:rPr>
                      <w:color w:val="auto"/>
                      <w:kern w:val="0"/>
                      <w:szCs w:val="21"/>
                    </w:rPr>
                    <w:t>左栏所列污染物</w:t>
                  </w:r>
                </w:p>
              </w:tc>
              <w:tc>
                <w:tcPr>
                  <w:tcW w:w="1097" w:type="dxa"/>
                  <w:noWrap w:val="0"/>
                  <w:vAlign w:val="center"/>
                </w:tcPr>
                <w:p w14:paraId="54BC78E7">
                  <w:pPr>
                    <w:autoSpaceDE w:val="0"/>
                    <w:autoSpaceDN w:val="0"/>
                    <w:adjustRightInd w:val="0"/>
                    <w:snapToGrid w:val="0"/>
                    <w:jc w:val="center"/>
                    <w:rPr>
                      <w:color w:val="auto"/>
                      <w:kern w:val="0"/>
                      <w:szCs w:val="21"/>
                    </w:rPr>
                  </w:pPr>
                  <w:r>
                    <w:rPr>
                      <w:color w:val="auto"/>
                      <w:kern w:val="0"/>
                      <w:szCs w:val="21"/>
                    </w:rPr>
                    <w:t>无</w:t>
                  </w:r>
                </w:p>
              </w:tc>
            </w:tr>
            <w:tr w14:paraId="1A2B06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71" w:type="dxa"/>
                  <w:noWrap w:val="0"/>
                  <w:vAlign w:val="center"/>
                </w:tcPr>
                <w:p w14:paraId="019C31B8">
                  <w:pPr>
                    <w:autoSpaceDE w:val="0"/>
                    <w:autoSpaceDN w:val="0"/>
                    <w:adjustRightInd w:val="0"/>
                    <w:snapToGrid w:val="0"/>
                    <w:jc w:val="center"/>
                    <w:rPr>
                      <w:color w:val="auto"/>
                      <w:kern w:val="0"/>
                      <w:szCs w:val="21"/>
                    </w:rPr>
                  </w:pPr>
                  <w:r>
                    <w:rPr>
                      <w:color w:val="auto"/>
                      <w:kern w:val="0"/>
                      <w:szCs w:val="21"/>
                    </w:rPr>
                    <w:t>地表水</w:t>
                  </w:r>
                </w:p>
              </w:tc>
              <w:tc>
                <w:tcPr>
                  <w:tcW w:w="3754" w:type="dxa"/>
                  <w:noWrap w:val="0"/>
                  <w:vAlign w:val="center"/>
                </w:tcPr>
                <w:p w14:paraId="042CB48C">
                  <w:pPr>
                    <w:autoSpaceDE w:val="0"/>
                    <w:autoSpaceDN w:val="0"/>
                    <w:adjustRightInd w:val="0"/>
                    <w:snapToGrid w:val="0"/>
                    <w:jc w:val="left"/>
                    <w:rPr>
                      <w:color w:val="auto"/>
                      <w:kern w:val="0"/>
                      <w:szCs w:val="21"/>
                    </w:rPr>
                  </w:pPr>
                  <w:r>
                    <w:rPr>
                      <w:color w:val="auto"/>
                      <w:kern w:val="0"/>
                      <w:szCs w:val="21"/>
                    </w:rPr>
                    <w:t>新增工业废水直排建设项目（槽罐车外送污水处理厂的除外）；</w:t>
                  </w:r>
                </w:p>
                <w:p w14:paraId="1C2D52FF">
                  <w:pPr>
                    <w:autoSpaceDE w:val="0"/>
                    <w:autoSpaceDN w:val="0"/>
                    <w:adjustRightInd w:val="0"/>
                    <w:snapToGrid w:val="0"/>
                    <w:jc w:val="left"/>
                    <w:rPr>
                      <w:color w:val="auto"/>
                      <w:kern w:val="0"/>
                      <w:szCs w:val="21"/>
                    </w:rPr>
                  </w:pPr>
                  <w:r>
                    <w:rPr>
                      <w:color w:val="auto"/>
                      <w:kern w:val="0"/>
                      <w:szCs w:val="21"/>
                    </w:rPr>
                    <w:t>新增废水直排的污水集中处理厂</w:t>
                  </w:r>
                </w:p>
              </w:tc>
              <w:tc>
                <w:tcPr>
                  <w:tcW w:w="1535" w:type="dxa"/>
                  <w:noWrap w:val="0"/>
                  <w:vAlign w:val="center"/>
                </w:tcPr>
                <w:p w14:paraId="5FD8D4E5">
                  <w:pPr>
                    <w:autoSpaceDE w:val="0"/>
                    <w:autoSpaceDN w:val="0"/>
                    <w:adjustRightInd w:val="0"/>
                    <w:snapToGrid w:val="0"/>
                    <w:jc w:val="center"/>
                    <w:rPr>
                      <w:color w:val="auto"/>
                      <w:kern w:val="0"/>
                      <w:szCs w:val="21"/>
                    </w:rPr>
                  </w:pPr>
                  <w:r>
                    <w:rPr>
                      <w:color w:val="auto"/>
                      <w:kern w:val="0"/>
                      <w:szCs w:val="21"/>
                    </w:rPr>
                    <w:t>本项目</w:t>
                  </w:r>
                  <w:r>
                    <w:rPr>
                      <w:rFonts w:hint="eastAsia"/>
                      <w:color w:val="auto"/>
                      <w:kern w:val="0"/>
                      <w:szCs w:val="21"/>
                    </w:rPr>
                    <w:t>无</w:t>
                  </w:r>
                  <w:r>
                    <w:rPr>
                      <w:color w:val="auto"/>
                      <w:kern w:val="0"/>
                      <w:szCs w:val="21"/>
                    </w:rPr>
                    <w:t>废水排放。</w:t>
                  </w:r>
                </w:p>
              </w:tc>
              <w:tc>
                <w:tcPr>
                  <w:tcW w:w="1097" w:type="dxa"/>
                  <w:noWrap w:val="0"/>
                  <w:vAlign w:val="center"/>
                </w:tcPr>
                <w:p w14:paraId="6B178701">
                  <w:pPr>
                    <w:autoSpaceDE w:val="0"/>
                    <w:autoSpaceDN w:val="0"/>
                    <w:adjustRightInd w:val="0"/>
                    <w:snapToGrid w:val="0"/>
                    <w:jc w:val="center"/>
                    <w:rPr>
                      <w:color w:val="auto"/>
                      <w:kern w:val="0"/>
                      <w:szCs w:val="21"/>
                    </w:rPr>
                  </w:pPr>
                  <w:r>
                    <w:rPr>
                      <w:color w:val="auto"/>
                      <w:kern w:val="0"/>
                      <w:szCs w:val="21"/>
                    </w:rPr>
                    <w:t>无</w:t>
                  </w:r>
                </w:p>
              </w:tc>
            </w:tr>
            <w:tr w14:paraId="360F64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71" w:type="dxa"/>
                  <w:noWrap w:val="0"/>
                  <w:vAlign w:val="center"/>
                </w:tcPr>
                <w:p w14:paraId="35AE4E42">
                  <w:pPr>
                    <w:autoSpaceDE w:val="0"/>
                    <w:autoSpaceDN w:val="0"/>
                    <w:adjustRightInd w:val="0"/>
                    <w:snapToGrid w:val="0"/>
                    <w:jc w:val="center"/>
                    <w:rPr>
                      <w:color w:val="auto"/>
                      <w:kern w:val="0"/>
                      <w:szCs w:val="21"/>
                    </w:rPr>
                  </w:pPr>
                  <w:r>
                    <w:rPr>
                      <w:color w:val="auto"/>
                      <w:kern w:val="0"/>
                      <w:szCs w:val="21"/>
                    </w:rPr>
                    <w:t>环境风险</w:t>
                  </w:r>
                </w:p>
              </w:tc>
              <w:tc>
                <w:tcPr>
                  <w:tcW w:w="3754" w:type="dxa"/>
                  <w:noWrap w:val="0"/>
                  <w:vAlign w:val="center"/>
                </w:tcPr>
                <w:p w14:paraId="06FBAB6A">
                  <w:pPr>
                    <w:autoSpaceDE w:val="0"/>
                    <w:autoSpaceDN w:val="0"/>
                    <w:adjustRightInd w:val="0"/>
                    <w:snapToGrid w:val="0"/>
                    <w:jc w:val="left"/>
                    <w:rPr>
                      <w:color w:val="auto"/>
                      <w:kern w:val="0"/>
                      <w:szCs w:val="21"/>
                    </w:rPr>
                  </w:pPr>
                  <w:r>
                    <w:rPr>
                      <w:color w:val="auto"/>
                      <w:kern w:val="0"/>
                      <w:szCs w:val="21"/>
                    </w:rPr>
                    <w:t>有毒有害和易燃易爆危险物质存储量超过临界量的建设项目</w:t>
                  </w:r>
                </w:p>
              </w:tc>
              <w:tc>
                <w:tcPr>
                  <w:tcW w:w="1535" w:type="dxa"/>
                  <w:noWrap w:val="0"/>
                  <w:vAlign w:val="center"/>
                </w:tcPr>
                <w:p w14:paraId="319924CA">
                  <w:pPr>
                    <w:autoSpaceDE w:val="0"/>
                    <w:autoSpaceDN w:val="0"/>
                    <w:adjustRightInd w:val="0"/>
                    <w:snapToGrid w:val="0"/>
                    <w:jc w:val="center"/>
                    <w:rPr>
                      <w:color w:val="auto"/>
                      <w:kern w:val="0"/>
                      <w:szCs w:val="21"/>
                    </w:rPr>
                  </w:pPr>
                  <w:r>
                    <w:rPr>
                      <w:color w:val="auto"/>
                      <w:kern w:val="0"/>
                      <w:szCs w:val="21"/>
                    </w:rPr>
                    <w:t>项目Q</w:t>
                  </w:r>
                  <w:r>
                    <w:rPr>
                      <w:rFonts w:hint="eastAsia"/>
                      <w:color w:val="auto"/>
                      <w:kern w:val="0"/>
                      <w:szCs w:val="21"/>
                      <w:lang w:val="en-US" w:eastAsia="zh-CN"/>
                    </w:rPr>
                    <w:t>＜</w:t>
                  </w:r>
                  <w:r>
                    <w:rPr>
                      <w:color w:val="auto"/>
                      <w:kern w:val="0"/>
                      <w:szCs w:val="21"/>
                    </w:rPr>
                    <w:t>1</w:t>
                  </w:r>
                </w:p>
              </w:tc>
              <w:tc>
                <w:tcPr>
                  <w:tcW w:w="1097" w:type="dxa"/>
                  <w:noWrap w:val="0"/>
                  <w:vAlign w:val="center"/>
                </w:tcPr>
                <w:p w14:paraId="379D9F04">
                  <w:pPr>
                    <w:autoSpaceDE w:val="0"/>
                    <w:autoSpaceDN w:val="0"/>
                    <w:adjustRightInd w:val="0"/>
                    <w:snapToGrid w:val="0"/>
                    <w:jc w:val="center"/>
                    <w:rPr>
                      <w:rFonts w:hint="default" w:eastAsia="宋体"/>
                      <w:color w:val="auto"/>
                      <w:kern w:val="0"/>
                      <w:szCs w:val="21"/>
                      <w:lang w:val="en-US" w:eastAsia="zh-CN"/>
                    </w:rPr>
                  </w:pPr>
                  <w:r>
                    <w:rPr>
                      <w:rFonts w:hint="eastAsia"/>
                      <w:color w:val="auto"/>
                      <w:kern w:val="0"/>
                      <w:szCs w:val="21"/>
                      <w:lang w:val="en-US" w:eastAsia="zh-CN"/>
                    </w:rPr>
                    <w:t>无</w:t>
                  </w:r>
                </w:p>
              </w:tc>
            </w:tr>
            <w:tr w14:paraId="0CDB63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71" w:type="dxa"/>
                  <w:noWrap w:val="0"/>
                  <w:vAlign w:val="center"/>
                </w:tcPr>
                <w:p w14:paraId="3C8BCE14">
                  <w:pPr>
                    <w:autoSpaceDE w:val="0"/>
                    <w:autoSpaceDN w:val="0"/>
                    <w:adjustRightInd w:val="0"/>
                    <w:snapToGrid w:val="0"/>
                    <w:jc w:val="center"/>
                    <w:rPr>
                      <w:color w:val="auto"/>
                      <w:kern w:val="0"/>
                      <w:szCs w:val="21"/>
                    </w:rPr>
                  </w:pPr>
                  <w:r>
                    <w:rPr>
                      <w:color w:val="auto"/>
                      <w:kern w:val="0"/>
                      <w:szCs w:val="21"/>
                    </w:rPr>
                    <w:t>生态</w:t>
                  </w:r>
                </w:p>
              </w:tc>
              <w:tc>
                <w:tcPr>
                  <w:tcW w:w="3754" w:type="dxa"/>
                  <w:noWrap w:val="0"/>
                  <w:vAlign w:val="center"/>
                </w:tcPr>
                <w:p w14:paraId="21D987CA">
                  <w:pPr>
                    <w:autoSpaceDE w:val="0"/>
                    <w:autoSpaceDN w:val="0"/>
                    <w:adjustRightInd w:val="0"/>
                    <w:snapToGrid w:val="0"/>
                    <w:jc w:val="left"/>
                    <w:rPr>
                      <w:color w:val="auto"/>
                      <w:kern w:val="0"/>
                      <w:szCs w:val="21"/>
                    </w:rPr>
                  </w:pPr>
                  <w:r>
                    <w:rPr>
                      <w:color w:val="auto"/>
                      <w:kern w:val="0"/>
                      <w:szCs w:val="21"/>
                    </w:rPr>
                    <w:t>取水口下游500米范围内有重要水生生物的自然产卵场、索饵场、越冬场和洄游通道的新增河道取水的污染类建设项目</w:t>
                  </w:r>
                </w:p>
              </w:tc>
              <w:tc>
                <w:tcPr>
                  <w:tcW w:w="1535" w:type="dxa"/>
                  <w:noWrap w:val="0"/>
                  <w:vAlign w:val="center"/>
                </w:tcPr>
                <w:p w14:paraId="3E7CE699">
                  <w:pPr>
                    <w:autoSpaceDE w:val="0"/>
                    <w:autoSpaceDN w:val="0"/>
                    <w:adjustRightInd w:val="0"/>
                    <w:snapToGrid w:val="0"/>
                    <w:jc w:val="center"/>
                    <w:rPr>
                      <w:color w:val="auto"/>
                      <w:kern w:val="0"/>
                      <w:szCs w:val="21"/>
                    </w:rPr>
                  </w:pPr>
                  <w:r>
                    <w:rPr>
                      <w:color w:val="auto"/>
                      <w:kern w:val="0"/>
                      <w:szCs w:val="21"/>
                    </w:rPr>
                    <w:t>不涉及</w:t>
                  </w:r>
                </w:p>
              </w:tc>
              <w:tc>
                <w:tcPr>
                  <w:tcW w:w="1097" w:type="dxa"/>
                  <w:noWrap w:val="0"/>
                  <w:vAlign w:val="center"/>
                </w:tcPr>
                <w:p w14:paraId="74CA0617">
                  <w:pPr>
                    <w:autoSpaceDE w:val="0"/>
                    <w:autoSpaceDN w:val="0"/>
                    <w:adjustRightInd w:val="0"/>
                    <w:snapToGrid w:val="0"/>
                    <w:jc w:val="center"/>
                    <w:rPr>
                      <w:color w:val="auto"/>
                      <w:kern w:val="0"/>
                      <w:szCs w:val="21"/>
                    </w:rPr>
                  </w:pPr>
                  <w:r>
                    <w:rPr>
                      <w:color w:val="auto"/>
                      <w:kern w:val="0"/>
                      <w:szCs w:val="21"/>
                    </w:rPr>
                    <w:t>无</w:t>
                  </w:r>
                </w:p>
              </w:tc>
            </w:tr>
            <w:tr w14:paraId="16AE46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71" w:type="dxa"/>
                  <w:noWrap w:val="0"/>
                  <w:vAlign w:val="center"/>
                </w:tcPr>
                <w:p w14:paraId="52A4B1F3">
                  <w:pPr>
                    <w:autoSpaceDE w:val="0"/>
                    <w:autoSpaceDN w:val="0"/>
                    <w:adjustRightInd w:val="0"/>
                    <w:snapToGrid w:val="0"/>
                    <w:jc w:val="center"/>
                    <w:rPr>
                      <w:color w:val="auto"/>
                      <w:kern w:val="0"/>
                      <w:szCs w:val="21"/>
                    </w:rPr>
                  </w:pPr>
                  <w:r>
                    <w:rPr>
                      <w:color w:val="auto"/>
                      <w:kern w:val="0"/>
                      <w:szCs w:val="21"/>
                    </w:rPr>
                    <w:t>海洋</w:t>
                  </w:r>
                </w:p>
              </w:tc>
              <w:tc>
                <w:tcPr>
                  <w:tcW w:w="3754" w:type="dxa"/>
                  <w:noWrap w:val="0"/>
                  <w:vAlign w:val="center"/>
                </w:tcPr>
                <w:p w14:paraId="32524FBE">
                  <w:pPr>
                    <w:autoSpaceDE w:val="0"/>
                    <w:autoSpaceDN w:val="0"/>
                    <w:adjustRightInd w:val="0"/>
                    <w:snapToGrid w:val="0"/>
                    <w:jc w:val="left"/>
                    <w:rPr>
                      <w:color w:val="auto"/>
                      <w:kern w:val="0"/>
                      <w:szCs w:val="21"/>
                    </w:rPr>
                  </w:pPr>
                  <w:r>
                    <w:rPr>
                      <w:color w:val="auto"/>
                      <w:kern w:val="0"/>
                      <w:szCs w:val="21"/>
                    </w:rPr>
                    <w:t>直接向海排放污染物的海洋工程建设项目</w:t>
                  </w:r>
                </w:p>
              </w:tc>
              <w:tc>
                <w:tcPr>
                  <w:tcW w:w="1535" w:type="dxa"/>
                  <w:noWrap w:val="0"/>
                  <w:vAlign w:val="center"/>
                </w:tcPr>
                <w:p w14:paraId="33A6A104">
                  <w:pPr>
                    <w:autoSpaceDE w:val="0"/>
                    <w:autoSpaceDN w:val="0"/>
                    <w:adjustRightInd w:val="0"/>
                    <w:snapToGrid w:val="0"/>
                    <w:jc w:val="center"/>
                    <w:rPr>
                      <w:color w:val="auto"/>
                      <w:kern w:val="0"/>
                      <w:szCs w:val="21"/>
                    </w:rPr>
                  </w:pPr>
                  <w:r>
                    <w:rPr>
                      <w:color w:val="auto"/>
                      <w:kern w:val="0"/>
                      <w:szCs w:val="21"/>
                    </w:rPr>
                    <w:t>不涉及</w:t>
                  </w:r>
                </w:p>
              </w:tc>
              <w:tc>
                <w:tcPr>
                  <w:tcW w:w="1097" w:type="dxa"/>
                  <w:noWrap w:val="0"/>
                  <w:vAlign w:val="center"/>
                </w:tcPr>
                <w:p w14:paraId="47DC54E6">
                  <w:pPr>
                    <w:autoSpaceDE w:val="0"/>
                    <w:autoSpaceDN w:val="0"/>
                    <w:adjustRightInd w:val="0"/>
                    <w:snapToGrid w:val="0"/>
                    <w:jc w:val="center"/>
                    <w:rPr>
                      <w:color w:val="auto"/>
                      <w:kern w:val="0"/>
                      <w:szCs w:val="21"/>
                    </w:rPr>
                  </w:pPr>
                  <w:r>
                    <w:rPr>
                      <w:color w:val="auto"/>
                      <w:kern w:val="0"/>
                      <w:szCs w:val="21"/>
                    </w:rPr>
                    <w:t>无</w:t>
                  </w:r>
                </w:p>
              </w:tc>
            </w:tr>
          </w:tbl>
          <w:p w14:paraId="03C8B377">
            <w:pPr>
              <w:keepNext w:val="0"/>
              <w:keepLines w:val="0"/>
              <w:pageBreakBefore w:val="0"/>
              <w:widowControl w:val="0"/>
              <w:kinsoku/>
              <w:wordWrap/>
              <w:overflowPunct/>
              <w:topLinePunct w:val="0"/>
              <w:autoSpaceDE w:val="0"/>
              <w:autoSpaceDN w:val="0"/>
              <w:bidi w:val="0"/>
              <w:adjustRightInd w:val="0"/>
              <w:snapToGrid w:val="0"/>
              <w:ind w:firstLine="480" w:firstLineChars="200"/>
              <w:jc w:val="left"/>
              <w:textAlignment w:val="auto"/>
              <w:rPr>
                <w:color w:val="FF0000"/>
                <w:kern w:val="0"/>
                <w:sz w:val="24"/>
              </w:rPr>
            </w:pPr>
          </w:p>
        </w:tc>
      </w:tr>
      <w:tr w14:paraId="7BC23C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 w:type="pct"/>
          <w:trHeight w:val="90" w:hRule="atLeast"/>
          <w:jc w:val="center"/>
        </w:trPr>
        <w:tc>
          <w:tcPr>
            <w:tcW w:w="709" w:type="pct"/>
            <w:gridSpan w:val="2"/>
            <w:tcBorders>
              <w:tl2br w:val="nil"/>
              <w:tr2bl w:val="nil"/>
            </w:tcBorders>
            <w:vAlign w:val="center"/>
          </w:tcPr>
          <w:p w14:paraId="36C23051">
            <w:pPr>
              <w:autoSpaceDE w:val="0"/>
              <w:autoSpaceDN w:val="0"/>
              <w:adjustRightInd w:val="0"/>
              <w:snapToGrid w:val="0"/>
              <w:jc w:val="center"/>
              <w:rPr>
                <w:rFonts w:ascii="Times New Roman" w:hAnsi="Times New Roman" w:eastAsia="宋体" w:cs="Times New Roman"/>
                <w:color w:val="auto"/>
                <w:kern w:val="0"/>
                <w:sz w:val="24"/>
                <w:szCs w:val="24"/>
                <w:lang w:val="en-US" w:eastAsia="zh-CN" w:bidi="ar-SA"/>
              </w:rPr>
            </w:pPr>
            <w:r>
              <w:rPr>
                <w:color w:val="auto"/>
                <w:sz w:val="24"/>
              </w:rPr>
              <w:t>规划情况</w:t>
            </w:r>
          </w:p>
        </w:tc>
        <w:tc>
          <w:tcPr>
            <w:tcW w:w="4288" w:type="pct"/>
            <w:gridSpan w:val="4"/>
            <w:tcBorders>
              <w:tl2br w:val="nil"/>
              <w:tr2bl w:val="nil"/>
            </w:tcBorders>
            <w:vAlign w:val="center"/>
          </w:tcPr>
          <w:p w14:paraId="66F2F042">
            <w:pPr>
              <w:autoSpaceDE w:val="0"/>
              <w:autoSpaceDN w:val="0"/>
              <w:adjustRightInd w:val="0"/>
              <w:snapToGrid w:val="0"/>
              <w:spacing w:before="120" w:beforeLines="50" w:line="360" w:lineRule="auto"/>
              <w:ind w:firstLine="480" w:firstLineChars="200"/>
              <w:jc w:val="left"/>
              <w:rPr>
                <w:rFonts w:hint="eastAsia" w:ascii="宋体" w:hAnsi="宋体" w:cs="宋体"/>
                <w:b w:val="0"/>
                <w:bCs w:val="0"/>
                <w:color w:val="auto"/>
                <w:kern w:val="0"/>
                <w:sz w:val="24"/>
                <w:szCs w:val="24"/>
                <w:lang w:val="en-US" w:eastAsia="zh-CN" w:bidi="ar"/>
              </w:rPr>
            </w:pPr>
            <w:r>
              <w:rPr>
                <w:rFonts w:hint="eastAsia" w:ascii="宋体" w:hAnsi="宋体" w:cs="宋体"/>
                <w:b w:val="0"/>
                <w:bCs w:val="0"/>
                <w:color w:val="auto"/>
                <w:kern w:val="0"/>
                <w:sz w:val="24"/>
                <w:szCs w:val="24"/>
                <w:lang w:val="en-US" w:eastAsia="zh-CN" w:bidi="ar"/>
              </w:rPr>
              <w:t>无</w:t>
            </w:r>
          </w:p>
        </w:tc>
      </w:tr>
      <w:tr w14:paraId="1E24C9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 w:type="pct"/>
          <w:trHeight w:val="90" w:hRule="atLeast"/>
          <w:jc w:val="center"/>
        </w:trPr>
        <w:tc>
          <w:tcPr>
            <w:tcW w:w="709" w:type="pct"/>
            <w:gridSpan w:val="2"/>
            <w:tcBorders>
              <w:tl2br w:val="nil"/>
              <w:tr2bl w:val="nil"/>
            </w:tcBorders>
            <w:vAlign w:val="center"/>
          </w:tcPr>
          <w:p w14:paraId="00E09E95">
            <w:pPr>
              <w:adjustRightInd w:val="0"/>
              <w:snapToGrid w:val="0"/>
              <w:jc w:val="center"/>
              <w:rPr>
                <w:color w:val="auto"/>
                <w:sz w:val="24"/>
              </w:rPr>
            </w:pPr>
            <w:r>
              <w:rPr>
                <w:color w:val="auto"/>
                <w:sz w:val="24"/>
              </w:rPr>
              <w:t>规划环境影响评价情况</w:t>
            </w:r>
          </w:p>
        </w:tc>
        <w:tc>
          <w:tcPr>
            <w:tcW w:w="4288" w:type="pct"/>
            <w:gridSpan w:val="4"/>
            <w:tcBorders>
              <w:tl2br w:val="nil"/>
              <w:tr2bl w:val="nil"/>
            </w:tcBorders>
            <w:vAlign w:val="center"/>
          </w:tcPr>
          <w:p w14:paraId="031447B8">
            <w:pPr>
              <w:autoSpaceDE w:val="0"/>
              <w:autoSpaceDN w:val="0"/>
              <w:adjustRightInd w:val="0"/>
              <w:snapToGrid w:val="0"/>
              <w:spacing w:before="120" w:beforeLines="50" w:line="360" w:lineRule="auto"/>
              <w:ind w:firstLine="480" w:firstLineChars="200"/>
              <w:jc w:val="left"/>
              <w:rPr>
                <w:rFonts w:hint="eastAsia" w:ascii="宋体" w:hAnsi="宋体" w:cs="宋体"/>
                <w:b w:val="0"/>
                <w:bCs w:val="0"/>
                <w:color w:val="auto"/>
                <w:kern w:val="0"/>
                <w:sz w:val="24"/>
                <w:szCs w:val="24"/>
                <w:lang w:val="en-US" w:eastAsia="zh-CN" w:bidi="ar"/>
              </w:rPr>
            </w:pPr>
            <w:r>
              <w:rPr>
                <w:rFonts w:hint="eastAsia" w:ascii="宋体" w:hAnsi="宋体" w:cs="宋体"/>
                <w:b w:val="0"/>
                <w:bCs w:val="0"/>
                <w:color w:val="auto"/>
                <w:kern w:val="0"/>
                <w:sz w:val="24"/>
                <w:szCs w:val="24"/>
                <w:lang w:val="en-US" w:eastAsia="zh-CN" w:bidi="ar"/>
              </w:rPr>
              <w:t>无</w:t>
            </w:r>
          </w:p>
        </w:tc>
      </w:tr>
      <w:tr w14:paraId="1B3D8B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 w:type="pct"/>
          <w:trHeight w:val="90" w:hRule="atLeast"/>
          <w:jc w:val="center"/>
        </w:trPr>
        <w:tc>
          <w:tcPr>
            <w:tcW w:w="709" w:type="pct"/>
            <w:gridSpan w:val="2"/>
            <w:tcBorders>
              <w:tl2br w:val="nil"/>
              <w:tr2bl w:val="nil"/>
            </w:tcBorders>
            <w:vAlign w:val="center"/>
          </w:tcPr>
          <w:p w14:paraId="154379B9">
            <w:pPr>
              <w:autoSpaceDE w:val="0"/>
              <w:autoSpaceDN w:val="0"/>
              <w:adjustRightInd w:val="0"/>
              <w:snapToGrid w:val="0"/>
              <w:jc w:val="center"/>
              <w:rPr>
                <w:color w:val="auto"/>
                <w:sz w:val="24"/>
              </w:rPr>
            </w:pPr>
            <w:r>
              <w:rPr>
                <w:color w:val="auto"/>
                <w:kern w:val="0"/>
                <w:sz w:val="24"/>
              </w:rPr>
              <w:t>规划及规划环境影响评价符合性分析</w:t>
            </w:r>
          </w:p>
        </w:tc>
        <w:tc>
          <w:tcPr>
            <w:tcW w:w="4288" w:type="pct"/>
            <w:gridSpan w:val="4"/>
            <w:tcBorders>
              <w:tl2br w:val="nil"/>
              <w:tr2bl w:val="nil"/>
            </w:tcBorders>
            <w:vAlign w:val="center"/>
          </w:tcPr>
          <w:p w14:paraId="2F6BB984">
            <w:pPr>
              <w:autoSpaceDE w:val="0"/>
              <w:autoSpaceDN w:val="0"/>
              <w:adjustRightInd w:val="0"/>
              <w:snapToGrid w:val="0"/>
              <w:spacing w:before="120" w:beforeLines="50" w:line="360" w:lineRule="auto"/>
              <w:ind w:firstLine="480" w:firstLineChars="200"/>
              <w:jc w:val="left"/>
              <w:rPr>
                <w:rFonts w:hint="eastAsia" w:ascii="宋体" w:hAnsi="宋体" w:cs="宋体"/>
                <w:b w:val="0"/>
                <w:bCs w:val="0"/>
                <w:color w:val="auto"/>
                <w:kern w:val="0"/>
                <w:sz w:val="24"/>
                <w:szCs w:val="24"/>
                <w:lang w:val="en-US" w:eastAsia="zh-CN" w:bidi="ar"/>
              </w:rPr>
            </w:pPr>
            <w:r>
              <w:rPr>
                <w:rFonts w:hint="eastAsia" w:ascii="宋体" w:hAnsi="宋体" w:cs="宋体"/>
                <w:b w:val="0"/>
                <w:bCs w:val="0"/>
                <w:color w:val="auto"/>
                <w:kern w:val="0"/>
                <w:sz w:val="24"/>
                <w:szCs w:val="24"/>
                <w:lang w:val="en-US" w:eastAsia="zh-CN" w:bidi="ar"/>
              </w:rPr>
              <w:t>无</w:t>
            </w:r>
          </w:p>
        </w:tc>
      </w:tr>
      <w:tr w14:paraId="15BAD6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60" w:type="pct"/>
            <w:tcBorders>
              <w:tl2br w:val="nil"/>
              <w:tr2bl w:val="nil"/>
            </w:tcBorders>
            <w:vAlign w:val="center"/>
          </w:tcPr>
          <w:p w14:paraId="362E8754">
            <w:pPr>
              <w:autoSpaceDE w:val="0"/>
              <w:autoSpaceDN w:val="0"/>
              <w:adjustRightInd w:val="0"/>
              <w:snapToGrid w:val="0"/>
              <w:jc w:val="center"/>
              <w:rPr>
                <w:color w:val="FF0000"/>
                <w:kern w:val="0"/>
                <w:sz w:val="24"/>
              </w:rPr>
            </w:pPr>
            <w:r>
              <w:rPr>
                <w:color w:val="auto"/>
                <w:kern w:val="0"/>
                <w:sz w:val="24"/>
              </w:rPr>
              <w:t>其他符合性分析</w:t>
            </w:r>
          </w:p>
        </w:tc>
        <w:tc>
          <w:tcPr>
            <w:tcW w:w="4639" w:type="pct"/>
            <w:gridSpan w:val="6"/>
            <w:tcBorders>
              <w:tl2br w:val="nil"/>
              <w:tr2bl w:val="nil"/>
            </w:tcBorders>
            <w:vAlign w:val="center"/>
          </w:tcPr>
          <w:p w14:paraId="72423A86">
            <w:pPr>
              <w:keepNext w:val="0"/>
              <w:keepLines w:val="0"/>
              <w:pageBreakBefore w:val="0"/>
              <w:widowControl w:val="0"/>
              <w:numPr>
                <w:ilvl w:val="0"/>
                <w:numId w:val="3"/>
              </w:numPr>
              <w:tabs>
                <w:tab w:val="left" w:pos="72"/>
              </w:tabs>
              <w:kinsoku/>
              <w:wordWrap/>
              <w:overflowPunct/>
              <w:topLinePunct w:val="0"/>
              <w:bidi w:val="0"/>
              <w:adjustRightInd w:val="0"/>
              <w:snapToGrid w:val="0"/>
              <w:spacing w:line="360" w:lineRule="auto"/>
              <w:ind w:left="425" w:leftChars="0" w:hanging="425" w:firstLineChars="0"/>
              <w:textAlignment w:val="auto"/>
              <w:rPr>
                <w:b/>
                <w:color w:val="auto"/>
                <w:sz w:val="24"/>
              </w:rPr>
            </w:pPr>
            <w:r>
              <w:rPr>
                <w:b/>
                <w:color w:val="auto"/>
                <w:sz w:val="24"/>
              </w:rPr>
              <w:t>产业政策符合性</w:t>
            </w:r>
          </w:p>
          <w:p w14:paraId="7518E62A">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color w:val="auto"/>
                <w:kern w:val="0"/>
                <w:sz w:val="24"/>
                <w:lang w:val="en-US" w:eastAsia="zh-CN"/>
              </w:rPr>
            </w:pPr>
            <w:r>
              <w:rPr>
                <w:rFonts w:hint="eastAsia"/>
                <w:color w:val="auto"/>
                <w:sz w:val="24"/>
                <w:lang w:val="en-US" w:eastAsia="zh-CN"/>
              </w:rPr>
              <w:t>本项目为危险废物收集项目，不属于</w:t>
            </w:r>
            <w:r>
              <w:rPr>
                <w:color w:val="auto"/>
                <w:sz w:val="24"/>
              </w:rPr>
              <w:t>《产业结构调整指导目录（</w:t>
            </w:r>
            <w:r>
              <w:rPr>
                <w:rFonts w:hint="eastAsia"/>
                <w:color w:val="auto"/>
                <w:sz w:val="24"/>
                <w:lang w:val="en-US" w:eastAsia="zh-CN"/>
              </w:rPr>
              <w:t>2024</w:t>
            </w:r>
            <w:r>
              <w:rPr>
                <w:color w:val="auto"/>
                <w:sz w:val="24"/>
              </w:rPr>
              <w:t>年本）》</w:t>
            </w:r>
            <w:r>
              <w:rPr>
                <w:rFonts w:hint="eastAsia"/>
                <w:color w:val="auto"/>
                <w:sz w:val="24"/>
                <w:lang w:val="en-US" w:eastAsia="zh-CN"/>
              </w:rPr>
              <w:t>中鼓励类、限制类、淘汰类项目，</w:t>
            </w:r>
            <w:r>
              <w:rPr>
                <w:color w:val="auto"/>
                <w:sz w:val="24"/>
              </w:rPr>
              <w:t>符合国家现行的有关产业政策。</w:t>
            </w:r>
          </w:p>
          <w:p w14:paraId="0D301034">
            <w:pPr>
              <w:keepNext w:val="0"/>
              <w:keepLines w:val="0"/>
              <w:pageBreakBefore w:val="0"/>
              <w:widowControl w:val="0"/>
              <w:numPr>
                <w:ilvl w:val="0"/>
                <w:numId w:val="3"/>
              </w:numPr>
              <w:tabs>
                <w:tab w:val="left" w:pos="72"/>
              </w:tabs>
              <w:kinsoku/>
              <w:wordWrap/>
              <w:overflowPunct/>
              <w:topLinePunct w:val="0"/>
              <w:bidi w:val="0"/>
              <w:adjustRightInd w:val="0"/>
              <w:snapToGrid w:val="0"/>
              <w:spacing w:line="360" w:lineRule="auto"/>
              <w:ind w:left="425" w:leftChars="0" w:hanging="425" w:firstLineChars="0"/>
              <w:textAlignment w:val="auto"/>
              <w:rPr>
                <w:rFonts w:hint="default"/>
                <w:b/>
                <w:color w:val="auto"/>
                <w:sz w:val="24"/>
                <w:lang w:val="en-US" w:eastAsia="zh-CN"/>
              </w:rPr>
            </w:pPr>
            <w:r>
              <w:rPr>
                <w:rFonts w:hint="eastAsia"/>
                <w:b/>
                <w:color w:val="auto"/>
                <w:sz w:val="24"/>
                <w:lang w:val="en-US" w:eastAsia="zh-CN"/>
              </w:rPr>
              <w:t>选址合理性分析</w:t>
            </w:r>
          </w:p>
          <w:p w14:paraId="224D7FBE">
            <w:pPr>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jc w:val="left"/>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本项目位于</w:t>
            </w:r>
            <w:r>
              <w:rPr>
                <w:rFonts w:hint="eastAsia"/>
                <w:color w:val="auto"/>
                <w:sz w:val="24"/>
                <w:lang w:val="en-US" w:eastAsia="zh-CN"/>
              </w:rPr>
              <w:t>淄博市淄川区罗村镇南韩村村委西北1000米</w:t>
            </w:r>
            <w:r>
              <w:rPr>
                <w:rFonts w:hint="eastAsia" w:ascii="Times New Roman" w:hAnsi="Times New Roman" w:eastAsia="宋体" w:cs="Times New Roman"/>
                <w:color w:val="auto"/>
                <w:sz w:val="24"/>
                <w:lang w:val="en-US" w:eastAsia="zh-CN"/>
              </w:rPr>
              <w:t>。</w:t>
            </w:r>
          </w:p>
          <w:p w14:paraId="7CABB999">
            <w:pPr>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jc w:val="left"/>
              <w:textAlignment w:val="auto"/>
              <w:rPr>
                <w:rFonts w:hint="default" w:ascii="宋体" w:hAnsi="宋体" w:cs="宋体"/>
                <w:b w:val="0"/>
                <w:bCs w:val="0"/>
                <w:color w:val="auto"/>
                <w:kern w:val="0"/>
                <w:sz w:val="24"/>
                <w:szCs w:val="24"/>
                <w:lang w:val="en-US" w:eastAsia="zh-CN" w:bidi="ar"/>
              </w:rPr>
            </w:pPr>
            <w:r>
              <w:rPr>
                <w:rFonts w:hint="eastAsia" w:cs="Times New Roman"/>
                <w:color w:val="auto"/>
                <w:sz w:val="24"/>
                <w:lang w:val="en-US" w:eastAsia="zh-CN"/>
              </w:rPr>
              <w:t>项</w:t>
            </w:r>
            <w:r>
              <w:rPr>
                <w:rFonts w:hint="eastAsia"/>
                <w:color w:val="auto"/>
                <w:sz w:val="24"/>
                <w:lang w:val="en-US" w:eastAsia="zh-CN"/>
              </w:rPr>
              <w:t>目租用原淄川永兴家具厂闲置厂房，用地</w:t>
            </w:r>
            <w:r>
              <w:rPr>
                <w:rFonts w:hint="eastAsia" w:cs="Times New Roman"/>
                <w:color w:val="auto"/>
                <w:sz w:val="24"/>
                <w:lang w:val="en-US" w:eastAsia="zh-CN"/>
              </w:rPr>
              <w:t>符合规划要求</w:t>
            </w:r>
            <w:r>
              <w:rPr>
                <w:rFonts w:hint="eastAsia" w:ascii="Times New Roman" w:hAnsi="Times New Roman" w:eastAsia="宋体" w:cs="Times New Roman"/>
                <w:color w:val="auto"/>
                <w:sz w:val="24"/>
                <w:lang w:val="en-US" w:eastAsia="zh-CN"/>
              </w:rPr>
              <w:t>。</w:t>
            </w:r>
            <w:r>
              <w:rPr>
                <w:rFonts w:hint="eastAsia" w:cs="Times New Roman"/>
                <w:color w:val="auto"/>
                <w:sz w:val="24"/>
                <w:lang w:val="en-US" w:eastAsia="zh-CN"/>
              </w:rPr>
              <w:t>详见附件四。</w:t>
            </w:r>
          </w:p>
          <w:p w14:paraId="4EAAFA13">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eastAsia"/>
                <w:color w:val="auto"/>
                <w:kern w:val="0"/>
                <w:sz w:val="24"/>
              </w:rPr>
            </w:pPr>
            <w:r>
              <w:rPr>
                <w:rFonts w:hint="eastAsia"/>
                <w:color w:val="auto"/>
                <w:kern w:val="0"/>
                <w:sz w:val="24"/>
                <w:lang w:val="en-US" w:eastAsia="zh-CN"/>
              </w:rPr>
              <w:t>对照《限制用地项目目录（</w:t>
            </w:r>
            <w:r>
              <w:rPr>
                <w:rFonts w:hint="default"/>
                <w:color w:val="auto"/>
                <w:kern w:val="0"/>
                <w:sz w:val="24"/>
                <w:lang w:val="en-US" w:eastAsia="zh-CN"/>
              </w:rPr>
              <w:t>2012</w:t>
            </w:r>
            <w:r>
              <w:rPr>
                <w:rFonts w:hint="eastAsia"/>
                <w:color w:val="auto"/>
                <w:kern w:val="0"/>
                <w:sz w:val="24"/>
                <w:lang w:val="en-US" w:eastAsia="zh-CN"/>
              </w:rPr>
              <w:t>年本）》和《禁止用地项目目录（</w:t>
            </w:r>
            <w:r>
              <w:rPr>
                <w:rFonts w:hint="default"/>
                <w:color w:val="auto"/>
                <w:kern w:val="0"/>
                <w:sz w:val="24"/>
                <w:lang w:val="en-US" w:eastAsia="zh-CN"/>
              </w:rPr>
              <w:t>2012</w:t>
            </w:r>
            <w:r>
              <w:rPr>
                <w:rFonts w:hint="eastAsia"/>
                <w:color w:val="auto"/>
                <w:kern w:val="0"/>
                <w:sz w:val="24"/>
                <w:lang w:val="en-US" w:eastAsia="zh-CN"/>
              </w:rPr>
              <w:t>年本）》，本项目不属于其规定的限制用地和禁止用地项目范畴，可视为允许类项目。</w:t>
            </w:r>
          </w:p>
          <w:p w14:paraId="5C640097">
            <w:pPr>
              <w:keepNext w:val="0"/>
              <w:keepLines w:val="0"/>
              <w:pageBreakBefore w:val="0"/>
              <w:widowControl w:val="0"/>
              <w:kinsoku/>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b w:val="0"/>
                <w:bCs w:val="0"/>
                <w:color w:val="auto"/>
                <w:sz w:val="24"/>
                <w:lang w:val="en-US" w:eastAsia="zh-CN"/>
              </w:rPr>
            </w:pPr>
            <w:r>
              <w:rPr>
                <w:rFonts w:hint="eastAsia" w:ascii="Times New Roman" w:hAnsi="Times New Roman" w:eastAsia="宋体" w:cs="Times New Roman"/>
                <w:b w:val="0"/>
                <w:bCs w:val="0"/>
                <w:color w:val="auto"/>
                <w:sz w:val="24"/>
                <w:lang w:val="en-US" w:eastAsia="zh-CN"/>
              </w:rPr>
              <w:t>项目位于</w:t>
            </w:r>
            <w:r>
              <w:rPr>
                <w:rFonts w:hint="eastAsia"/>
                <w:color w:val="auto"/>
                <w:sz w:val="24"/>
                <w:lang w:val="en-US" w:eastAsia="zh-CN"/>
              </w:rPr>
              <w:t>淄博市淄川区罗村镇南韩村村委西北1000米</w:t>
            </w:r>
            <w:r>
              <w:rPr>
                <w:rFonts w:hint="eastAsia" w:ascii="Times New Roman" w:hAnsi="Times New Roman" w:eastAsia="宋体" w:cs="Times New Roman"/>
                <w:b w:val="0"/>
                <w:bCs w:val="0"/>
                <w:color w:val="auto"/>
                <w:sz w:val="24"/>
                <w:lang w:val="en-US" w:eastAsia="zh-CN"/>
              </w:rPr>
              <w:t>，租赁现有厂房进行生产建设，位于城镇开发边界内，不占用永久基本农田、生态保护红线，符合淄博市国土空间规划三区三线要求，详见附图</w:t>
            </w:r>
            <w:r>
              <w:rPr>
                <w:rFonts w:hint="eastAsia" w:cs="Times New Roman"/>
                <w:b w:val="0"/>
                <w:bCs w:val="0"/>
                <w:color w:val="auto"/>
                <w:sz w:val="24"/>
                <w:lang w:val="en-US" w:eastAsia="zh-CN"/>
              </w:rPr>
              <w:t>6</w:t>
            </w:r>
            <w:r>
              <w:rPr>
                <w:rFonts w:hint="eastAsia" w:ascii="Times New Roman" w:hAnsi="Times New Roman" w:eastAsia="宋体" w:cs="Times New Roman"/>
                <w:b w:val="0"/>
                <w:bCs w:val="0"/>
                <w:color w:val="auto"/>
                <w:sz w:val="24"/>
                <w:lang w:val="en-US" w:eastAsia="zh-CN"/>
              </w:rPr>
              <w:t>。</w:t>
            </w:r>
          </w:p>
          <w:p w14:paraId="6116187D">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eastAsia"/>
                <w:color w:val="auto"/>
                <w:kern w:val="0"/>
                <w:sz w:val="24"/>
                <w:lang w:val="en-US" w:eastAsia="zh-CN"/>
              </w:rPr>
            </w:pPr>
            <w:r>
              <w:rPr>
                <w:rFonts w:hint="eastAsia"/>
                <w:color w:val="auto"/>
                <w:kern w:val="0"/>
                <w:sz w:val="24"/>
                <w:lang w:val="en-US" w:eastAsia="zh-CN"/>
              </w:rPr>
              <w:t>项目北侧、西侧均为空地，南侧为步步领鲜（淄博）食品有限公司以及山东千川自动化设备有限公司，东侧为山东千川自动化设备有限公司。项目周边无自然保护区、风景名胜区、世界文化遗产和自然遗产地、饮用水源保护区及文物保护单位等敏感目标，周边环境对本项目的建设及运行制约因素较少。</w:t>
            </w:r>
          </w:p>
          <w:p w14:paraId="245DD316">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eastAsia"/>
                <w:color w:val="auto"/>
                <w:kern w:val="0"/>
                <w:sz w:val="24"/>
                <w:lang w:val="en-US" w:eastAsia="zh-CN"/>
              </w:rPr>
            </w:pPr>
            <w:r>
              <w:rPr>
                <w:rFonts w:hint="eastAsia"/>
                <w:color w:val="auto"/>
                <w:kern w:val="0"/>
                <w:sz w:val="24"/>
                <w:lang w:val="en-US" w:eastAsia="zh-CN"/>
              </w:rPr>
              <w:t>本项目周围配套设施较为完善，项目用水、用电等公共设施接入方便。</w:t>
            </w:r>
          </w:p>
          <w:p w14:paraId="68B28724">
            <w:pPr>
              <w:keepNext w:val="0"/>
              <w:keepLines w:val="0"/>
              <w:pageBreakBefore w:val="0"/>
              <w:widowControl w:val="0"/>
              <w:numPr>
                <w:ilvl w:val="0"/>
                <w:numId w:val="3"/>
              </w:numPr>
              <w:tabs>
                <w:tab w:val="left" w:pos="72"/>
              </w:tabs>
              <w:kinsoku/>
              <w:wordWrap/>
              <w:overflowPunct/>
              <w:topLinePunct w:val="0"/>
              <w:bidi w:val="0"/>
              <w:adjustRightInd w:val="0"/>
              <w:snapToGrid w:val="0"/>
              <w:spacing w:line="360" w:lineRule="auto"/>
              <w:ind w:left="425" w:leftChars="0" w:hanging="425" w:firstLineChars="0"/>
              <w:textAlignment w:val="auto"/>
              <w:rPr>
                <w:b/>
                <w:color w:val="auto"/>
                <w:sz w:val="24"/>
              </w:rPr>
            </w:pPr>
            <w:r>
              <w:rPr>
                <w:b/>
                <w:color w:val="auto"/>
                <w:sz w:val="24"/>
              </w:rPr>
              <w:t>三线一单符合性分析</w:t>
            </w:r>
            <w:r>
              <w:rPr>
                <w:rFonts w:hint="eastAsia"/>
                <w:b/>
                <w:color w:val="auto"/>
                <w:sz w:val="24"/>
                <w:lang w:val="en-US" w:eastAsia="zh-CN"/>
              </w:rPr>
              <w:t xml:space="preserve">    </w:t>
            </w:r>
          </w:p>
          <w:p w14:paraId="22E77483">
            <w:pPr>
              <w:keepNext w:val="0"/>
              <w:keepLines w:val="0"/>
              <w:pageBreakBefore w:val="0"/>
              <w:widowControl w:val="0"/>
              <w:numPr>
                <w:ilvl w:val="0"/>
                <w:numId w:val="4"/>
              </w:numPr>
              <w:kinsoku/>
              <w:wordWrap/>
              <w:overflowPunct/>
              <w:topLinePunct w:val="0"/>
              <w:autoSpaceDE w:val="0"/>
              <w:autoSpaceDN w:val="0"/>
              <w:bidi w:val="0"/>
              <w:adjustRightInd w:val="0"/>
              <w:snapToGrid w:val="0"/>
              <w:spacing w:line="360" w:lineRule="auto"/>
              <w:ind w:left="0" w:leftChars="0" w:firstLine="425" w:firstLineChars="0"/>
              <w:jc w:val="left"/>
              <w:textAlignment w:val="auto"/>
              <w:rPr>
                <w:rFonts w:hint="default"/>
                <w:color w:val="auto"/>
                <w:kern w:val="0"/>
                <w:sz w:val="24"/>
                <w:lang w:val="en-US" w:eastAsia="zh-CN"/>
              </w:rPr>
            </w:pPr>
            <w:r>
              <w:rPr>
                <w:rFonts w:hint="default"/>
                <w:color w:val="auto"/>
                <w:kern w:val="0"/>
                <w:sz w:val="24"/>
                <w:lang w:val="en-US" w:eastAsia="zh-CN"/>
              </w:rPr>
              <w:t>环境质量底线符合性分析</w:t>
            </w:r>
          </w:p>
          <w:p w14:paraId="6CF4F183">
            <w:pPr>
              <w:keepNext w:val="0"/>
              <w:keepLines w:val="0"/>
              <w:pageBreakBefore w:val="0"/>
              <w:widowControl w:val="0"/>
              <w:kinsoku/>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cs="Times New Roman" w:eastAsiaTheme="majorEastAsia"/>
                <w:color w:val="auto"/>
                <w:sz w:val="24"/>
                <w:szCs w:val="24"/>
                <w:highlight w:val="none"/>
              </w:rPr>
              <w:t>根据《2025年12月份环境空气质量情况》（</w:t>
            </w:r>
            <w:r>
              <w:rPr>
                <w:rFonts w:hint="eastAsia" w:cs="Times New Roman" w:eastAsiaTheme="majorEastAsia"/>
                <w:color w:val="auto"/>
                <w:sz w:val="24"/>
                <w:szCs w:val="24"/>
                <w:highlight w:val="none"/>
                <w:lang w:val="en-US" w:eastAsia="zh-CN"/>
              </w:rPr>
              <w:t>淄博市生态环境局，</w:t>
            </w:r>
            <w:r>
              <w:rPr>
                <w:rFonts w:hint="default" w:ascii="Times New Roman" w:hAnsi="Times New Roman" w:cs="Times New Roman" w:eastAsiaTheme="majorEastAsia"/>
                <w:color w:val="auto"/>
                <w:sz w:val="24"/>
                <w:szCs w:val="24"/>
                <w:highlight w:val="none"/>
                <w:lang w:val="en-US" w:eastAsia="zh-CN"/>
              </w:rPr>
              <w:t>发文日期202</w:t>
            </w:r>
            <w:r>
              <w:rPr>
                <w:rFonts w:hint="eastAsia" w:cs="Times New Roman" w:eastAsiaTheme="majorEastAsia"/>
                <w:color w:val="auto"/>
                <w:sz w:val="24"/>
                <w:szCs w:val="24"/>
                <w:highlight w:val="none"/>
                <w:lang w:val="en-US" w:eastAsia="zh-CN"/>
              </w:rPr>
              <w:t>6</w:t>
            </w:r>
            <w:r>
              <w:rPr>
                <w:rFonts w:hint="default" w:ascii="Times New Roman" w:hAnsi="Times New Roman" w:cs="Times New Roman" w:eastAsiaTheme="majorEastAsia"/>
                <w:color w:val="auto"/>
                <w:sz w:val="24"/>
                <w:szCs w:val="24"/>
                <w:highlight w:val="none"/>
                <w:lang w:val="en-US" w:eastAsia="zh-CN"/>
              </w:rPr>
              <w:t>.1.2</w:t>
            </w:r>
            <w:r>
              <w:rPr>
                <w:rFonts w:hint="eastAsia" w:cs="Times New Roman" w:eastAsiaTheme="majorEastAsia"/>
                <w:color w:val="auto"/>
                <w:sz w:val="24"/>
                <w:szCs w:val="24"/>
                <w:highlight w:val="none"/>
                <w:lang w:val="en-US" w:eastAsia="zh-CN"/>
              </w:rPr>
              <w:t>9</w:t>
            </w:r>
            <w:r>
              <w:rPr>
                <w:rFonts w:hint="default" w:ascii="Times New Roman" w:hAnsi="Times New Roman" w:cs="Times New Roman" w:eastAsiaTheme="majorEastAsia"/>
                <w:color w:val="auto"/>
                <w:sz w:val="24"/>
                <w:szCs w:val="24"/>
                <w:highlight w:val="none"/>
              </w:rPr>
              <w:t>）统计结果</w:t>
            </w:r>
            <w:r>
              <w:rPr>
                <w:rFonts w:hint="default" w:ascii="Times New Roman" w:hAnsi="Times New Roman" w:eastAsia="宋体" w:cs="Times New Roman"/>
                <w:color w:val="auto"/>
                <w:kern w:val="0"/>
                <w:sz w:val="24"/>
                <w:szCs w:val="24"/>
              </w:rPr>
              <w:t>，</w:t>
            </w:r>
            <w:r>
              <w:rPr>
                <w:rFonts w:hint="eastAsia" w:cs="Times New Roman"/>
                <w:color w:val="auto"/>
                <w:kern w:val="0"/>
                <w:sz w:val="24"/>
                <w:szCs w:val="24"/>
                <w:lang w:val="en-US" w:eastAsia="zh-CN"/>
              </w:rPr>
              <w:t>淄博市2025年</w:t>
            </w:r>
            <w:r>
              <w:rPr>
                <w:rFonts w:hint="default" w:ascii="Times New Roman" w:hAnsi="Times New Roman" w:eastAsia="宋体" w:cs="Times New Roman"/>
                <w:color w:val="auto"/>
                <w:sz w:val="24"/>
                <w:szCs w:val="24"/>
                <w:highlight w:val="none"/>
                <w:lang w:eastAsia="zh-CN"/>
              </w:rPr>
              <w:t>细颗粒物（PM</w:t>
            </w:r>
            <w:r>
              <w:rPr>
                <w:rFonts w:hint="default" w:ascii="Times New Roman" w:hAnsi="Times New Roman" w:eastAsia="宋体" w:cs="Times New Roman"/>
                <w:color w:val="auto"/>
                <w:sz w:val="24"/>
                <w:szCs w:val="24"/>
                <w:highlight w:val="none"/>
                <w:vertAlign w:val="subscript"/>
                <w:lang w:eastAsia="zh-CN"/>
              </w:rPr>
              <w:t>2.5</w:t>
            </w:r>
            <w:r>
              <w:rPr>
                <w:rFonts w:hint="default" w:ascii="Times New Roman" w:hAnsi="Times New Roman" w:eastAsia="宋体" w:cs="Times New Roman"/>
                <w:color w:val="auto"/>
                <w:sz w:val="24"/>
                <w:szCs w:val="24"/>
                <w:highlight w:val="none"/>
                <w:lang w:eastAsia="zh-CN"/>
              </w:rPr>
              <w:t>）、臭氧（O</w:t>
            </w:r>
            <w:r>
              <w:rPr>
                <w:rFonts w:hint="default" w:ascii="Times New Roman" w:hAnsi="Times New Roman" w:eastAsia="宋体" w:cs="Times New Roman"/>
                <w:color w:val="auto"/>
                <w:sz w:val="24"/>
                <w:szCs w:val="24"/>
                <w:highlight w:val="none"/>
                <w:vertAlign w:val="subscript"/>
                <w:lang w:eastAsia="zh-CN"/>
              </w:rPr>
              <w:t>3</w:t>
            </w:r>
            <w:r>
              <w:rPr>
                <w:rFonts w:hint="default" w:ascii="Times New Roman" w:hAnsi="Times New Roman" w:eastAsia="宋体" w:cs="Times New Roman"/>
                <w:color w:val="auto"/>
                <w:sz w:val="24"/>
                <w:szCs w:val="24"/>
                <w:highlight w:val="none"/>
                <w:lang w:eastAsia="zh-CN"/>
              </w:rPr>
              <w:t>）浓度</w:t>
            </w:r>
            <w:r>
              <w:rPr>
                <w:rFonts w:hint="default" w:ascii="Times New Roman" w:hAnsi="Times New Roman" w:eastAsia="宋体" w:cs="Times New Roman"/>
                <w:color w:val="auto"/>
                <w:kern w:val="0"/>
                <w:sz w:val="24"/>
                <w:szCs w:val="24"/>
              </w:rPr>
              <w:t>不能满足《环境空气质量标准》（GB3095-20</w:t>
            </w:r>
            <w:r>
              <w:rPr>
                <w:rFonts w:hint="eastAsia" w:cs="Times New Roman"/>
                <w:color w:val="auto"/>
                <w:kern w:val="0"/>
                <w:sz w:val="24"/>
                <w:szCs w:val="24"/>
                <w:lang w:val="en-US" w:eastAsia="zh-CN"/>
              </w:rPr>
              <w:t>26</w:t>
            </w:r>
            <w:r>
              <w:rPr>
                <w:rFonts w:hint="default" w:ascii="Times New Roman" w:hAnsi="Times New Roman" w:eastAsia="宋体" w:cs="Times New Roman"/>
                <w:color w:val="auto"/>
                <w:kern w:val="0"/>
                <w:sz w:val="24"/>
                <w:szCs w:val="24"/>
              </w:rPr>
              <w:t>）</w:t>
            </w:r>
            <w:r>
              <w:rPr>
                <w:rFonts w:hint="eastAsia" w:cs="Times New Roman"/>
                <w:color w:val="auto"/>
                <w:kern w:val="0"/>
                <w:sz w:val="24"/>
                <w:szCs w:val="24"/>
                <w:lang w:val="en-US" w:eastAsia="zh-CN"/>
              </w:rPr>
              <w:t>表1中过渡阶段浓度限值</w:t>
            </w:r>
            <w:r>
              <w:rPr>
                <w:rFonts w:hint="default" w:ascii="Times New Roman" w:hAnsi="Times New Roman" w:eastAsia="宋体" w:cs="Times New Roman"/>
                <w:color w:val="auto"/>
                <w:kern w:val="0"/>
                <w:sz w:val="24"/>
                <w:szCs w:val="24"/>
              </w:rPr>
              <w:t>二级标准要求，年评价</w:t>
            </w:r>
            <w:r>
              <w:rPr>
                <w:rFonts w:hint="default" w:ascii="Times New Roman" w:hAnsi="Times New Roman" w:eastAsia="宋体" w:cs="Times New Roman"/>
                <w:color w:val="auto"/>
                <w:sz w:val="24"/>
                <w:szCs w:val="24"/>
              </w:rPr>
              <w:t>不达标，项目所在处于不达标区。</w:t>
            </w:r>
            <w:r>
              <w:rPr>
                <w:rFonts w:hint="eastAsia" w:ascii="Times New Roman" w:hAnsi="Times New Roman" w:eastAsia="宋体" w:cs="Times New Roman"/>
                <w:color w:val="auto"/>
                <w:sz w:val="24"/>
                <w:szCs w:val="24"/>
                <w:lang w:val="en-US" w:eastAsia="zh-CN"/>
              </w:rPr>
              <w:t>为了不断改善区域环境质量，淄博市采取了一系列大气污染治理措施</w:t>
            </w:r>
            <w:r>
              <w:rPr>
                <w:rFonts w:hint="default" w:ascii="Times New Roman" w:hAnsi="Times New Roman" w:eastAsia="宋体" w:cs="Times New Roman"/>
                <w:color w:val="auto"/>
                <w:kern w:val="0"/>
                <w:sz w:val="24"/>
                <w:szCs w:val="24"/>
              </w:rPr>
              <w:t>，不断加强环境空气污染治理和环境空气质量考核，连续几年均能够完成年度空气质量改善目标，区域环境空气质量持续改善。</w:t>
            </w:r>
          </w:p>
          <w:p w14:paraId="1A13F62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zh-CN" w:eastAsia="zh-CN"/>
              </w:rPr>
            </w:pPr>
            <w:r>
              <w:rPr>
                <w:rFonts w:hint="eastAsia" w:ascii="Times New Roman" w:hAnsi="Times New Roman" w:eastAsia="宋体" w:cs="Times New Roman"/>
                <w:color w:val="auto"/>
                <w:kern w:val="0"/>
                <w:sz w:val="24"/>
                <w:szCs w:val="24"/>
                <w:lang w:val="en-US" w:eastAsia="zh-CN"/>
              </w:rPr>
              <w:t>本</w:t>
            </w:r>
            <w:r>
              <w:rPr>
                <w:rFonts w:hint="default" w:ascii="Times New Roman" w:hAnsi="Times New Roman" w:eastAsia="宋体" w:cs="Times New Roman"/>
                <w:color w:val="auto"/>
                <w:kern w:val="0"/>
                <w:sz w:val="24"/>
                <w:szCs w:val="24"/>
              </w:rPr>
              <w:t>项目区域主要地表河流为</w:t>
            </w:r>
            <w:r>
              <w:rPr>
                <w:rFonts w:hint="eastAsia" w:cs="Times New Roman"/>
                <w:color w:val="auto"/>
                <w:kern w:val="0"/>
                <w:sz w:val="24"/>
                <w:szCs w:val="24"/>
                <w:highlight w:val="none"/>
                <w:lang w:val="en-US" w:eastAsia="zh-CN"/>
              </w:rPr>
              <w:t>漫泗河，属于孝妇河支流</w:t>
            </w:r>
            <w:r>
              <w:rPr>
                <w:rFonts w:hint="default" w:ascii="Times New Roman" w:hAnsi="Times New Roman" w:eastAsia="宋体" w:cs="Times New Roman"/>
                <w:color w:val="auto"/>
                <w:kern w:val="0"/>
                <w:sz w:val="24"/>
                <w:szCs w:val="24"/>
              </w:rPr>
              <w:t>，</w:t>
            </w:r>
            <w:r>
              <w:rPr>
                <w:rFonts w:hint="eastAsia" w:cs="Times New Roman"/>
                <w:color w:val="auto"/>
                <w:kern w:val="0"/>
                <w:sz w:val="24"/>
                <w:szCs w:val="24"/>
                <w:lang w:val="en-US" w:eastAsia="zh-CN"/>
              </w:rPr>
              <w:t>该段水质执行</w:t>
            </w:r>
            <w:r>
              <w:rPr>
                <w:rFonts w:hint="default" w:ascii="Times New Roman" w:hAnsi="Times New Roman" w:eastAsia="宋体" w:cs="Times New Roman"/>
                <w:color w:val="auto"/>
                <w:sz w:val="24"/>
                <w:szCs w:val="24"/>
                <w:highlight w:val="none"/>
                <w:lang w:val="zh-CN" w:eastAsia="zh-CN"/>
              </w:rPr>
              <w:t>《地表水环境质量标准》（GB3838-2002）</w:t>
            </w:r>
            <w:r>
              <w:rPr>
                <w:rFonts w:hint="eastAsia" w:cs="Times New Roman"/>
                <w:color w:val="auto"/>
                <w:sz w:val="24"/>
                <w:szCs w:val="24"/>
                <w:highlight w:val="none"/>
                <w:lang w:val="en-US" w:eastAsia="zh-CN"/>
              </w:rPr>
              <w:t>Ⅴ</w:t>
            </w:r>
            <w:r>
              <w:rPr>
                <w:rFonts w:hint="default" w:ascii="Times New Roman" w:hAnsi="Times New Roman" w:eastAsia="宋体" w:cs="Times New Roman"/>
                <w:color w:val="auto"/>
                <w:sz w:val="24"/>
                <w:szCs w:val="24"/>
                <w:highlight w:val="none"/>
                <w:lang w:val="zh-CN" w:eastAsia="zh-CN"/>
              </w:rPr>
              <w:t>类标准。</w:t>
            </w:r>
            <w:r>
              <w:rPr>
                <w:rFonts w:hint="eastAsia" w:cs="Times New Roman"/>
                <w:color w:val="auto"/>
                <w:sz w:val="24"/>
                <w:szCs w:val="24"/>
                <w:highlight w:val="none"/>
                <w:lang w:val="en-US" w:eastAsia="zh-CN"/>
              </w:rPr>
              <w:t>根据淄博市生态环境局发布的河流水质状况，孝妇河南外环断面水质类别为Ⅱ</w:t>
            </w:r>
            <w:r>
              <w:rPr>
                <w:rFonts w:hint="default" w:ascii="Times New Roman" w:hAnsi="Times New Roman" w:eastAsia="宋体" w:cs="Times New Roman"/>
                <w:color w:val="auto"/>
                <w:sz w:val="24"/>
                <w:szCs w:val="24"/>
                <w:highlight w:val="none"/>
                <w:lang w:val="zh-CN" w:eastAsia="zh-CN"/>
              </w:rPr>
              <w:t>类</w:t>
            </w:r>
            <w:r>
              <w:rPr>
                <w:rFonts w:hint="eastAsia" w:cs="Times New Roman"/>
                <w:color w:val="auto"/>
                <w:sz w:val="24"/>
                <w:szCs w:val="24"/>
                <w:highlight w:val="none"/>
                <w:lang w:val="zh-CN" w:eastAsia="zh-CN"/>
              </w:rPr>
              <w:t>。</w:t>
            </w:r>
            <w:r>
              <w:rPr>
                <w:rFonts w:hint="eastAsia" w:cs="Times New Roman"/>
                <w:color w:val="auto"/>
                <w:sz w:val="24"/>
                <w:szCs w:val="24"/>
                <w:highlight w:val="none"/>
                <w:lang w:val="en-US" w:eastAsia="zh-CN"/>
              </w:rPr>
              <w:t>满足水质要求。</w:t>
            </w:r>
          </w:p>
          <w:p w14:paraId="58D15B6E">
            <w:pPr>
              <w:keepNext w:val="0"/>
              <w:keepLines w:val="0"/>
              <w:pageBreakBefore w:val="0"/>
              <w:widowControl w:val="0"/>
              <w:kinsoku/>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rPr>
            </w:pPr>
            <w:r>
              <w:rPr>
                <w:rFonts w:ascii="宋体" w:hAnsi="宋体" w:eastAsia="宋体" w:cs="宋体"/>
                <w:color w:val="auto"/>
                <w:sz w:val="24"/>
                <w:szCs w:val="24"/>
              </w:rPr>
              <w:t>项目区域地下水符合《地下水质量标准》（GB/T14848-2017）Ⅲ类标准要求；</w:t>
            </w:r>
          </w:p>
          <w:p w14:paraId="12173EBF">
            <w:pPr>
              <w:keepNext w:val="0"/>
              <w:keepLines w:val="0"/>
              <w:pageBreakBefore w:val="0"/>
              <w:widowControl w:val="0"/>
              <w:kinsoku/>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本</w:t>
            </w:r>
            <w:r>
              <w:rPr>
                <w:rFonts w:hint="default" w:ascii="Times New Roman" w:hAnsi="Times New Roman" w:eastAsia="宋体" w:cs="Times New Roman"/>
                <w:color w:val="auto"/>
                <w:sz w:val="24"/>
                <w:szCs w:val="24"/>
              </w:rPr>
              <w:t>项目所在地属于</w:t>
            </w:r>
            <w:r>
              <w:rPr>
                <w:rFonts w:hint="eastAsia" w:cs="Times New Roman"/>
                <w:color w:val="auto"/>
                <w:sz w:val="24"/>
                <w:szCs w:val="24"/>
                <w:lang w:val="en-US" w:eastAsia="zh-CN"/>
              </w:rPr>
              <w:t>2</w:t>
            </w:r>
            <w:r>
              <w:rPr>
                <w:rFonts w:hint="default" w:ascii="Times New Roman" w:hAnsi="Times New Roman" w:eastAsia="宋体" w:cs="Times New Roman"/>
                <w:color w:val="auto"/>
                <w:sz w:val="24"/>
                <w:szCs w:val="24"/>
              </w:rPr>
              <w:t>类声环境功能区</w:t>
            </w:r>
            <w:r>
              <w:rPr>
                <w:rFonts w:hint="eastAsia" w:cs="Times New Roman"/>
                <w:color w:val="auto"/>
                <w:sz w:val="24"/>
                <w:szCs w:val="24"/>
                <w:lang w:eastAsia="zh-CN"/>
              </w:rPr>
              <w:t>。</w:t>
            </w:r>
            <w:r>
              <w:rPr>
                <w:rFonts w:hint="default" w:ascii="Times New Roman" w:hAnsi="Times New Roman" w:eastAsia="宋体" w:cs="Times New Roman"/>
                <w:color w:val="auto"/>
                <w:sz w:val="24"/>
                <w:szCs w:val="24"/>
              </w:rPr>
              <w:t>经现场勘查，厂界外周边50米范围内</w:t>
            </w:r>
            <w:r>
              <w:rPr>
                <w:color w:val="auto"/>
                <w:sz w:val="24"/>
                <w:szCs w:val="24"/>
              </w:rPr>
              <w:t>无声环境保护目标</w:t>
            </w:r>
            <w:r>
              <w:rPr>
                <w:rFonts w:hint="default" w:ascii="Times New Roman" w:hAnsi="Times New Roman" w:eastAsia="宋体" w:cs="Times New Roman"/>
                <w:color w:val="auto"/>
                <w:sz w:val="24"/>
                <w:szCs w:val="24"/>
              </w:rPr>
              <w:t>。</w:t>
            </w:r>
          </w:p>
          <w:p w14:paraId="741505FC">
            <w:pPr>
              <w:keepNext w:val="0"/>
              <w:keepLines w:val="0"/>
              <w:pageBreakBefore w:val="0"/>
              <w:widowControl w:val="0"/>
              <w:kinsoku/>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该项目所排放的污染物对周围环境的影响较小，在可接受范围之内。项目所排放的污染物满足相关排放标准，满足总量控制指标的要求，不影响当地污染物减排任务的完成，该项目对周围环境的影响程度不大，满足环境质量底线要求</w:t>
            </w:r>
            <w:r>
              <w:rPr>
                <w:rFonts w:hint="eastAsia" w:cs="Times New Roman"/>
                <w:color w:val="auto"/>
                <w:sz w:val="24"/>
                <w:szCs w:val="24"/>
                <w:lang w:eastAsia="zh-CN"/>
              </w:rPr>
              <w:t>。</w:t>
            </w:r>
          </w:p>
          <w:p w14:paraId="4A868FF2">
            <w:pPr>
              <w:keepNext w:val="0"/>
              <w:keepLines w:val="0"/>
              <w:pageBreakBefore w:val="0"/>
              <w:widowControl w:val="0"/>
              <w:numPr>
                <w:ilvl w:val="0"/>
                <w:numId w:val="4"/>
              </w:numPr>
              <w:kinsoku/>
              <w:wordWrap/>
              <w:overflowPunct/>
              <w:topLinePunct w:val="0"/>
              <w:autoSpaceDE w:val="0"/>
              <w:autoSpaceDN w:val="0"/>
              <w:bidi w:val="0"/>
              <w:adjustRightInd w:val="0"/>
              <w:snapToGrid w:val="0"/>
              <w:spacing w:line="360" w:lineRule="auto"/>
              <w:ind w:left="0" w:leftChars="0" w:firstLine="425" w:firstLineChars="0"/>
              <w:jc w:val="left"/>
              <w:textAlignment w:val="auto"/>
              <w:rPr>
                <w:rFonts w:hint="default"/>
                <w:color w:val="auto"/>
                <w:kern w:val="0"/>
                <w:sz w:val="24"/>
                <w:lang w:val="en-US" w:eastAsia="zh-CN"/>
              </w:rPr>
            </w:pPr>
            <w:r>
              <w:rPr>
                <w:rFonts w:hint="eastAsia"/>
                <w:color w:val="auto"/>
                <w:kern w:val="0"/>
                <w:sz w:val="24"/>
                <w:lang w:val="en-US" w:eastAsia="zh-CN"/>
              </w:rPr>
              <w:t>资源利用上线</w:t>
            </w:r>
            <w:r>
              <w:rPr>
                <w:rFonts w:hint="default"/>
                <w:color w:val="auto"/>
                <w:kern w:val="0"/>
                <w:sz w:val="24"/>
                <w:lang w:val="en-US" w:eastAsia="zh-CN"/>
              </w:rPr>
              <w:t>符合性</w:t>
            </w:r>
            <w:r>
              <w:rPr>
                <w:rFonts w:hint="eastAsia"/>
                <w:color w:val="auto"/>
                <w:kern w:val="0"/>
                <w:sz w:val="24"/>
                <w:lang w:val="en-US" w:eastAsia="zh-CN"/>
              </w:rPr>
              <w:t>分析</w:t>
            </w:r>
          </w:p>
          <w:p w14:paraId="42E25BB5">
            <w:pPr>
              <w:keepNext w:val="0"/>
              <w:keepLines w:val="0"/>
              <w:pageBreakBefore w:val="0"/>
              <w:widowControl w:val="0"/>
              <w:kinsoku/>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lang w:val="en-US" w:eastAsia="zh-CN"/>
              </w:rPr>
            </w:pPr>
            <w:r>
              <w:rPr>
                <w:rFonts w:hint="eastAsia" w:cs="Times New Roman"/>
                <w:color w:val="auto"/>
                <w:sz w:val="24"/>
                <w:szCs w:val="24"/>
                <w:lang w:val="en-US" w:eastAsia="zh-CN"/>
              </w:rPr>
              <w:t>项目所需能源主要为水、电，由淄川区市政工程供给，足够满足项目使用；</w:t>
            </w:r>
            <w:r>
              <w:rPr>
                <w:rFonts w:hint="eastAsia" w:ascii="Times New Roman" w:hAnsi="Times New Roman" w:eastAsia="宋体" w:cs="Times New Roman"/>
                <w:color w:val="auto"/>
                <w:sz w:val="24"/>
                <w:szCs w:val="24"/>
                <w:lang w:val="en-US" w:eastAsia="zh-CN"/>
              </w:rPr>
              <w:t>项目租赁现有闲置厂房进行生产，不新征占土地资源</w:t>
            </w:r>
            <w:r>
              <w:rPr>
                <w:rFonts w:hint="eastAsia" w:cs="Times New Roman"/>
                <w:color w:val="auto"/>
                <w:sz w:val="24"/>
                <w:szCs w:val="24"/>
                <w:lang w:val="en-US" w:eastAsia="zh-CN"/>
              </w:rPr>
              <w:t>。项目资源利用量相对于区域资源利用总量较少，符合资源利用上线的要求</w:t>
            </w:r>
            <w:r>
              <w:rPr>
                <w:rFonts w:hint="eastAsia" w:ascii="Times New Roman" w:hAnsi="Times New Roman" w:eastAsia="宋体" w:cs="Times New Roman"/>
                <w:color w:val="auto"/>
                <w:sz w:val="24"/>
                <w:szCs w:val="24"/>
                <w:lang w:val="en-US" w:eastAsia="zh-CN"/>
              </w:rPr>
              <w:t>。</w:t>
            </w:r>
          </w:p>
          <w:p w14:paraId="02A3601A">
            <w:pPr>
              <w:keepNext w:val="0"/>
              <w:keepLines w:val="0"/>
              <w:pageBreakBefore w:val="0"/>
              <w:widowControl w:val="0"/>
              <w:numPr>
                <w:ilvl w:val="0"/>
                <w:numId w:val="4"/>
              </w:numPr>
              <w:kinsoku/>
              <w:wordWrap/>
              <w:overflowPunct/>
              <w:topLinePunct w:val="0"/>
              <w:autoSpaceDE w:val="0"/>
              <w:autoSpaceDN w:val="0"/>
              <w:bidi w:val="0"/>
              <w:adjustRightInd w:val="0"/>
              <w:snapToGrid w:val="0"/>
              <w:spacing w:line="360" w:lineRule="auto"/>
              <w:ind w:left="0" w:leftChars="0" w:firstLine="425" w:firstLineChars="0"/>
              <w:jc w:val="left"/>
              <w:textAlignment w:val="auto"/>
              <w:rPr>
                <w:rFonts w:hint="eastAsia"/>
                <w:color w:val="auto"/>
                <w:kern w:val="0"/>
                <w:sz w:val="24"/>
                <w:lang w:val="en-US" w:eastAsia="zh-CN"/>
              </w:rPr>
            </w:pPr>
            <w:r>
              <w:rPr>
                <w:rFonts w:hint="eastAsia"/>
                <w:color w:val="auto"/>
                <w:kern w:val="0"/>
                <w:sz w:val="24"/>
                <w:lang w:val="en-US" w:eastAsia="zh-CN"/>
              </w:rPr>
              <w:t>环境准入清单符合性分析</w:t>
            </w:r>
          </w:p>
          <w:p w14:paraId="4738190B">
            <w:pPr>
              <w:pStyle w:val="26"/>
              <w:keepNext w:val="0"/>
              <w:keepLines w:val="0"/>
              <w:pageBreakBefore w:val="0"/>
              <w:widowControl w:val="0"/>
              <w:kinsoku/>
              <w:wordWrap/>
              <w:overflowPunct/>
              <w:topLinePunct w:val="0"/>
              <w:bidi w:val="0"/>
              <w:snapToGrid/>
              <w:spacing w:after="0" w:line="360" w:lineRule="auto"/>
              <w:ind w:left="0" w:leftChars="0" w:firstLine="480"/>
              <w:textAlignment w:val="auto"/>
              <w:rPr>
                <w:rFonts w:hint="eastAsia" w:eastAsia="宋体"/>
                <w:color w:val="auto"/>
                <w:sz w:val="24"/>
                <w:highlight w:val="none"/>
                <w:lang w:val="en-US" w:eastAsia="zh-CN"/>
              </w:rPr>
            </w:pPr>
            <w:r>
              <w:rPr>
                <w:rFonts w:hint="eastAsia"/>
                <w:color w:val="auto"/>
                <w:sz w:val="24"/>
                <w:highlight w:val="none"/>
                <w:lang w:val="en-US" w:eastAsia="zh-CN"/>
              </w:rPr>
              <w:t>根据</w:t>
            </w:r>
            <w:r>
              <w:rPr>
                <w:rFonts w:hint="eastAsia" w:eastAsia="宋体"/>
                <w:color w:val="auto"/>
                <w:sz w:val="24"/>
                <w:highlight w:val="none"/>
                <w:lang w:val="en-US" w:eastAsia="zh-CN"/>
              </w:rPr>
              <w:t>山东省生态环境分区管控信息平台</w:t>
            </w:r>
            <w:r>
              <w:rPr>
                <w:rFonts w:hint="eastAsia"/>
                <w:color w:val="auto"/>
                <w:sz w:val="24"/>
                <w:highlight w:val="none"/>
                <w:lang w:val="en-US" w:eastAsia="zh-CN"/>
              </w:rPr>
              <w:t>显示，</w:t>
            </w:r>
            <w:r>
              <w:rPr>
                <w:rFonts w:hint="eastAsia" w:eastAsia="宋体"/>
                <w:color w:val="auto"/>
                <w:sz w:val="24"/>
                <w:highlight w:val="none"/>
                <w:lang w:val="en-US" w:eastAsia="zh-CN"/>
              </w:rPr>
              <w:t>本项目所在区域属于</w:t>
            </w:r>
            <w:r>
              <w:rPr>
                <w:rFonts w:hint="eastAsia"/>
                <w:color w:val="auto"/>
                <w:sz w:val="24"/>
                <w:highlight w:val="none"/>
                <w:lang w:val="en-US" w:eastAsia="zh-CN"/>
              </w:rPr>
              <w:t>罗村镇环境管控单元</w:t>
            </w:r>
            <w:r>
              <w:rPr>
                <w:rFonts w:hint="eastAsia" w:eastAsia="宋体"/>
                <w:color w:val="auto"/>
                <w:sz w:val="24"/>
                <w:highlight w:val="none"/>
                <w:lang w:val="en-US" w:eastAsia="zh-CN"/>
              </w:rPr>
              <w:t>，根据《淄博市2023年生态环境分区管控成果动态更新项目生态环境准入清单》，环境管控单元编码</w:t>
            </w:r>
            <w:r>
              <w:rPr>
                <w:rFonts w:hint="eastAsia" w:ascii="Times New Roman" w:hAnsi="Times New Roman" w:eastAsia="宋体" w:cs="Times New Roman"/>
                <w:color w:val="auto"/>
                <w:sz w:val="24"/>
                <w:highlight w:val="none"/>
                <w:lang w:val="en-US" w:eastAsia="zh-CN"/>
              </w:rPr>
              <w:t>为</w:t>
            </w:r>
            <w:r>
              <w:rPr>
                <w:rFonts w:hint="default" w:ascii="Times New Roman" w:hAnsi="Times New Roman" w:eastAsia="宋体" w:cs="Times New Roman"/>
                <w:color w:val="auto"/>
                <w:sz w:val="24"/>
                <w:highlight w:val="none"/>
                <w:lang w:val="en-US" w:eastAsia="zh-CN"/>
              </w:rPr>
              <w:t>ZH37030220004</w:t>
            </w:r>
            <w:r>
              <w:rPr>
                <w:rFonts w:hint="eastAsia" w:ascii="Times New Roman" w:hAnsi="Times New Roman" w:eastAsia="宋体" w:cs="Times New Roman"/>
                <w:color w:val="auto"/>
                <w:sz w:val="24"/>
                <w:highlight w:val="none"/>
                <w:lang w:val="en-US" w:eastAsia="zh-CN"/>
              </w:rPr>
              <w:t>，管</w:t>
            </w:r>
            <w:r>
              <w:rPr>
                <w:rFonts w:hint="eastAsia" w:ascii="Times New Roman" w:hAnsi="Times New Roman" w:cs="Times New Roman"/>
                <w:color w:val="auto"/>
                <w:sz w:val="24"/>
                <w:highlight w:val="none"/>
                <w:lang w:val="en-US" w:eastAsia="zh-CN"/>
              </w:rPr>
              <w:t>控单元分类为重点管控单元。</w:t>
            </w:r>
            <w:r>
              <w:rPr>
                <w:rFonts w:hint="eastAsia" w:eastAsia="宋体"/>
                <w:color w:val="auto"/>
                <w:sz w:val="24"/>
                <w:highlight w:val="none"/>
                <w:lang w:val="en-US" w:eastAsia="zh-CN"/>
              </w:rPr>
              <w:t>其生态环境准入清单见</w:t>
            </w:r>
            <w:r>
              <w:rPr>
                <w:rFonts w:hint="eastAsia"/>
                <w:color w:val="auto"/>
                <w:sz w:val="24"/>
                <w:highlight w:val="none"/>
                <w:lang w:val="en-US" w:eastAsia="zh-CN"/>
              </w:rPr>
              <w:t>下表</w:t>
            </w:r>
            <w:r>
              <w:rPr>
                <w:rFonts w:hint="eastAsia" w:eastAsia="宋体"/>
                <w:color w:val="auto"/>
                <w:sz w:val="24"/>
                <w:highlight w:val="none"/>
                <w:lang w:val="en-US" w:eastAsia="zh-CN"/>
              </w:rPr>
              <w:t>。</w:t>
            </w:r>
          </w:p>
          <w:p w14:paraId="6343A36F">
            <w:pPr>
              <w:keepNext w:val="0"/>
              <w:keepLines w:val="0"/>
              <w:pageBreakBefore w:val="0"/>
              <w:widowControl w:val="0"/>
              <w:numPr>
                <w:ilvl w:val="0"/>
                <w:numId w:val="2"/>
              </w:numPr>
              <w:kinsoku/>
              <w:wordWrap/>
              <w:overflowPunct/>
              <w:topLinePunct w:val="0"/>
              <w:autoSpaceDE w:val="0"/>
              <w:autoSpaceDN w:val="0"/>
              <w:bidi w:val="0"/>
              <w:adjustRightInd w:val="0"/>
              <w:snapToGrid w:val="0"/>
              <w:spacing w:line="360" w:lineRule="auto"/>
              <w:ind w:left="0" w:leftChars="0" w:firstLine="403" w:firstLineChars="0"/>
              <w:jc w:val="center"/>
              <w:textAlignment w:val="auto"/>
              <w:rPr>
                <w:rFonts w:hint="eastAsia" w:ascii="宋体" w:hAnsi="宋体" w:cs="宋体"/>
                <w:b/>
                <w:bCs/>
                <w:color w:val="auto"/>
                <w:kern w:val="0"/>
                <w:sz w:val="24"/>
                <w:szCs w:val="24"/>
                <w:lang w:val="en-US" w:eastAsia="zh-CN" w:bidi="ar"/>
              </w:rPr>
            </w:pPr>
            <w:r>
              <w:rPr>
                <w:rFonts w:hint="eastAsia" w:ascii="宋体" w:hAnsi="宋体" w:cs="宋体"/>
                <w:b/>
                <w:bCs/>
                <w:color w:val="auto"/>
                <w:kern w:val="0"/>
                <w:sz w:val="24"/>
                <w:szCs w:val="24"/>
                <w:lang w:val="en-US" w:eastAsia="zh-CN" w:bidi="ar"/>
              </w:rPr>
              <w:t>与环境管控单元生态环境准入清单符合性分析</w:t>
            </w:r>
          </w:p>
          <w:tbl>
            <w:tblPr>
              <w:tblStyle w:val="27"/>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4"/>
              <w:gridCol w:w="4047"/>
              <w:gridCol w:w="2089"/>
              <w:gridCol w:w="867"/>
            </w:tblGrid>
            <w:tr w14:paraId="16E1FD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7" w:type="pct"/>
                  <w:noWrap w:val="0"/>
                  <w:vAlign w:val="center"/>
                </w:tcPr>
                <w:p w14:paraId="7F17336E">
                  <w:pPr>
                    <w:keepNext w:val="0"/>
                    <w:keepLines w:val="0"/>
                    <w:pageBreakBefore w:val="0"/>
                    <w:kinsoku/>
                    <w:wordWrap/>
                    <w:overflowPunct/>
                    <w:topLinePunct w:val="0"/>
                    <w:autoSpaceDE/>
                    <w:autoSpaceDN/>
                    <w:bidi w:val="0"/>
                    <w:adjustRightInd/>
                    <w:ind w:firstLine="0" w:firstLineChars="0"/>
                    <w:jc w:val="center"/>
                    <w:rPr>
                      <w:rFonts w:hint="eastAsia" w:eastAsia="宋体"/>
                      <w:color w:val="auto"/>
                      <w:sz w:val="21"/>
                      <w:szCs w:val="21"/>
                      <w:highlight w:val="none"/>
                      <w:lang w:val="en-US" w:eastAsia="zh-CN"/>
                    </w:rPr>
                  </w:pPr>
                  <w:r>
                    <w:rPr>
                      <w:rFonts w:hint="eastAsia"/>
                      <w:color w:val="auto"/>
                      <w:sz w:val="21"/>
                      <w:szCs w:val="21"/>
                      <w:highlight w:val="none"/>
                      <w:lang w:val="en-US" w:eastAsia="zh-CN"/>
                    </w:rPr>
                    <w:t>分类</w:t>
                  </w:r>
                </w:p>
              </w:tc>
              <w:tc>
                <w:tcPr>
                  <w:tcW w:w="2642" w:type="pct"/>
                  <w:noWrap w:val="0"/>
                  <w:vAlign w:val="center"/>
                </w:tcPr>
                <w:p w14:paraId="4B8B341A">
                  <w:pPr>
                    <w:keepNext w:val="0"/>
                    <w:keepLines w:val="0"/>
                    <w:pageBreakBefore w:val="0"/>
                    <w:kinsoku/>
                    <w:wordWrap/>
                    <w:overflowPunct/>
                    <w:topLinePunct w:val="0"/>
                    <w:autoSpaceDE/>
                    <w:autoSpaceDN/>
                    <w:bidi w:val="0"/>
                    <w:adjustRightInd/>
                    <w:ind w:firstLine="0" w:firstLineChars="0"/>
                    <w:jc w:val="center"/>
                    <w:rPr>
                      <w:rFonts w:hint="eastAsia" w:eastAsia="宋体"/>
                      <w:color w:val="auto"/>
                      <w:sz w:val="21"/>
                      <w:szCs w:val="21"/>
                      <w:highlight w:val="none"/>
                      <w:lang w:eastAsia="zh-CN"/>
                    </w:rPr>
                  </w:pPr>
                  <w:r>
                    <w:rPr>
                      <w:rFonts w:hint="eastAsia"/>
                      <w:color w:val="auto"/>
                      <w:sz w:val="21"/>
                      <w:szCs w:val="21"/>
                      <w:highlight w:val="none"/>
                      <w:lang w:val="en-US" w:eastAsia="zh-CN"/>
                    </w:rPr>
                    <w:t>相关要求</w:t>
                  </w:r>
                </w:p>
              </w:tc>
              <w:tc>
                <w:tcPr>
                  <w:tcW w:w="1364" w:type="pct"/>
                  <w:noWrap w:val="0"/>
                  <w:vAlign w:val="center"/>
                </w:tcPr>
                <w:p w14:paraId="694FAF2A">
                  <w:pPr>
                    <w:keepNext w:val="0"/>
                    <w:keepLines w:val="0"/>
                    <w:pageBreakBefore w:val="0"/>
                    <w:kinsoku/>
                    <w:wordWrap/>
                    <w:overflowPunct/>
                    <w:topLinePunct w:val="0"/>
                    <w:autoSpaceDE/>
                    <w:autoSpaceDN/>
                    <w:bidi w:val="0"/>
                    <w:adjustRightInd/>
                    <w:ind w:firstLine="0" w:firstLineChars="0"/>
                    <w:jc w:val="center"/>
                    <w:rPr>
                      <w:color w:val="auto"/>
                      <w:sz w:val="21"/>
                      <w:szCs w:val="21"/>
                      <w:highlight w:val="none"/>
                    </w:rPr>
                  </w:pPr>
                  <w:r>
                    <w:rPr>
                      <w:color w:val="auto"/>
                      <w:sz w:val="21"/>
                      <w:szCs w:val="21"/>
                      <w:highlight w:val="none"/>
                    </w:rPr>
                    <w:t>项目情况</w:t>
                  </w:r>
                </w:p>
              </w:tc>
              <w:tc>
                <w:tcPr>
                  <w:tcW w:w="566" w:type="pct"/>
                  <w:noWrap w:val="0"/>
                  <w:vAlign w:val="center"/>
                </w:tcPr>
                <w:p w14:paraId="605D68D2">
                  <w:pPr>
                    <w:keepNext w:val="0"/>
                    <w:keepLines w:val="0"/>
                    <w:pageBreakBefore w:val="0"/>
                    <w:kinsoku/>
                    <w:wordWrap/>
                    <w:overflowPunct/>
                    <w:topLinePunct w:val="0"/>
                    <w:autoSpaceDE/>
                    <w:autoSpaceDN/>
                    <w:bidi w:val="0"/>
                    <w:adjustRightInd/>
                    <w:ind w:firstLine="0" w:firstLineChars="0"/>
                    <w:jc w:val="center"/>
                    <w:rPr>
                      <w:rFonts w:hint="eastAsia" w:eastAsia="宋体"/>
                      <w:color w:val="auto"/>
                      <w:sz w:val="21"/>
                      <w:szCs w:val="21"/>
                      <w:highlight w:val="none"/>
                      <w:lang w:val="en-US" w:eastAsia="zh-CN"/>
                    </w:rPr>
                  </w:pPr>
                  <w:r>
                    <w:rPr>
                      <w:rFonts w:hint="eastAsia"/>
                      <w:color w:val="auto"/>
                      <w:spacing w:val="0"/>
                      <w:sz w:val="21"/>
                      <w:szCs w:val="21"/>
                      <w:highlight w:val="none"/>
                      <w:lang w:val="en-US" w:eastAsia="zh-CN"/>
                    </w:rPr>
                    <w:t>符合性</w:t>
                  </w:r>
                </w:p>
              </w:tc>
            </w:tr>
            <w:tr w14:paraId="0EF9EB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7" w:type="pct"/>
                  <w:noWrap w:val="0"/>
                  <w:vAlign w:val="center"/>
                </w:tcPr>
                <w:p w14:paraId="07DAB083">
                  <w:pPr>
                    <w:keepNext w:val="0"/>
                    <w:keepLines w:val="0"/>
                    <w:pageBreakBefore w:val="0"/>
                    <w:kinsoku/>
                    <w:wordWrap/>
                    <w:overflowPunct/>
                    <w:topLinePunct w:val="0"/>
                    <w:autoSpaceDE/>
                    <w:autoSpaceDN/>
                    <w:bidi w:val="0"/>
                    <w:adjustRightInd/>
                    <w:ind w:firstLine="0" w:firstLineChars="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空间布局约束</w:t>
                  </w:r>
                </w:p>
              </w:tc>
              <w:tc>
                <w:tcPr>
                  <w:tcW w:w="2642" w:type="pct"/>
                  <w:noWrap w:val="0"/>
                  <w:vAlign w:val="center"/>
                </w:tcPr>
                <w:p w14:paraId="2FCB4D2A">
                  <w:pPr>
                    <w:pStyle w:val="5"/>
                    <w:keepNext w:val="0"/>
                    <w:keepLines w:val="0"/>
                    <w:pageBreakBefore w:val="0"/>
                    <w:widowControl/>
                    <w:numPr>
                      <w:ilvl w:val="0"/>
                      <w:numId w:val="0"/>
                    </w:numPr>
                    <w:kinsoku/>
                    <w:wordWrap/>
                    <w:overflowPunct/>
                    <w:topLinePunct w:val="0"/>
                    <w:autoSpaceDE/>
                    <w:autoSpaceDN/>
                    <w:bidi w:val="0"/>
                    <w:adjustRightInd/>
                    <w:snapToGrid/>
                    <w:textAlignment w:val="auto"/>
                    <w:rPr>
                      <w:rFonts w:hint="eastAsia" w:ascii="Times New Roman" w:hAnsi="Times New Roman" w:eastAsiaTheme="minorEastAsia"/>
                      <w:bCs/>
                      <w:color w:val="auto"/>
                      <w:sz w:val="21"/>
                      <w:szCs w:val="21"/>
                      <w:lang w:eastAsia="zh-CN"/>
                    </w:rPr>
                  </w:pPr>
                  <w:r>
                    <w:rPr>
                      <w:rStyle w:val="104"/>
                      <w:rFonts w:hint="default" w:ascii="Times New Roman" w:hAnsi="Times New Roman" w:cs="Times New Roman" w:eastAsiaTheme="majorEastAsia"/>
                      <w:color w:val="auto"/>
                      <w:sz w:val="21"/>
                      <w:szCs w:val="21"/>
                      <w:lang w:val="en-US" w:eastAsia="zh-CN" w:bidi="ar"/>
                    </w:rPr>
                    <w:t>1.</w:t>
                  </w:r>
                  <w:r>
                    <w:rPr>
                      <w:rStyle w:val="108"/>
                      <w:rFonts w:hint="default" w:ascii="Times New Roman" w:hAnsi="Times New Roman" w:cs="Times New Roman" w:eastAsiaTheme="majorEastAsia"/>
                      <w:color w:val="auto"/>
                      <w:sz w:val="21"/>
                      <w:szCs w:val="21"/>
                      <w:lang w:val="en-US" w:eastAsia="zh-CN" w:bidi="ar"/>
                    </w:rPr>
                    <w:t>禁止新建、扩建《产业结构调整指导目录》（现行）明确的淘汰类项目和引入《市场准入负面清单》（现行）禁止准入类事项；鼓励对列入《产业结构调整指导目录》的限制类、淘汰类工业项目进行淘汰和提升改造。</w:t>
                  </w:r>
                  <w:r>
                    <w:rPr>
                      <w:rStyle w:val="104"/>
                      <w:rFonts w:hint="default" w:ascii="Times New Roman" w:hAnsi="Times New Roman" w:cs="Times New Roman" w:eastAsiaTheme="majorEastAsia"/>
                      <w:color w:val="auto"/>
                      <w:sz w:val="21"/>
                      <w:szCs w:val="21"/>
                      <w:lang w:val="en-US" w:eastAsia="zh-CN" w:bidi="ar"/>
                    </w:rPr>
                    <w:br w:type="textWrapping"/>
                  </w:r>
                  <w:r>
                    <w:rPr>
                      <w:rStyle w:val="104"/>
                      <w:rFonts w:hint="default" w:ascii="Times New Roman" w:hAnsi="Times New Roman" w:cs="Times New Roman" w:eastAsiaTheme="majorEastAsia"/>
                      <w:color w:val="auto"/>
                      <w:sz w:val="21"/>
                      <w:szCs w:val="21"/>
                      <w:lang w:val="en-US" w:eastAsia="zh-CN" w:bidi="ar"/>
                    </w:rPr>
                    <w:t>2.</w:t>
                  </w:r>
                  <w:r>
                    <w:rPr>
                      <w:rStyle w:val="108"/>
                      <w:rFonts w:hint="default" w:ascii="Times New Roman" w:hAnsi="Times New Roman" w:cs="Times New Roman" w:eastAsiaTheme="majorEastAsia"/>
                      <w:color w:val="auto"/>
                      <w:sz w:val="21"/>
                      <w:szCs w:val="21"/>
                      <w:lang w:val="en-US" w:eastAsia="zh-CN" w:bidi="ar"/>
                    </w:rPr>
                    <w:t>按照省市要求，严格控制</w:t>
                  </w:r>
                  <w:r>
                    <w:rPr>
                      <w:rStyle w:val="104"/>
                      <w:rFonts w:hint="default" w:ascii="Times New Roman" w:hAnsi="Times New Roman" w:cs="Times New Roman" w:eastAsiaTheme="majorEastAsia"/>
                      <w:color w:val="auto"/>
                      <w:sz w:val="21"/>
                      <w:szCs w:val="21"/>
                      <w:lang w:val="en-US" w:eastAsia="zh-CN" w:bidi="ar"/>
                    </w:rPr>
                    <w:t>“</w:t>
                  </w:r>
                  <w:r>
                    <w:rPr>
                      <w:rStyle w:val="108"/>
                      <w:rFonts w:hint="default" w:ascii="Times New Roman" w:hAnsi="Times New Roman" w:cs="Times New Roman" w:eastAsiaTheme="majorEastAsia"/>
                      <w:color w:val="auto"/>
                      <w:sz w:val="21"/>
                      <w:szCs w:val="21"/>
                      <w:lang w:val="en-US" w:eastAsia="zh-CN" w:bidi="ar"/>
                    </w:rPr>
                    <w:t>两高</w:t>
                  </w:r>
                  <w:r>
                    <w:rPr>
                      <w:rStyle w:val="104"/>
                      <w:rFonts w:hint="default" w:ascii="Times New Roman" w:hAnsi="Times New Roman" w:cs="Times New Roman" w:eastAsiaTheme="majorEastAsia"/>
                      <w:color w:val="auto"/>
                      <w:sz w:val="21"/>
                      <w:szCs w:val="21"/>
                      <w:lang w:val="en-US" w:eastAsia="zh-CN" w:bidi="ar"/>
                    </w:rPr>
                    <w:t>”</w:t>
                  </w:r>
                  <w:r>
                    <w:rPr>
                      <w:rStyle w:val="108"/>
                      <w:rFonts w:hint="default" w:ascii="Times New Roman" w:hAnsi="Times New Roman" w:cs="Times New Roman" w:eastAsiaTheme="majorEastAsia"/>
                      <w:color w:val="auto"/>
                      <w:sz w:val="21"/>
                      <w:szCs w:val="21"/>
                      <w:lang w:val="en-US" w:eastAsia="zh-CN" w:bidi="ar"/>
                    </w:rPr>
                    <w:t>项目，新建</w:t>
                  </w:r>
                  <w:r>
                    <w:rPr>
                      <w:rStyle w:val="104"/>
                      <w:rFonts w:hint="default" w:ascii="Times New Roman" w:hAnsi="Times New Roman" w:cs="Times New Roman" w:eastAsiaTheme="majorEastAsia"/>
                      <w:color w:val="auto"/>
                      <w:sz w:val="21"/>
                      <w:szCs w:val="21"/>
                      <w:lang w:val="en-US" w:eastAsia="zh-CN" w:bidi="ar"/>
                    </w:rPr>
                    <w:t>“</w:t>
                  </w:r>
                  <w:r>
                    <w:rPr>
                      <w:rStyle w:val="108"/>
                      <w:rFonts w:hint="default" w:ascii="Times New Roman" w:hAnsi="Times New Roman" w:cs="Times New Roman" w:eastAsiaTheme="majorEastAsia"/>
                      <w:color w:val="auto"/>
                      <w:sz w:val="21"/>
                      <w:szCs w:val="21"/>
                      <w:lang w:val="en-US" w:eastAsia="zh-CN" w:bidi="ar"/>
                    </w:rPr>
                    <w:t>两高</w:t>
                  </w:r>
                  <w:r>
                    <w:rPr>
                      <w:rStyle w:val="104"/>
                      <w:rFonts w:hint="default" w:ascii="Times New Roman" w:hAnsi="Times New Roman" w:cs="Times New Roman" w:eastAsiaTheme="majorEastAsia"/>
                      <w:color w:val="auto"/>
                      <w:sz w:val="21"/>
                      <w:szCs w:val="21"/>
                      <w:lang w:val="en-US" w:eastAsia="zh-CN" w:bidi="ar"/>
                    </w:rPr>
                    <w:t>”</w:t>
                  </w:r>
                  <w:r>
                    <w:rPr>
                      <w:rStyle w:val="108"/>
                      <w:rFonts w:hint="default" w:ascii="Times New Roman" w:hAnsi="Times New Roman" w:cs="Times New Roman" w:eastAsiaTheme="majorEastAsia"/>
                      <w:color w:val="auto"/>
                      <w:sz w:val="21"/>
                      <w:szCs w:val="21"/>
                      <w:lang w:val="en-US" w:eastAsia="zh-CN" w:bidi="ar"/>
                    </w:rPr>
                    <w:t>项目实行</w:t>
                  </w:r>
                  <w:r>
                    <w:rPr>
                      <w:rStyle w:val="104"/>
                      <w:rFonts w:hint="default" w:ascii="Times New Roman" w:hAnsi="Times New Roman" w:cs="Times New Roman" w:eastAsiaTheme="majorEastAsia"/>
                      <w:color w:val="auto"/>
                      <w:sz w:val="21"/>
                      <w:szCs w:val="21"/>
                      <w:lang w:val="en-US" w:eastAsia="zh-CN" w:bidi="ar"/>
                    </w:rPr>
                    <w:t>“</w:t>
                  </w:r>
                  <w:r>
                    <w:rPr>
                      <w:rStyle w:val="108"/>
                      <w:rFonts w:hint="default" w:ascii="Times New Roman" w:hAnsi="Times New Roman" w:cs="Times New Roman" w:eastAsiaTheme="majorEastAsia"/>
                      <w:color w:val="auto"/>
                      <w:sz w:val="21"/>
                      <w:szCs w:val="21"/>
                      <w:lang w:val="en-US" w:eastAsia="zh-CN" w:bidi="ar"/>
                    </w:rPr>
                    <w:t>五个减量替代</w:t>
                  </w:r>
                  <w:r>
                    <w:rPr>
                      <w:rStyle w:val="104"/>
                      <w:rFonts w:hint="default" w:ascii="Times New Roman" w:hAnsi="Times New Roman" w:cs="Times New Roman" w:eastAsiaTheme="majorEastAsia"/>
                      <w:color w:val="auto"/>
                      <w:sz w:val="21"/>
                      <w:szCs w:val="21"/>
                      <w:lang w:val="en-US" w:eastAsia="zh-CN" w:bidi="ar"/>
                    </w:rPr>
                    <w:t>”</w:t>
                  </w:r>
                  <w:r>
                    <w:rPr>
                      <w:rStyle w:val="108"/>
                      <w:rFonts w:hint="default" w:ascii="Times New Roman" w:hAnsi="Times New Roman" w:cs="Times New Roman" w:eastAsiaTheme="majorEastAsia"/>
                      <w:color w:val="auto"/>
                      <w:sz w:val="21"/>
                      <w:szCs w:val="21"/>
                      <w:lang w:val="en-US" w:eastAsia="zh-CN" w:bidi="ar"/>
                    </w:rPr>
                    <w:t>。</w:t>
                  </w:r>
                  <w:r>
                    <w:rPr>
                      <w:rStyle w:val="104"/>
                      <w:rFonts w:hint="default" w:ascii="Times New Roman" w:hAnsi="Times New Roman" w:cs="Times New Roman" w:eastAsiaTheme="majorEastAsia"/>
                      <w:color w:val="auto"/>
                      <w:sz w:val="21"/>
                      <w:szCs w:val="21"/>
                      <w:lang w:val="en-US" w:eastAsia="zh-CN" w:bidi="ar"/>
                    </w:rPr>
                    <w:br w:type="textWrapping"/>
                  </w:r>
                  <w:r>
                    <w:rPr>
                      <w:rStyle w:val="104"/>
                      <w:rFonts w:hint="default" w:ascii="Times New Roman" w:hAnsi="Times New Roman" w:cs="Times New Roman" w:eastAsiaTheme="majorEastAsia"/>
                      <w:color w:val="auto"/>
                      <w:sz w:val="21"/>
                      <w:szCs w:val="21"/>
                      <w:lang w:val="en-US" w:eastAsia="zh-CN" w:bidi="ar"/>
                    </w:rPr>
                    <w:t>3.</w:t>
                  </w:r>
                  <w:r>
                    <w:rPr>
                      <w:rStyle w:val="108"/>
                      <w:rFonts w:hint="default" w:ascii="Times New Roman" w:hAnsi="Times New Roman" w:cs="Times New Roman" w:eastAsiaTheme="majorEastAsia"/>
                      <w:color w:val="auto"/>
                      <w:sz w:val="21"/>
                      <w:szCs w:val="21"/>
                      <w:lang w:val="en-US" w:eastAsia="zh-CN" w:bidi="ar"/>
                    </w:rPr>
                    <w:t>生态红线外淄川省级风景名胜区依据《中华人民共和国自然保护条例》</w:t>
                  </w:r>
                  <w:r>
                    <w:rPr>
                      <w:rStyle w:val="108"/>
                      <w:rFonts w:hint="eastAsia" w:ascii="Times New Roman" w:hAnsi="Times New Roman" w:cs="Times New Roman" w:eastAsiaTheme="majorEastAsia"/>
                      <w:color w:val="auto"/>
                      <w:sz w:val="21"/>
                      <w:szCs w:val="21"/>
                      <w:lang w:val="en-US" w:eastAsia="zh-CN" w:bidi="ar"/>
                    </w:rPr>
                    <w:t>、</w:t>
                  </w:r>
                  <w:r>
                    <w:rPr>
                      <w:rStyle w:val="108"/>
                      <w:rFonts w:hint="default" w:ascii="Times New Roman" w:hAnsi="Times New Roman" w:cs="Times New Roman" w:eastAsiaTheme="majorEastAsia"/>
                      <w:color w:val="auto"/>
                      <w:sz w:val="21"/>
                      <w:szCs w:val="21"/>
                      <w:lang w:val="en-US" w:eastAsia="zh-CN" w:bidi="ar"/>
                    </w:rPr>
                    <w:t>《森林公园管理办法》</w:t>
                  </w:r>
                  <w:r>
                    <w:rPr>
                      <w:rStyle w:val="108"/>
                      <w:rFonts w:hint="eastAsia" w:ascii="Times New Roman" w:hAnsi="Times New Roman" w:cs="Times New Roman" w:eastAsiaTheme="majorEastAsia"/>
                      <w:color w:val="auto"/>
                      <w:sz w:val="21"/>
                      <w:szCs w:val="21"/>
                      <w:lang w:val="en-US" w:eastAsia="zh-CN" w:bidi="ar"/>
                    </w:rPr>
                    <w:t>、</w:t>
                  </w:r>
                  <w:r>
                    <w:rPr>
                      <w:rStyle w:val="108"/>
                      <w:rFonts w:hint="default" w:ascii="Times New Roman" w:hAnsi="Times New Roman" w:cs="Times New Roman" w:eastAsiaTheme="majorEastAsia"/>
                      <w:color w:val="auto"/>
                      <w:sz w:val="21"/>
                      <w:szCs w:val="21"/>
                      <w:lang w:val="en-US" w:eastAsia="zh-CN" w:bidi="ar"/>
                    </w:rPr>
                    <w:t>《风景名胜区条例》</w:t>
                  </w:r>
                  <w:r>
                    <w:rPr>
                      <w:rStyle w:val="108"/>
                      <w:rFonts w:hint="eastAsia" w:ascii="Times New Roman" w:hAnsi="Times New Roman" w:cs="Times New Roman" w:eastAsiaTheme="majorEastAsia"/>
                      <w:color w:val="auto"/>
                      <w:sz w:val="21"/>
                      <w:szCs w:val="21"/>
                      <w:lang w:val="en-US" w:eastAsia="zh-CN" w:bidi="ar"/>
                    </w:rPr>
                    <w:t>、</w:t>
                  </w:r>
                  <w:r>
                    <w:rPr>
                      <w:rStyle w:val="108"/>
                      <w:rFonts w:hint="default" w:ascii="Times New Roman" w:hAnsi="Times New Roman" w:cs="Times New Roman" w:eastAsiaTheme="majorEastAsia"/>
                      <w:color w:val="auto"/>
                      <w:sz w:val="21"/>
                      <w:szCs w:val="21"/>
                      <w:lang w:val="en-US" w:eastAsia="zh-CN" w:bidi="ar"/>
                    </w:rPr>
                    <w:t>《国家级公益林管理办法》</w:t>
                  </w:r>
                  <w:r>
                    <w:rPr>
                      <w:rStyle w:val="108"/>
                      <w:rFonts w:hint="eastAsia" w:ascii="Times New Roman" w:hAnsi="Times New Roman" w:cs="Times New Roman" w:eastAsiaTheme="majorEastAsia"/>
                      <w:color w:val="auto"/>
                      <w:sz w:val="21"/>
                      <w:szCs w:val="21"/>
                      <w:lang w:val="en-US" w:eastAsia="zh-CN" w:bidi="ar"/>
                    </w:rPr>
                    <w:t>、</w:t>
                  </w:r>
                  <w:r>
                    <w:rPr>
                      <w:rStyle w:val="108"/>
                      <w:rFonts w:hint="default" w:ascii="Times New Roman" w:hAnsi="Times New Roman" w:cs="Times New Roman" w:eastAsiaTheme="majorEastAsia"/>
                      <w:color w:val="auto"/>
                      <w:sz w:val="21"/>
                      <w:szCs w:val="21"/>
                      <w:lang w:val="en-US" w:eastAsia="zh-CN" w:bidi="ar"/>
                    </w:rPr>
                    <w:t>《国家湿地公园管理办法》的要求进行管控。不得在生态红线内开展城镇化、工业化等有损害主导生态功能的活动。</w:t>
                  </w:r>
                  <w:r>
                    <w:rPr>
                      <w:rStyle w:val="104"/>
                      <w:rFonts w:hint="default" w:ascii="Times New Roman" w:hAnsi="Times New Roman" w:cs="Times New Roman" w:eastAsiaTheme="majorEastAsia"/>
                      <w:color w:val="auto"/>
                      <w:sz w:val="21"/>
                      <w:szCs w:val="21"/>
                      <w:lang w:val="en-US" w:eastAsia="zh-CN" w:bidi="ar"/>
                    </w:rPr>
                    <w:br w:type="textWrapping"/>
                  </w:r>
                  <w:r>
                    <w:rPr>
                      <w:rStyle w:val="104"/>
                      <w:rFonts w:hint="default" w:ascii="Times New Roman" w:hAnsi="Times New Roman" w:cs="Times New Roman" w:eastAsiaTheme="majorEastAsia"/>
                      <w:color w:val="auto"/>
                      <w:sz w:val="21"/>
                      <w:szCs w:val="21"/>
                      <w:lang w:val="en-US" w:eastAsia="zh-CN" w:bidi="ar"/>
                    </w:rPr>
                    <w:t>4.</w:t>
                  </w:r>
                  <w:r>
                    <w:rPr>
                      <w:rStyle w:val="104"/>
                      <w:rFonts w:hint="eastAsia" w:ascii="Times New Roman" w:hAnsi="Times New Roman" w:cs="Times New Roman" w:eastAsiaTheme="majorEastAsia"/>
                      <w:color w:val="auto"/>
                      <w:sz w:val="21"/>
                      <w:szCs w:val="21"/>
                      <w:lang w:val="en-US" w:eastAsia="zh-CN" w:bidi="ar"/>
                    </w:rPr>
                    <w:t>按照</w:t>
                  </w:r>
                  <w:r>
                    <w:rPr>
                      <w:rStyle w:val="108"/>
                      <w:rFonts w:hint="default" w:ascii="Times New Roman" w:hAnsi="Times New Roman" w:cs="Times New Roman" w:eastAsiaTheme="majorEastAsia"/>
                      <w:color w:val="auto"/>
                      <w:sz w:val="21"/>
                      <w:szCs w:val="21"/>
                      <w:lang w:val="en-US" w:eastAsia="zh-CN" w:bidi="ar"/>
                    </w:rPr>
                    <w:t>《土壤污染防治行动计划》要求</w:t>
                  </w:r>
                  <w:r>
                    <w:rPr>
                      <w:rStyle w:val="108"/>
                      <w:rFonts w:hint="eastAsia" w:ascii="Times New Roman" w:hAnsi="Times New Roman" w:cs="Times New Roman" w:eastAsiaTheme="majorEastAsia"/>
                      <w:color w:val="auto"/>
                      <w:sz w:val="21"/>
                      <w:szCs w:val="21"/>
                      <w:lang w:val="en-US" w:eastAsia="zh-CN" w:bidi="ar"/>
                    </w:rPr>
                    <w:t>，</w:t>
                  </w:r>
                  <w:r>
                    <w:rPr>
                      <w:rStyle w:val="108"/>
                      <w:rFonts w:hint="default" w:ascii="Times New Roman" w:hAnsi="Times New Roman" w:cs="Times New Roman" w:eastAsiaTheme="majorEastAsia"/>
                      <w:color w:val="auto"/>
                      <w:sz w:val="21"/>
                      <w:szCs w:val="21"/>
                      <w:lang w:val="en-US" w:eastAsia="zh-CN" w:bidi="ar"/>
                    </w:rPr>
                    <w:t>严格控制在优先保护类耕地集中区域新建有色金属冶炼、石油加工、化工、焦化、电镀、制革等行业企业。对永久基本农田实行严格保护，确保其面积不减少、土壤环境质量不下降，除法律规定的重点建设项目选址确实无法避让外，其他任何建设不得占用。</w:t>
                  </w:r>
                  <w:r>
                    <w:rPr>
                      <w:rStyle w:val="104"/>
                      <w:rFonts w:hint="default" w:ascii="Times New Roman" w:hAnsi="Times New Roman" w:cs="Times New Roman" w:eastAsiaTheme="majorEastAsia"/>
                      <w:color w:val="auto"/>
                      <w:sz w:val="21"/>
                      <w:szCs w:val="21"/>
                      <w:lang w:val="en-US" w:eastAsia="zh-CN" w:bidi="ar"/>
                    </w:rPr>
                    <w:br w:type="textWrapping"/>
                  </w:r>
                  <w:r>
                    <w:rPr>
                      <w:rStyle w:val="104"/>
                      <w:rFonts w:hint="default" w:ascii="Times New Roman" w:hAnsi="Times New Roman" w:cs="Times New Roman" w:eastAsiaTheme="majorEastAsia"/>
                      <w:color w:val="auto"/>
                      <w:sz w:val="21"/>
                      <w:szCs w:val="21"/>
                      <w:lang w:val="en-US" w:eastAsia="zh-CN" w:bidi="ar"/>
                    </w:rPr>
                    <w:t>5.</w:t>
                  </w:r>
                  <w:r>
                    <w:rPr>
                      <w:rStyle w:val="108"/>
                      <w:rFonts w:hint="default" w:ascii="Times New Roman" w:hAnsi="Times New Roman" w:cs="Times New Roman" w:eastAsiaTheme="majorEastAsia"/>
                      <w:color w:val="auto"/>
                      <w:sz w:val="21"/>
                      <w:szCs w:val="21"/>
                      <w:lang w:val="en-US" w:eastAsia="zh-CN" w:bidi="ar"/>
                    </w:rPr>
                    <w:t>污水处理设施不健全、未正常运行或污水管网未覆盖的地区，未配套污水处理设施的项目不得建设。</w:t>
                  </w:r>
                  <w:r>
                    <w:rPr>
                      <w:rStyle w:val="104"/>
                      <w:rFonts w:hint="default" w:ascii="Times New Roman" w:hAnsi="Times New Roman" w:cs="Times New Roman" w:eastAsiaTheme="majorEastAsia"/>
                      <w:color w:val="auto"/>
                      <w:sz w:val="21"/>
                      <w:szCs w:val="21"/>
                      <w:lang w:val="en-US" w:eastAsia="zh-CN" w:bidi="ar"/>
                    </w:rPr>
                    <w:br w:type="textWrapping"/>
                  </w:r>
                  <w:r>
                    <w:rPr>
                      <w:rStyle w:val="105"/>
                      <w:rFonts w:hint="default" w:ascii="Times New Roman" w:hAnsi="Times New Roman" w:cs="Times New Roman" w:eastAsiaTheme="majorEastAsia"/>
                      <w:color w:val="auto"/>
                      <w:sz w:val="21"/>
                      <w:szCs w:val="21"/>
                      <w:lang w:val="en-US" w:eastAsia="zh-CN" w:bidi="ar"/>
                    </w:rPr>
                    <w:t>6.</w:t>
                  </w:r>
                  <w:r>
                    <w:rPr>
                      <w:rStyle w:val="109"/>
                      <w:rFonts w:hint="default" w:ascii="Times New Roman" w:hAnsi="Times New Roman" w:cs="Times New Roman" w:eastAsiaTheme="majorEastAsia"/>
                      <w:color w:val="auto"/>
                      <w:sz w:val="21"/>
                      <w:szCs w:val="21"/>
                      <w:lang w:val="en-US" w:eastAsia="zh-CN" w:bidi="ar"/>
                    </w:rPr>
                    <w:t>新建有污染物排放的工业项目，除在安全生产等方面有特殊要求的以外，应当进入工业园区或工业聚集区。</w:t>
                  </w:r>
                </w:p>
              </w:tc>
              <w:tc>
                <w:tcPr>
                  <w:tcW w:w="1364" w:type="pct"/>
                  <w:noWrap w:val="0"/>
                  <w:vAlign w:val="center"/>
                </w:tcPr>
                <w:p w14:paraId="55675EF5">
                  <w:pPr>
                    <w:pStyle w:val="5"/>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Theme="minorEastAsia"/>
                      <w:bCs/>
                      <w:color w:val="auto"/>
                      <w:sz w:val="21"/>
                      <w:szCs w:val="21"/>
                      <w:lang w:val="en-US" w:eastAsia="zh-CN"/>
                    </w:rPr>
                  </w:pPr>
                  <w:r>
                    <w:rPr>
                      <w:rFonts w:hint="eastAsia" w:ascii="Times New Roman" w:hAnsi="Times New Roman" w:eastAsiaTheme="minorEastAsia"/>
                      <w:bCs/>
                      <w:color w:val="auto"/>
                      <w:sz w:val="21"/>
                      <w:szCs w:val="21"/>
                      <w:lang w:val="en-US" w:eastAsia="zh-CN"/>
                    </w:rPr>
                    <w:t>1.本</w:t>
                  </w:r>
                  <w:r>
                    <w:rPr>
                      <w:rFonts w:hint="eastAsia" w:ascii="Times New Roman" w:hAnsi="Times New Roman" w:eastAsiaTheme="minorEastAsia"/>
                      <w:bCs/>
                      <w:color w:val="auto"/>
                      <w:sz w:val="21"/>
                      <w:szCs w:val="21"/>
                    </w:rPr>
                    <w:t>项目</w:t>
                  </w:r>
                  <w:r>
                    <w:rPr>
                      <w:rFonts w:hint="eastAsia" w:ascii="Times New Roman" w:eastAsiaTheme="minorEastAsia"/>
                      <w:bCs/>
                      <w:color w:val="auto"/>
                      <w:sz w:val="21"/>
                      <w:szCs w:val="21"/>
                      <w:lang w:val="en-US" w:eastAsia="zh-CN"/>
                    </w:rPr>
                    <w:t>不</w:t>
                  </w:r>
                  <w:r>
                    <w:rPr>
                      <w:rFonts w:hint="eastAsia" w:ascii="Times New Roman" w:hAnsi="Times New Roman" w:eastAsiaTheme="minorEastAsia"/>
                      <w:bCs/>
                      <w:color w:val="auto"/>
                      <w:sz w:val="21"/>
                      <w:szCs w:val="21"/>
                      <w:lang w:val="en-US" w:eastAsia="zh-CN"/>
                    </w:rPr>
                    <w:t>属于</w:t>
                  </w:r>
                  <w:r>
                    <w:rPr>
                      <w:rFonts w:hint="eastAsia" w:ascii="Times New Roman" w:eastAsiaTheme="minorEastAsia"/>
                      <w:bCs/>
                      <w:color w:val="auto"/>
                      <w:sz w:val="21"/>
                      <w:szCs w:val="21"/>
                      <w:lang w:val="en-US" w:eastAsia="zh-CN"/>
                    </w:rPr>
                    <w:t>限制类及淘汰类</w:t>
                  </w:r>
                  <w:r>
                    <w:rPr>
                      <w:rFonts w:hint="eastAsia" w:ascii="Times New Roman" w:hAnsi="Times New Roman" w:eastAsiaTheme="minorEastAsia"/>
                      <w:bCs/>
                      <w:color w:val="auto"/>
                      <w:sz w:val="21"/>
                      <w:szCs w:val="21"/>
                      <w:lang w:val="en-US" w:eastAsia="zh-CN"/>
                    </w:rPr>
                    <w:t>项目。</w:t>
                  </w:r>
                </w:p>
                <w:p w14:paraId="2DBB11EF">
                  <w:pPr>
                    <w:pStyle w:val="5"/>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Theme="minorEastAsia"/>
                      <w:bCs/>
                      <w:color w:val="auto"/>
                      <w:sz w:val="21"/>
                      <w:szCs w:val="21"/>
                      <w:lang w:val="en-US" w:eastAsia="zh-CN"/>
                    </w:rPr>
                  </w:pPr>
                  <w:r>
                    <w:rPr>
                      <w:rFonts w:hint="eastAsia" w:ascii="Times New Roman" w:hAnsi="Times New Roman" w:eastAsiaTheme="minorEastAsia"/>
                      <w:bCs/>
                      <w:color w:val="auto"/>
                      <w:sz w:val="21"/>
                      <w:szCs w:val="21"/>
                      <w:lang w:val="en-US" w:eastAsia="zh-CN"/>
                    </w:rPr>
                    <w:t>2.本项目</w:t>
                  </w:r>
                  <w:r>
                    <w:rPr>
                      <w:rFonts w:hint="eastAsia" w:ascii="Times New Roman" w:eastAsiaTheme="minorEastAsia"/>
                      <w:bCs/>
                      <w:color w:val="auto"/>
                      <w:sz w:val="21"/>
                      <w:szCs w:val="21"/>
                      <w:lang w:val="en-US" w:eastAsia="zh-CN"/>
                    </w:rPr>
                    <w:t>不属于“两高”项目。</w:t>
                  </w:r>
                </w:p>
                <w:p w14:paraId="4E3B2E48">
                  <w:pPr>
                    <w:pStyle w:val="5"/>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Theme="minorEastAsia"/>
                      <w:bCs/>
                      <w:color w:val="auto"/>
                      <w:sz w:val="21"/>
                      <w:szCs w:val="21"/>
                      <w:lang w:val="en-US" w:eastAsia="zh-CN"/>
                    </w:rPr>
                  </w:pPr>
                  <w:r>
                    <w:rPr>
                      <w:rFonts w:hint="eastAsia" w:ascii="Times New Roman" w:hAnsi="Times New Roman" w:eastAsiaTheme="minorEastAsia"/>
                      <w:bCs/>
                      <w:color w:val="auto"/>
                      <w:sz w:val="21"/>
                      <w:szCs w:val="21"/>
                      <w:lang w:val="en-US" w:eastAsia="zh-CN"/>
                    </w:rPr>
                    <w:t>3.</w:t>
                  </w:r>
                  <w:r>
                    <w:rPr>
                      <w:rFonts w:hint="eastAsia" w:ascii="Times New Roman" w:eastAsiaTheme="minorEastAsia"/>
                      <w:bCs/>
                      <w:color w:val="auto"/>
                      <w:sz w:val="21"/>
                      <w:szCs w:val="21"/>
                      <w:lang w:val="en-US" w:eastAsia="zh-CN"/>
                    </w:rPr>
                    <w:t>本项目不涉及风景名胜区</w:t>
                  </w:r>
                  <w:r>
                    <w:rPr>
                      <w:rFonts w:hint="eastAsia" w:ascii="Times New Roman" w:hAnsi="Times New Roman" w:eastAsiaTheme="minorEastAsia"/>
                      <w:bCs/>
                      <w:color w:val="auto"/>
                      <w:sz w:val="21"/>
                      <w:szCs w:val="21"/>
                      <w:lang w:val="en-US" w:eastAsia="zh-CN"/>
                    </w:rPr>
                    <w:t>。</w:t>
                  </w:r>
                </w:p>
                <w:p w14:paraId="55689B43">
                  <w:pPr>
                    <w:pStyle w:val="5"/>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eastAsiaTheme="minorEastAsia"/>
                      <w:bCs/>
                      <w:color w:val="auto"/>
                      <w:sz w:val="21"/>
                      <w:szCs w:val="21"/>
                      <w:lang w:val="en-US" w:eastAsia="zh-CN"/>
                    </w:rPr>
                  </w:pPr>
                  <w:r>
                    <w:rPr>
                      <w:rFonts w:hint="eastAsia" w:ascii="Times New Roman" w:hAnsi="Times New Roman" w:eastAsiaTheme="minorEastAsia"/>
                      <w:bCs/>
                      <w:color w:val="auto"/>
                      <w:sz w:val="21"/>
                      <w:szCs w:val="21"/>
                      <w:lang w:val="en-US" w:eastAsia="zh-CN"/>
                    </w:rPr>
                    <w:t>4.本项目</w:t>
                  </w:r>
                  <w:r>
                    <w:rPr>
                      <w:rFonts w:hint="eastAsia" w:ascii="Times New Roman" w:eastAsiaTheme="minorEastAsia"/>
                      <w:bCs/>
                      <w:color w:val="auto"/>
                      <w:sz w:val="21"/>
                      <w:szCs w:val="21"/>
                      <w:lang w:val="en-US" w:eastAsia="zh-CN"/>
                    </w:rPr>
                    <w:t>不涉及耕地及基本农田。</w:t>
                  </w:r>
                </w:p>
                <w:p w14:paraId="4DB79977">
                  <w:pPr>
                    <w:pStyle w:val="5"/>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eastAsiaTheme="minorEastAsia"/>
                      <w:bCs/>
                      <w:color w:val="auto"/>
                      <w:sz w:val="21"/>
                      <w:szCs w:val="21"/>
                      <w:lang w:val="en-US" w:eastAsia="zh-CN"/>
                    </w:rPr>
                  </w:pPr>
                  <w:r>
                    <w:rPr>
                      <w:rFonts w:hint="eastAsia" w:ascii="Times New Roman" w:eastAsiaTheme="minorEastAsia"/>
                      <w:bCs/>
                      <w:color w:val="auto"/>
                      <w:sz w:val="21"/>
                      <w:szCs w:val="21"/>
                      <w:lang w:val="en-US" w:eastAsia="zh-CN"/>
                    </w:rPr>
                    <w:t>5.项目区属于污水处理设备配套完善区域。</w:t>
                  </w:r>
                </w:p>
                <w:p w14:paraId="42AEA86F">
                  <w:pPr>
                    <w:pStyle w:val="5"/>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eastAsia="宋体"/>
                      <w:bCs/>
                      <w:color w:val="auto"/>
                      <w:sz w:val="21"/>
                      <w:szCs w:val="21"/>
                      <w:lang w:val="en-US" w:eastAsia="zh-CN"/>
                    </w:rPr>
                  </w:pPr>
                  <w:r>
                    <w:rPr>
                      <w:rFonts w:hint="eastAsia" w:ascii="Times New Roman" w:hAnsi="Times New Roman" w:cs="宋体" w:eastAsiaTheme="minorEastAsia"/>
                      <w:bCs/>
                      <w:color w:val="auto"/>
                      <w:sz w:val="21"/>
                      <w:szCs w:val="21"/>
                      <w:lang w:val="en-US" w:eastAsia="zh-CN"/>
                    </w:rPr>
                    <w:t>6.本项目为危险废物收集转运项目，无工业生产环节，不属于工业项目。</w:t>
                  </w:r>
                </w:p>
              </w:tc>
              <w:tc>
                <w:tcPr>
                  <w:tcW w:w="566" w:type="pct"/>
                  <w:noWrap w:val="0"/>
                  <w:vAlign w:val="center"/>
                </w:tcPr>
                <w:p w14:paraId="3777F7D0">
                  <w:pPr>
                    <w:keepNext w:val="0"/>
                    <w:keepLines w:val="0"/>
                    <w:pageBreakBefore w:val="0"/>
                    <w:kinsoku/>
                    <w:wordWrap/>
                    <w:overflowPunct/>
                    <w:topLinePunct w:val="0"/>
                    <w:autoSpaceDE/>
                    <w:autoSpaceDN/>
                    <w:bidi w:val="0"/>
                    <w:adjustRightInd/>
                    <w:ind w:firstLine="0" w:firstLineChars="0"/>
                    <w:jc w:val="center"/>
                    <w:rPr>
                      <w:rFonts w:hint="default"/>
                      <w:color w:val="auto"/>
                      <w:sz w:val="21"/>
                      <w:szCs w:val="21"/>
                      <w:highlight w:val="none"/>
                      <w:lang w:val="en-US" w:eastAsia="zh-CN"/>
                    </w:rPr>
                  </w:pPr>
                  <w:r>
                    <w:rPr>
                      <w:rFonts w:hint="eastAsia"/>
                      <w:color w:val="auto"/>
                      <w:sz w:val="21"/>
                      <w:szCs w:val="21"/>
                      <w:highlight w:val="none"/>
                      <w:lang w:val="en-US" w:eastAsia="zh-CN"/>
                    </w:rPr>
                    <w:t>符合</w:t>
                  </w:r>
                </w:p>
              </w:tc>
            </w:tr>
            <w:tr w14:paraId="7C90EB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27" w:type="pct"/>
                  <w:noWrap w:val="0"/>
                  <w:vAlign w:val="center"/>
                </w:tcPr>
                <w:p w14:paraId="6D76EA94">
                  <w:pPr>
                    <w:keepNext w:val="0"/>
                    <w:keepLines w:val="0"/>
                    <w:pageBreakBefore w:val="0"/>
                    <w:kinsoku/>
                    <w:wordWrap/>
                    <w:overflowPunct/>
                    <w:topLinePunct w:val="0"/>
                    <w:autoSpaceDE/>
                    <w:autoSpaceDN/>
                    <w:bidi w:val="0"/>
                    <w:adjustRightInd/>
                    <w:ind w:firstLine="0" w:firstLineChars="0"/>
                    <w:jc w:val="center"/>
                    <w:rPr>
                      <w:rFonts w:hint="default"/>
                      <w:color w:val="auto"/>
                      <w:sz w:val="21"/>
                      <w:szCs w:val="21"/>
                      <w:highlight w:val="none"/>
                      <w:lang w:val="en-US" w:eastAsia="zh-CN"/>
                    </w:rPr>
                  </w:pPr>
                  <w:r>
                    <w:rPr>
                      <w:rFonts w:hint="eastAsia"/>
                      <w:color w:val="auto"/>
                      <w:sz w:val="21"/>
                      <w:szCs w:val="21"/>
                      <w:highlight w:val="none"/>
                      <w:lang w:val="en-US" w:eastAsia="zh-CN"/>
                    </w:rPr>
                    <w:t>污染物排放管控</w:t>
                  </w:r>
                </w:p>
              </w:tc>
              <w:tc>
                <w:tcPr>
                  <w:tcW w:w="2642" w:type="pct"/>
                  <w:noWrap w:val="0"/>
                  <w:vAlign w:val="center"/>
                </w:tcPr>
                <w:p w14:paraId="7D7FADA5">
                  <w:pPr>
                    <w:keepNext w:val="0"/>
                    <w:keepLines w:val="0"/>
                    <w:pageBreakBefore w:val="0"/>
                    <w:widowControl w:val="0"/>
                    <w:numPr>
                      <w:ilvl w:val="0"/>
                      <w:numId w:val="0"/>
                    </w:numPr>
                    <w:kinsoku/>
                    <w:wordWrap/>
                    <w:overflowPunct/>
                    <w:topLinePunct w:val="0"/>
                    <w:autoSpaceDE/>
                    <w:autoSpaceDN/>
                    <w:bidi w:val="0"/>
                    <w:adjustRightInd/>
                    <w:snapToGrid/>
                    <w:jc w:val="left"/>
                    <w:textAlignment w:val="auto"/>
                    <w:rPr>
                      <w:rFonts w:hint="eastAsia" w:ascii="Times New Roman" w:hAnsi="Times New Roman" w:eastAsia="宋体" w:cs="Times New Roman"/>
                      <w:color w:val="auto"/>
                      <w:sz w:val="21"/>
                      <w:szCs w:val="21"/>
                      <w:highlight w:val="none"/>
                      <w:lang w:val="en-US" w:eastAsia="zh-CN"/>
                    </w:rPr>
                  </w:pPr>
                  <w:r>
                    <w:rPr>
                      <w:rStyle w:val="105"/>
                      <w:rFonts w:hint="default" w:ascii="Times New Roman" w:hAnsi="Times New Roman" w:cs="Times New Roman" w:eastAsiaTheme="majorEastAsia"/>
                      <w:color w:val="auto"/>
                      <w:sz w:val="21"/>
                      <w:szCs w:val="21"/>
                      <w:lang w:val="en-US" w:eastAsia="zh-CN" w:bidi="ar"/>
                    </w:rPr>
                    <w:t>1.</w:t>
                  </w:r>
                  <w:r>
                    <w:rPr>
                      <w:rStyle w:val="109"/>
                      <w:rFonts w:hint="default" w:ascii="Times New Roman" w:hAnsi="Times New Roman" w:cs="Times New Roman" w:eastAsiaTheme="majorEastAsia"/>
                      <w:color w:val="auto"/>
                      <w:sz w:val="21"/>
                      <w:szCs w:val="21"/>
                      <w:lang w:val="en-US" w:eastAsia="zh-CN" w:bidi="ar"/>
                    </w:rPr>
                    <w:t>涉</w:t>
                  </w:r>
                  <w:r>
                    <w:rPr>
                      <w:rStyle w:val="105"/>
                      <w:rFonts w:hint="default" w:ascii="Times New Roman" w:hAnsi="Times New Roman" w:cs="Times New Roman" w:eastAsiaTheme="majorEastAsia"/>
                      <w:color w:val="auto"/>
                      <w:sz w:val="21"/>
                      <w:szCs w:val="21"/>
                      <w:lang w:val="en-US" w:eastAsia="zh-CN" w:bidi="ar"/>
                    </w:rPr>
                    <w:t>“</w:t>
                  </w:r>
                  <w:r>
                    <w:rPr>
                      <w:rStyle w:val="109"/>
                      <w:rFonts w:hint="default" w:ascii="Times New Roman" w:hAnsi="Times New Roman" w:cs="Times New Roman" w:eastAsiaTheme="majorEastAsia"/>
                      <w:color w:val="auto"/>
                      <w:sz w:val="21"/>
                      <w:szCs w:val="21"/>
                      <w:lang w:val="en-US" w:eastAsia="zh-CN" w:bidi="ar"/>
                    </w:rPr>
                    <w:t>两高</w:t>
                  </w:r>
                  <w:r>
                    <w:rPr>
                      <w:rStyle w:val="105"/>
                      <w:rFonts w:hint="default" w:ascii="Times New Roman" w:hAnsi="Times New Roman" w:cs="Times New Roman" w:eastAsiaTheme="majorEastAsia"/>
                      <w:color w:val="auto"/>
                      <w:sz w:val="21"/>
                      <w:szCs w:val="21"/>
                      <w:lang w:val="en-US" w:eastAsia="zh-CN" w:bidi="ar"/>
                    </w:rPr>
                    <w:t>”</w:t>
                  </w:r>
                  <w:r>
                    <w:rPr>
                      <w:rStyle w:val="109"/>
                      <w:rFonts w:hint="default" w:ascii="Times New Roman" w:hAnsi="Times New Roman" w:cs="Times New Roman" w:eastAsiaTheme="majorEastAsia"/>
                      <w:color w:val="auto"/>
                      <w:sz w:val="21"/>
                      <w:szCs w:val="21"/>
                      <w:lang w:val="en-US" w:eastAsia="zh-CN" w:bidi="ar"/>
                    </w:rPr>
                    <w:t>项目企业应当积极实施节能改造提升，提高能源使用效率，推进节能减排。</w:t>
                  </w:r>
                  <w:r>
                    <w:rPr>
                      <w:rStyle w:val="105"/>
                      <w:rFonts w:hint="default" w:ascii="Times New Roman" w:hAnsi="Times New Roman" w:cs="Times New Roman" w:eastAsiaTheme="majorEastAsia"/>
                      <w:color w:val="auto"/>
                      <w:sz w:val="21"/>
                      <w:szCs w:val="21"/>
                      <w:lang w:val="en-US" w:eastAsia="zh-CN" w:bidi="ar"/>
                    </w:rPr>
                    <w:br w:type="textWrapping"/>
                  </w:r>
                  <w:r>
                    <w:rPr>
                      <w:rStyle w:val="105"/>
                      <w:rFonts w:hint="default" w:ascii="Times New Roman" w:hAnsi="Times New Roman" w:cs="Times New Roman" w:eastAsiaTheme="majorEastAsia"/>
                      <w:color w:val="auto"/>
                      <w:sz w:val="21"/>
                      <w:szCs w:val="21"/>
                      <w:lang w:val="en-US" w:eastAsia="zh-CN" w:bidi="ar"/>
                    </w:rPr>
                    <w:t>2.</w:t>
                  </w:r>
                  <w:r>
                    <w:rPr>
                      <w:rStyle w:val="109"/>
                      <w:rFonts w:hint="default" w:ascii="Times New Roman" w:hAnsi="Times New Roman" w:cs="Times New Roman" w:eastAsiaTheme="majorEastAsia"/>
                      <w:color w:val="auto"/>
                      <w:sz w:val="21"/>
                      <w:szCs w:val="21"/>
                      <w:lang w:val="en-US" w:eastAsia="zh-CN" w:bidi="ar"/>
                    </w:rPr>
                    <w:t>落实主要污染物总量替代要求，按照山东省生态环境厅《关于印发山东省建设项目主要大气污染物排放总量替代指标核算及管理办法的通知》，实施动态管控替代。</w:t>
                  </w:r>
                  <w:r>
                    <w:rPr>
                      <w:rStyle w:val="104"/>
                      <w:rFonts w:hint="default" w:ascii="Times New Roman" w:hAnsi="Times New Roman" w:cs="Times New Roman" w:eastAsiaTheme="majorEastAsia"/>
                      <w:color w:val="auto"/>
                      <w:sz w:val="21"/>
                      <w:szCs w:val="21"/>
                      <w:lang w:val="en-US" w:eastAsia="zh-CN" w:bidi="ar"/>
                    </w:rPr>
                    <w:br w:type="textWrapping"/>
                  </w:r>
                  <w:r>
                    <w:rPr>
                      <w:rStyle w:val="104"/>
                      <w:rFonts w:hint="default" w:ascii="Times New Roman" w:hAnsi="Times New Roman" w:cs="Times New Roman" w:eastAsiaTheme="majorEastAsia"/>
                      <w:color w:val="auto"/>
                      <w:sz w:val="21"/>
                      <w:szCs w:val="21"/>
                      <w:lang w:val="en-US" w:eastAsia="zh-CN" w:bidi="ar"/>
                    </w:rPr>
                    <w:t>3.</w:t>
                  </w:r>
                  <w:r>
                    <w:rPr>
                      <w:rStyle w:val="108"/>
                      <w:rFonts w:hint="default" w:ascii="Times New Roman" w:hAnsi="Times New Roman" w:cs="Times New Roman" w:eastAsiaTheme="majorEastAsia"/>
                      <w:color w:val="auto"/>
                      <w:sz w:val="21"/>
                      <w:szCs w:val="21"/>
                      <w:lang w:val="en-US" w:eastAsia="zh-CN" w:bidi="ar"/>
                    </w:rPr>
                    <w:t>废水应当按照要求进行预处理，达到行业排放标准或是综合排放标准后方可排放。</w:t>
                  </w:r>
                  <w:r>
                    <w:rPr>
                      <w:rStyle w:val="104"/>
                      <w:rFonts w:hint="default" w:ascii="Times New Roman" w:hAnsi="Times New Roman" w:cs="Times New Roman" w:eastAsiaTheme="majorEastAsia"/>
                      <w:color w:val="auto"/>
                      <w:sz w:val="21"/>
                      <w:szCs w:val="21"/>
                      <w:lang w:val="en-US" w:eastAsia="zh-CN" w:bidi="ar"/>
                    </w:rPr>
                    <w:br w:type="textWrapping"/>
                  </w:r>
                  <w:r>
                    <w:rPr>
                      <w:rStyle w:val="104"/>
                      <w:rFonts w:hint="default" w:ascii="Times New Roman" w:hAnsi="Times New Roman" w:cs="Times New Roman" w:eastAsiaTheme="majorEastAsia"/>
                      <w:color w:val="auto"/>
                      <w:sz w:val="21"/>
                      <w:szCs w:val="21"/>
                      <w:lang w:val="en-US" w:eastAsia="zh-CN" w:bidi="ar"/>
                    </w:rPr>
                    <w:t>4.</w:t>
                  </w:r>
                  <w:r>
                    <w:rPr>
                      <w:rStyle w:val="108"/>
                      <w:rFonts w:hint="default" w:ascii="Times New Roman" w:hAnsi="Times New Roman" w:cs="Times New Roman" w:eastAsiaTheme="majorEastAsia"/>
                      <w:color w:val="auto"/>
                      <w:sz w:val="21"/>
                      <w:szCs w:val="21"/>
                      <w:lang w:val="en-US" w:eastAsia="zh-CN" w:bidi="ar"/>
                    </w:rPr>
                    <w:t>禁止工业废水和生活污水未经处理直排环境；原则上除工业污水集中处理设施、城镇污水处理厂外不得新建入河排污口。</w:t>
                  </w:r>
                  <w:r>
                    <w:rPr>
                      <w:rStyle w:val="104"/>
                      <w:rFonts w:hint="default" w:ascii="Times New Roman" w:hAnsi="Times New Roman" w:cs="Times New Roman" w:eastAsiaTheme="majorEastAsia"/>
                      <w:color w:val="auto"/>
                      <w:sz w:val="21"/>
                      <w:szCs w:val="21"/>
                      <w:lang w:val="en-US" w:eastAsia="zh-CN" w:bidi="ar"/>
                    </w:rPr>
                    <w:br w:type="textWrapping"/>
                  </w:r>
                  <w:r>
                    <w:rPr>
                      <w:rStyle w:val="104"/>
                      <w:rFonts w:hint="default" w:ascii="Times New Roman" w:hAnsi="Times New Roman" w:cs="Times New Roman" w:eastAsiaTheme="majorEastAsia"/>
                      <w:color w:val="auto"/>
                      <w:sz w:val="21"/>
                      <w:szCs w:val="21"/>
                      <w:lang w:val="en-US" w:eastAsia="zh-CN" w:bidi="ar"/>
                    </w:rPr>
                    <w:t>5.</w:t>
                  </w:r>
                  <w:r>
                    <w:rPr>
                      <w:rStyle w:val="108"/>
                      <w:rFonts w:hint="eastAsia" w:ascii="Times New Roman" w:hAnsi="Times New Roman" w:cs="Times New Roman" w:eastAsiaTheme="majorEastAsia"/>
                      <w:color w:val="auto"/>
                      <w:sz w:val="21"/>
                      <w:szCs w:val="21"/>
                      <w:lang w:val="en-US" w:eastAsia="zh-CN" w:bidi="ar"/>
                    </w:rPr>
                    <w:t>涉VOCs排放的行业，严格按照淄博市行业环境管控要求，实施源头替代，建立健全治理设施，确保污染物稳定达标排放，做到持证排污。</w:t>
                  </w:r>
                  <w:r>
                    <w:rPr>
                      <w:rStyle w:val="104"/>
                      <w:rFonts w:hint="default" w:ascii="Times New Roman" w:hAnsi="Times New Roman" w:cs="Times New Roman" w:eastAsiaTheme="majorEastAsia"/>
                      <w:color w:val="auto"/>
                      <w:sz w:val="21"/>
                      <w:szCs w:val="21"/>
                      <w:lang w:val="en-US" w:eastAsia="zh-CN" w:bidi="ar"/>
                    </w:rPr>
                    <w:br w:type="textWrapping"/>
                  </w:r>
                  <w:r>
                    <w:rPr>
                      <w:rStyle w:val="104"/>
                      <w:rFonts w:hint="default" w:ascii="Times New Roman" w:hAnsi="Times New Roman" w:cs="Times New Roman" w:eastAsiaTheme="majorEastAsia"/>
                      <w:color w:val="auto"/>
                      <w:sz w:val="21"/>
                      <w:szCs w:val="21"/>
                      <w:lang w:val="en-US" w:eastAsia="zh-CN" w:bidi="ar"/>
                    </w:rPr>
                    <w:t>6.</w:t>
                  </w:r>
                  <w:r>
                    <w:rPr>
                      <w:rStyle w:val="108"/>
                      <w:rFonts w:hint="default" w:ascii="Times New Roman" w:hAnsi="Times New Roman" w:cs="Times New Roman" w:eastAsiaTheme="majorEastAsia"/>
                      <w:color w:val="auto"/>
                      <w:sz w:val="21"/>
                      <w:szCs w:val="21"/>
                      <w:lang w:val="en-US" w:eastAsia="zh-CN" w:bidi="ar"/>
                    </w:rPr>
                    <w:t>进一步加强对建设工程施工、建筑物拆除、交通运输、道路保洁、物料运输与堆存、采石取土、养护绿化等活动的扬尘管理。</w:t>
                  </w:r>
                </w:p>
              </w:tc>
              <w:tc>
                <w:tcPr>
                  <w:tcW w:w="1364" w:type="pct"/>
                  <w:noWrap w:val="0"/>
                  <w:vAlign w:val="center"/>
                </w:tcPr>
                <w:p w14:paraId="7522B600">
                  <w:pPr>
                    <w:keepNext w:val="0"/>
                    <w:keepLines w:val="0"/>
                    <w:pageBreakBefore w:val="0"/>
                    <w:widowControl w:val="0"/>
                    <w:numPr>
                      <w:ilvl w:val="0"/>
                      <w:numId w:val="5"/>
                    </w:numPr>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宋体" w:eastAsiaTheme="minorEastAsia"/>
                      <w:bCs/>
                      <w:color w:val="auto"/>
                      <w:kern w:val="2"/>
                      <w:sz w:val="21"/>
                      <w:szCs w:val="21"/>
                      <w:u w:color="000000"/>
                      <w:lang w:val="en-US" w:eastAsia="zh-CN" w:bidi="ar-SA"/>
                    </w:rPr>
                  </w:pPr>
                  <w:r>
                    <w:rPr>
                      <w:rFonts w:hint="eastAsia" w:ascii="Times New Roman" w:hAnsi="Times New Roman" w:cs="宋体" w:eastAsiaTheme="minorEastAsia"/>
                      <w:bCs/>
                      <w:color w:val="auto"/>
                      <w:kern w:val="2"/>
                      <w:sz w:val="21"/>
                      <w:szCs w:val="21"/>
                      <w:u w:color="000000"/>
                      <w:lang w:val="en-US" w:eastAsia="zh-CN" w:bidi="ar-SA"/>
                    </w:rPr>
                    <w:t>本项目不属于“两高”项目。</w:t>
                  </w:r>
                </w:p>
                <w:p w14:paraId="39B6829A">
                  <w:pPr>
                    <w:keepNext w:val="0"/>
                    <w:keepLines w:val="0"/>
                    <w:pageBreakBefore w:val="0"/>
                    <w:widowControl w:val="0"/>
                    <w:numPr>
                      <w:ilvl w:val="0"/>
                      <w:numId w:val="5"/>
                    </w:numPr>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宋体" w:eastAsiaTheme="minorEastAsia"/>
                      <w:bCs/>
                      <w:color w:val="auto"/>
                      <w:kern w:val="2"/>
                      <w:sz w:val="21"/>
                      <w:szCs w:val="21"/>
                      <w:u w:color="000000"/>
                      <w:lang w:val="en-US" w:eastAsia="zh-CN" w:bidi="ar-SA"/>
                    </w:rPr>
                  </w:pPr>
                  <w:r>
                    <w:rPr>
                      <w:rFonts w:hint="eastAsia" w:ascii="Times New Roman" w:hAnsi="Times New Roman" w:cs="宋体" w:eastAsiaTheme="minorEastAsia"/>
                      <w:bCs/>
                      <w:color w:val="auto"/>
                      <w:kern w:val="2"/>
                      <w:sz w:val="21"/>
                      <w:szCs w:val="21"/>
                      <w:u w:color="000000"/>
                      <w:lang w:val="en-US" w:eastAsia="zh-CN" w:bidi="ar-SA"/>
                    </w:rPr>
                    <w:t>本项目</w:t>
                  </w:r>
                  <w:r>
                    <w:rPr>
                      <w:rFonts w:hint="eastAsia" w:cs="宋体" w:eastAsiaTheme="minorEastAsia"/>
                      <w:bCs/>
                      <w:color w:val="auto"/>
                      <w:kern w:val="2"/>
                      <w:sz w:val="21"/>
                      <w:szCs w:val="21"/>
                      <w:u w:color="000000"/>
                      <w:lang w:val="en-US" w:eastAsia="zh-CN" w:bidi="ar-SA"/>
                    </w:rPr>
                    <w:t>污染物排放将按要求进行总量替代</w:t>
                  </w:r>
                </w:p>
                <w:p w14:paraId="650A34D0">
                  <w:pPr>
                    <w:keepNext w:val="0"/>
                    <w:keepLines w:val="0"/>
                    <w:pageBreakBefore w:val="0"/>
                    <w:widowControl w:val="0"/>
                    <w:numPr>
                      <w:ilvl w:val="0"/>
                      <w:numId w:val="5"/>
                    </w:numPr>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宋体" w:eastAsiaTheme="minorEastAsia"/>
                      <w:bCs/>
                      <w:color w:val="auto"/>
                      <w:kern w:val="2"/>
                      <w:sz w:val="21"/>
                      <w:szCs w:val="21"/>
                      <w:u w:color="000000"/>
                      <w:lang w:val="en-US" w:eastAsia="zh-CN" w:bidi="ar-SA"/>
                    </w:rPr>
                  </w:pPr>
                  <w:r>
                    <w:rPr>
                      <w:rFonts w:hint="eastAsia" w:cs="宋体" w:eastAsiaTheme="minorEastAsia"/>
                      <w:bCs/>
                      <w:color w:val="auto"/>
                      <w:kern w:val="2"/>
                      <w:sz w:val="21"/>
                      <w:szCs w:val="21"/>
                      <w:u w:color="000000"/>
                      <w:lang w:val="en-US" w:eastAsia="zh-CN" w:bidi="ar-SA"/>
                    </w:rPr>
                    <w:t>项目无废水排放。</w:t>
                  </w:r>
                </w:p>
                <w:p w14:paraId="13AF92DD">
                  <w:pPr>
                    <w:keepNext w:val="0"/>
                    <w:keepLines w:val="0"/>
                    <w:pageBreakBefore w:val="0"/>
                    <w:widowControl w:val="0"/>
                    <w:numPr>
                      <w:ilvl w:val="0"/>
                      <w:numId w:val="5"/>
                    </w:numPr>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宋体" w:eastAsiaTheme="minorEastAsia"/>
                      <w:bCs/>
                      <w:color w:val="auto"/>
                      <w:kern w:val="2"/>
                      <w:sz w:val="21"/>
                      <w:szCs w:val="21"/>
                      <w:u w:color="000000"/>
                      <w:lang w:val="en-US" w:eastAsia="zh-CN" w:bidi="ar-SA"/>
                    </w:rPr>
                  </w:pPr>
                  <w:r>
                    <w:rPr>
                      <w:rFonts w:hint="eastAsia" w:cs="宋体" w:eastAsiaTheme="minorEastAsia"/>
                      <w:bCs/>
                      <w:color w:val="auto"/>
                      <w:kern w:val="2"/>
                      <w:sz w:val="21"/>
                      <w:szCs w:val="21"/>
                      <w:u w:color="000000"/>
                      <w:lang w:val="en-US" w:eastAsia="zh-CN" w:bidi="ar-SA"/>
                    </w:rPr>
                    <w:t>本项目无废水外排。生活污水经化粪池处理后由环卫部门抽排，不直排环境，不新建入河排污口。</w:t>
                  </w:r>
                </w:p>
                <w:p w14:paraId="2758886C">
                  <w:pPr>
                    <w:keepNext w:val="0"/>
                    <w:keepLines w:val="0"/>
                    <w:pageBreakBefore w:val="0"/>
                    <w:widowControl w:val="0"/>
                    <w:numPr>
                      <w:ilvl w:val="0"/>
                      <w:numId w:val="5"/>
                    </w:numPr>
                    <w:kinsoku/>
                    <w:wordWrap/>
                    <w:overflowPunct/>
                    <w:topLinePunct w:val="0"/>
                    <w:autoSpaceDE/>
                    <w:autoSpaceDN/>
                    <w:bidi w:val="0"/>
                    <w:adjustRightInd/>
                    <w:snapToGrid/>
                    <w:spacing w:line="240" w:lineRule="auto"/>
                    <w:ind w:firstLine="0" w:firstLineChars="0"/>
                    <w:jc w:val="center"/>
                    <w:textAlignment w:val="auto"/>
                    <w:rPr>
                      <w:rFonts w:hint="default" w:cs="宋体" w:eastAsiaTheme="minorEastAsia"/>
                      <w:bCs/>
                      <w:color w:val="auto"/>
                      <w:kern w:val="2"/>
                      <w:sz w:val="21"/>
                      <w:szCs w:val="21"/>
                      <w:u w:color="000000"/>
                      <w:lang w:val="en-US" w:eastAsia="zh-CN" w:bidi="ar-SA"/>
                    </w:rPr>
                  </w:pPr>
                  <w:r>
                    <w:rPr>
                      <w:rFonts w:hint="eastAsia" w:cs="宋体" w:eastAsiaTheme="minorEastAsia"/>
                      <w:bCs/>
                      <w:color w:val="auto"/>
                      <w:kern w:val="2"/>
                      <w:sz w:val="21"/>
                      <w:szCs w:val="21"/>
                      <w:u w:color="000000"/>
                      <w:lang w:val="en-US" w:eastAsia="zh-CN" w:bidi="ar-SA"/>
                    </w:rPr>
                    <w:t>本项目按照淄博市行业管控要求进行，确保污染物达标排放，持证排污。</w:t>
                  </w:r>
                </w:p>
                <w:p w14:paraId="2036B7F4">
                  <w:pPr>
                    <w:keepNext w:val="0"/>
                    <w:keepLines w:val="0"/>
                    <w:pageBreakBefore w:val="0"/>
                    <w:widowControl w:val="0"/>
                    <w:numPr>
                      <w:ilvl w:val="0"/>
                      <w:numId w:val="5"/>
                    </w:numPr>
                    <w:kinsoku/>
                    <w:wordWrap/>
                    <w:overflowPunct/>
                    <w:topLinePunct w:val="0"/>
                    <w:autoSpaceDE/>
                    <w:autoSpaceDN/>
                    <w:bidi w:val="0"/>
                    <w:adjustRightInd/>
                    <w:snapToGrid/>
                    <w:spacing w:line="240" w:lineRule="auto"/>
                    <w:ind w:firstLine="0" w:firstLineChars="0"/>
                    <w:jc w:val="center"/>
                    <w:textAlignment w:val="auto"/>
                    <w:rPr>
                      <w:rFonts w:hint="default"/>
                      <w:color w:val="auto"/>
                      <w:lang w:val="en-US" w:eastAsia="zh-CN"/>
                    </w:rPr>
                  </w:pPr>
                  <w:r>
                    <w:rPr>
                      <w:rFonts w:hint="eastAsia" w:cs="宋体" w:eastAsiaTheme="minorEastAsia"/>
                      <w:bCs/>
                      <w:color w:val="auto"/>
                      <w:kern w:val="2"/>
                      <w:sz w:val="21"/>
                      <w:szCs w:val="21"/>
                      <w:u w:color="000000"/>
                      <w:lang w:val="en-US" w:eastAsia="zh-CN" w:bidi="ar-SA"/>
                    </w:rPr>
                    <w:t>本项目将按要求进行工程施工</w:t>
                  </w:r>
                </w:p>
              </w:tc>
              <w:tc>
                <w:tcPr>
                  <w:tcW w:w="566" w:type="pct"/>
                  <w:noWrap w:val="0"/>
                  <w:vAlign w:val="center"/>
                </w:tcPr>
                <w:p w14:paraId="1C96588B">
                  <w:pPr>
                    <w:keepNext w:val="0"/>
                    <w:keepLines w:val="0"/>
                    <w:pageBreakBefore w:val="0"/>
                    <w:kinsoku/>
                    <w:wordWrap/>
                    <w:overflowPunct/>
                    <w:topLinePunct w:val="0"/>
                    <w:autoSpaceDE/>
                    <w:autoSpaceDN/>
                    <w:bidi w:val="0"/>
                    <w:adjustRightInd/>
                    <w:ind w:firstLine="0" w:firstLineChars="0"/>
                    <w:jc w:val="center"/>
                    <w:rPr>
                      <w:rFonts w:hint="default"/>
                      <w:color w:val="auto"/>
                      <w:sz w:val="21"/>
                      <w:szCs w:val="21"/>
                      <w:highlight w:val="none"/>
                      <w:lang w:val="en-US" w:eastAsia="zh-CN"/>
                    </w:rPr>
                  </w:pPr>
                  <w:r>
                    <w:rPr>
                      <w:rFonts w:hint="eastAsia"/>
                      <w:color w:val="auto"/>
                      <w:sz w:val="21"/>
                      <w:szCs w:val="21"/>
                      <w:highlight w:val="none"/>
                      <w:lang w:val="en-US" w:eastAsia="zh-CN"/>
                    </w:rPr>
                    <w:t>符合</w:t>
                  </w:r>
                </w:p>
              </w:tc>
            </w:tr>
            <w:tr w14:paraId="45381C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27" w:type="pct"/>
                  <w:noWrap w:val="0"/>
                  <w:vAlign w:val="center"/>
                </w:tcPr>
                <w:p w14:paraId="2967E551">
                  <w:pPr>
                    <w:keepNext w:val="0"/>
                    <w:keepLines w:val="0"/>
                    <w:pageBreakBefore w:val="0"/>
                    <w:kinsoku/>
                    <w:wordWrap/>
                    <w:overflowPunct/>
                    <w:topLinePunct w:val="0"/>
                    <w:autoSpaceDE/>
                    <w:autoSpaceDN/>
                    <w:bidi w:val="0"/>
                    <w:adjustRightInd/>
                    <w:ind w:firstLine="0" w:firstLineChars="0"/>
                    <w:jc w:val="center"/>
                    <w:rPr>
                      <w:rFonts w:hint="default"/>
                      <w:color w:val="auto"/>
                      <w:sz w:val="21"/>
                      <w:szCs w:val="21"/>
                      <w:highlight w:val="none"/>
                      <w:lang w:val="en-US" w:eastAsia="zh-CN"/>
                    </w:rPr>
                  </w:pPr>
                  <w:r>
                    <w:rPr>
                      <w:rFonts w:hint="eastAsia"/>
                      <w:color w:val="auto"/>
                      <w:sz w:val="21"/>
                      <w:szCs w:val="21"/>
                      <w:highlight w:val="none"/>
                      <w:lang w:val="en-US" w:eastAsia="zh-CN"/>
                    </w:rPr>
                    <w:t>环境风险防控</w:t>
                  </w:r>
                </w:p>
              </w:tc>
              <w:tc>
                <w:tcPr>
                  <w:tcW w:w="2642" w:type="pct"/>
                  <w:noWrap w:val="0"/>
                  <w:vAlign w:val="center"/>
                </w:tcPr>
                <w:p w14:paraId="3EB6F318">
                  <w:pPr>
                    <w:keepNext w:val="0"/>
                    <w:keepLines w:val="0"/>
                    <w:pageBreakBefore w:val="0"/>
                    <w:widowControl/>
                    <w:numPr>
                      <w:ilvl w:val="0"/>
                      <w:numId w:val="0"/>
                    </w:numPr>
                    <w:kinsoku/>
                    <w:wordWrap/>
                    <w:overflowPunct/>
                    <w:topLinePunct w:val="0"/>
                    <w:autoSpaceDE/>
                    <w:autoSpaceDN/>
                    <w:bidi w:val="0"/>
                    <w:adjustRightInd/>
                    <w:snapToGrid w:val="0"/>
                    <w:spacing w:line="260" w:lineRule="exact"/>
                    <w:ind w:leftChars="0"/>
                    <w:jc w:val="left"/>
                    <w:textAlignment w:val="center"/>
                    <w:rPr>
                      <w:rFonts w:hint="eastAsia" w:ascii="Times New Roman" w:hAnsi="Times New Roman" w:eastAsia="宋体" w:cs="Times New Roman"/>
                      <w:color w:val="auto"/>
                      <w:sz w:val="21"/>
                      <w:szCs w:val="21"/>
                      <w:highlight w:val="none"/>
                      <w:lang w:val="en-US" w:eastAsia="zh-CN"/>
                    </w:rPr>
                  </w:pPr>
                  <w:r>
                    <w:rPr>
                      <w:rStyle w:val="105"/>
                      <w:rFonts w:hint="default" w:ascii="Times New Roman" w:hAnsi="Times New Roman" w:cs="Times New Roman" w:eastAsiaTheme="majorEastAsia"/>
                      <w:color w:val="auto"/>
                      <w:sz w:val="21"/>
                      <w:szCs w:val="21"/>
                      <w:lang w:val="en-US" w:eastAsia="zh-CN" w:bidi="ar"/>
                    </w:rPr>
                    <w:t>1.</w:t>
                  </w:r>
                  <w:r>
                    <w:rPr>
                      <w:rStyle w:val="109"/>
                      <w:rFonts w:hint="default" w:ascii="Times New Roman" w:hAnsi="Times New Roman" w:cs="Times New Roman" w:eastAsiaTheme="majorEastAsia"/>
                      <w:color w:val="auto"/>
                      <w:sz w:val="21"/>
                      <w:szCs w:val="21"/>
                      <w:lang w:val="en-US" w:eastAsia="zh-CN" w:bidi="ar"/>
                    </w:rPr>
                    <w:t>紧邻居住、科教、医院等环境敏感点的工业用地，禁止新建环境风险潜势等级高的建设项目；现有项目严格落实环评及批复环境风险防控要求。</w:t>
                  </w:r>
                  <w:r>
                    <w:rPr>
                      <w:rStyle w:val="104"/>
                      <w:rFonts w:hint="default" w:ascii="Times New Roman" w:hAnsi="Times New Roman" w:cs="Times New Roman" w:eastAsiaTheme="majorEastAsia"/>
                      <w:color w:val="auto"/>
                      <w:sz w:val="21"/>
                      <w:szCs w:val="21"/>
                      <w:lang w:val="en-US" w:eastAsia="zh-CN" w:bidi="ar"/>
                    </w:rPr>
                    <w:br w:type="textWrapping"/>
                  </w:r>
                  <w:r>
                    <w:rPr>
                      <w:rStyle w:val="104"/>
                      <w:rFonts w:hint="default" w:ascii="Times New Roman" w:hAnsi="Times New Roman" w:cs="Times New Roman" w:eastAsiaTheme="majorEastAsia"/>
                      <w:color w:val="auto"/>
                      <w:sz w:val="21"/>
                      <w:szCs w:val="21"/>
                      <w:lang w:val="en-US" w:eastAsia="zh-CN" w:bidi="ar"/>
                    </w:rPr>
                    <w:t>2.</w:t>
                  </w:r>
                  <w:r>
                    <w:rPr>
                      <w:rStyle w:val="108"/>
                      <w:rFonts w:hint="default" w:ascii="Times New Roman" w:hAnsi="Times New Roman" w:cs="Times New Roman" w:eastAsiaTheme="majorEastAsia"/>
                      <w:color w:val="auto"/>
                      <w:sz w:val="21"/>
                      <w:szCs w:val="21"/>
                      <w:lang w:val="en-US" w:eastAsia="zh-CN" w:bidi="ar"/>
                    </w:rPr>
                    <w:t>重点企业应采取防腐防渗等有效措施，建立完善三级防护体系，防止因渗漏污染土壤、地下水以及因事故废水直排污染地表水。一般固废填埋场采取防腐防渗等有效措施，防止因渗漏污染土壤、地下水。</w:t>
                  </w:r>
                  <w:r>
                    <w:rPr>
                      <w:rStyle w:val="104"/>
                      <w:rFonts w:hint="default" w:ascii="Times New Roman" w:hAnsi="Times New Roman" w:cs="Times New Roman" w:eastAsiaTheme="majorEastAsia"/>
                      <w:color w:val="auto"/>
                      <w:sz w:val="21"/>
                      <w:szCs w:val="21"/>
                      <w:lang w:val="en-US" w:eastAsia="zh-CN" w:bidi="ar"/>
                    </w:rPr>
                    <w:br w:type="textWrapping"/>
                  </w:r>
                  <w:r>
                    <w:rPr>
                      <w:rStyle w:val="104"/>
                      <w:rFonts w:hint="default" w:ascii="Times New Roman" w:hAnsi="Times New Roman" w:cs="Times New Roman" w:eastAsiaTheme="majorEastAsia"/>
                      <w:color w:val="auto"/>
                      <w:sz w:val="21"/>
                      <w:szCs w:val="21"/>
                      <w:lang w:val="en-US" w:eastAsia="zh-CN" w:bidi="ar"/>
                    </w:rPr>
                    <w:t>3.</w:t>
                  </w:r>
                  <w:r>
                    <w:rPr>
                      <w:rStyle w:val="110"/>
                      <w:rFonts w:hint="default" w:ascii="Times New Roman" w:hAnsi="Times New Roman" w:cs="Times New Roman" w:eastAsiaTheme="majorEastAsia"/>
                      <w:color w:val="auto"/>
                      <w:sz w:val="21"/>
                      <w:szCs w:val="21"/>
                      <w:lang w:val="en-US" w:eastAsia="zh-CN" w:bidi="ar"/>
                    </w:rPr>
                    <w:t>企业事业单位根据法律法规</w:t>
                  </w:r>
                  <w:r>
                    <w:rPr>
                      <w:rStyle w:val="110"/>
                      <w:rFonts w:hint="eastAsia" w:ascii="Times New Roman" w:hAnsi="Times New Roman" w:cs="Times New Roman" w:eastAsiaTheme="majorEastAsia"/>
                      <w:color w:val="auto"/>
                      <w:sz w:val="21"/>
                      <w:szCs w:val="21"/>
                      <w:lang w:val="en-US" w:eastAsia="zh-CN" w:bidi="ar"/>
                    </w:rPr>
                    <w:t>、</w:t>
                  </w:r>
                  <w:r>
                    <w:rPr>
                      <w:rStyle w:val="110"/>
                      <w:rFonts w:hint="default" w:ascii="Times New Roman" w:hAnsi="Times New Roman" w:cs="Times New Roman" w:eastAsiaTheme="majorEastAsia"/>
                      <w:color w:val="auto"/>
                      <w:sz w:val="21"/>
                      <w:szCs w:val="21"/>
                      <w:lang w:val="en-US" w:eastAsia="zh-CN" w:bidi="ar"/>
                    </w:rPr>
                    <w:t>管理部门要求</w:t>
                  </w:r>
                  <w:r>
                    <w:rPr>
                      <w:rStyle w:val="110"/>
                      <w:rFonts w:hint="eastAsia" w:ascii="Times New Roman" w:hAnsi="Times New Roman" w:cs="Times New Roman" w:eastAsiaTheme="majorEastAsia"/>
                      <w:color w:val="auto"/>
                      <w:sz w:val="21"/>
                      <w:szCs w:val="21"/>
                      <w:lang w:val="en-US" w:eastAsia="zh-CN" w:bidi="ar"/>
                    </w:rPr>
                    <w:t>和</w:t>
                  </w:r>
                  <w:r>
                    <w:rPr>
                      <w:rStyle w:val="110"/>
                      <w:rFonts w:hint="default" w:ascii="Times New Roman" w:hAnsi="Times New Roman" w:cs="Times New Roman" w:eastAsiaTheme="majorEastAsia"/>
                      <w:color w:val="auto"/>
                      <w:sz w:val="21"/>
                      <w:szCs w:val="21"/>
                      <w:lang w:val="en-US" w:eastAsia="zh-CN" w:bidi="ar"/>
                    </w:rPr>
                    <w:t>《</w:t>
                  </w:r>
                  <w:r>
                    <w:rPr>
                      <w:rStyle w:val="110"/>
                      <w:rFonts w:hint="eastAsia" w:ascii="Times New Roman" w:hAnsi="Times New Roman" w:cs="Times New Roman" w:eastAsiaTheme="majorEastAsia"/>
                      <w:color w:val="auto"/>
                      <w:sz w:val="21"/>
                      <w:szCs w:val="21"/>
                      <w:lang w:val="en-US" w:eastAsia="zh-CN" w:bidi="ar"/>
                    </w:rPr>
                    <w:t>企业事业单位突发环境事件应急预案备案管理办法（试行）》等规定</w:t>
                  </w:r>
                  <w:r>
                    <w:rPr>
                      <w:rStyle w:val="110"/>
                      <w:rFonts w:hint="default" w:ascii="Times New Roman" w:hAnsi="Times New Roman" w:cs="Times New Roman" w:eastAsiaTheme="majorEastAsia"/>
                      <w:color w:val="auto"/>
                      <w:sz w:val="21"/>
                      <w:szCs w:val="21"/>
                      <w:lang w:val="en-US" w:eastAsia="zh-CN" w:bidi="ar"/>
                    </w:rPr>
                    <w:t>，依法依规编制环境应急预案并定期开展演练。</w:t>
                  </w:r>
                  <w:r>
                    <w:rPr>
                      <w:rStyle w:val="104"/>
                      <w:rFonts w:hint="default" w:ascii="Times New Roman" w:hAnsi="Times New Roman" w:cs="Times New Roman" w:eastAsiaTheme="majorEastAsia"/>
                      <w:color w:val="auto"/>
                      <w:sz w:val="21"/>
                      <w:szCs w:val="21"/>
                      <w:lang w:val="en-US" w:eastAsia="zh-CN" w:bidi="ar"/>
                    </w:rPr>
                    <w:br w:type="textWrapping"/>
                  </w:r>
                  <w:r>
                    <w:rPr>
                      <w:rStyle w:val="105"/>
                      <w:rFonts w:hint="default" w:ascii="Times New Roman" w:hAnsi="Times New Roman" w:cs="Times New Roman" w:eastAsiaTheme="majorEastAsia"/>
                      <w:color w:val="auto"/>
                      <w:sz w:val="21"/>
                      <w:szCs w:val="21"/>
                      <w:lang w:val="en-US" w:eastAsia="zh-CN" w:bidi="ar"/>
                    </w:rPr>
                    <w:t>4.</w:t>
                  </w:r>
                  <w:r>
                    <w:rPr>
                      <w:rStyle w:val="109"/>
                      <w:rFonts w:hint="default" w:ascii="Times New Roman" w:hAnsi="Times New Roman" w:cs="Times New Roman" w:eastAsiaTheme="majorEastAsia"/>
                      <w:color w:val="auto"/>
                      <w:sz w:val="21"/>
                      <w:szCs w:val="21"/>
                      <w:lang w:val="en-US" w:eastAsia="zh-CN" w:bidi="ar"/>
                    </w:rPr>
                    <w:t>建立各企业危险废物的贮存、申报、经营许可（无废城市建设豁免的除外）、转移及处置管理制度，并负责对危废相应活动的全程监管和环境安全保障。</w:t>
                  </w:r>
                  <w:r>
                    <w:rPr>
                      <w:rStyle w:val="104"/>
                      <w:rFonts w:hint="default" w:ascii="Times New Roman" w:hAnsi="Times New Roman" w:cs="Times New Roman" w:eastAsiaTheme="majorEastAsia"/>
                      <w:color w:val="auto"/>
                      <w:sz w:val="21"/>
                      <w:szCs w:val="21"/>
                      <w:lang w:val="en-US" w:eastAsia="zh-CN" w:bidi="ar"/>
                    </w:rPr>
                    <w:br w:type="textWrapping"/>
                  </w:r>
                  <w:r>
                    <w:rPr>
                      <w:rStyle w:val="104"/>
                      <w:rFonts w:hint="default" w:ascii="Times New Roman" w:hAnsi="Times New Roman" w:cs="Times New Roman" w:eastAsiaTheme="majorEastAsia"/>
                      <w:color w:val="auto"/>
                      <w:sz w:val="21"/>
                      <w:szCs w:val="21"/>
                      <w:lang w:val="en-US" w:eastAsia="zh-CN" w:bidi="ar"/>
                    </w:rPr>
                    <w:t>5.</w:t>
                  </w:r>
                  <w:r>
                    <w:rPr>
                      <w:rStyle w:val="108"/>
                      <w:rFonts w:hint="default" w:ascii="Times New Roman" w:hAnsi="Times New Roman" w:cs="Times New Roman" w:eastAsiaTheme="majorEastAsia"/>
                      <w:color w:val="auto"/>
                      <w:sz w:val="21"/>
                      <w:szCs w:val="21"/>
                      <w:lang w:val="en-US" w:eastAsia="zh-CN" w:bidi="ar"/>
                    </w:rPr>
                    <w:t>污染地块依法开展土壤污染状况调查、风险管控或者修复，未完成调查以及未达到土壤污染风险评估报告确定的风险管控、修复目标的地块，不得开工建设与风险管控和修复无关的项目。</w:t>
                  </w:r>
                  <w:r>
                    <w:rPr>
                      <w:rStyle w:val="104"/>
                      <w:rFonts w:hint="default" w:ascii="Times New Roman" w:hAnsi="Times New Roman" w:cs="Times New Roman" w:eastAsiaTheme="majorEastAsia"/>
                      <w:color w:val="auto"/>
                      <w:sz w:val="21"/>
                      <w:szCs w:val="21"/>
                      <w:lang w:val="en-US" w:eastAsia="zh-CN" w:bidi="ar"/>
                    </w:rPr>
                    <w:br w:type="textWrapping"/>
                  </w:r>
                  <w:r>
                    <w:rPr>
                      <w:rStyle w:val="104"/>
                      <w:rFonts w:hint="default" w:ascii="Times New Roman" w:hAnsi="Times New Roman" w:cs="Times New Roman" w:eastAsiaTheme="majorEastAsia"/>
                      <w:color w:val="auto"/>
                      <w:sz w:val="21"/>
                      <w:szCs w:val="21"/>
                      <w:lang w:val="en-US" w:eastAsia="zh-CN" w:bidi="ar"/>
                    </w:rPr>
                    <w:t>6.</w:t>
                  </w:r>
                  <w:r>
                    <w:rPr>
                      <w:rStyle w:val="108"/>
                      <w:rFonts w:hint="default" w:ascii="Times New Roman" w:hAnsi="Times New Roman" w:cs="Times New Roman" w:eastAsiaTheme="majorEastAsia"/>
                      <w:color w:val="auto"/>
                      <w:sz w:val="21"/>
                      <w:szCs w:val="21"/>
                      <w:lang w:val="en-US" w:eastAsia="zh-CN" w:bidi="ar"/>
                    </w:rPr>
                    <w:t>加强农田土壤、灌溉水的监测，对周边区域环境风险源进行评估。</w:t>
                  </w:r>
                  <w:r>
                    <w:rPr>
                      <w:rStyle w:val="104"/>
                      <w:rFonts w:hint="default" w:ascii="Times New Roman" w:hAnsi="Times New Roman" w:cs="Times New Roman" w:eastAsiaTheme="majorEastAsia"/>
                      <w:color w:val="auto"/>
                      <w:sz w:val="21"/>
                      <w:szCs w:val="21"/>
                      <w:lang w:val="en-US" w:eastAsia="zh-CN" w:bidi="ar"/>
                    </w:rPr>
                    <w:br w:type="textWrapping"/>
                  </w:r>
                  <w:r>
                    <w:rPr>
                      <w:rStyle w:val="105"/>
                      <w:rFonts w:hint="default" w:ascii="Times New Roman" w:hAnsi="Times New Roman" w:cs="Times New Roman" w:eastAsiaTheme="majorEastAsia"/>
                      <w:color w:val="auto"/>
                      <w:sz w:val="21"/>
                      <w:szCs w:val="21"/>
                      <w:lang w:val="en-US" w:eastAsia="zh-CN" w:bidi="ar"/>
                    </w:rPr>
                    <w:t>7.</w:t>
                  </w:r>
                  <w:r>
                    <w:rPr>
                      <w:rStyle w:val="109"/>
                      <w:rFonts w:hint="default" w:ascii="Times New Roman" w:hAnsi="Times New Roman" w:cs="Times New Roman" w:eastAsiaTheme="majorEastAsia"/>
                      <w:color w:val="auto"/>
                      <w:sz w:val="21"/>
                      <w:szCs w:val="21"/>
                      <w:lang w:val="en-US" w:eastAsia="zh-CN" w:bidi="ar"/>
                    </w:rPr>
                    <w:t>按照省市要求，做好清洁取暖改造工作。</w:t>
                  </w:r>
                </w:p>
              </w:tc>
              <w:tc>
                <w:tcPr>
                  <w:tcW w:w="1364" w:type="pct"/>
                  <w:noWrap w:val="0"/>
                  <w:vAlign w:val="center"/>
                </w:tcPr>
                <w:p w14:paraId="1F8E08D6">
                  <w:pPr>
                    <w:keepNext w:val="0"/>
                    <w:keepLines w:val="0"/>
                    <w:pageBreakBefore w:val="0"/>
                    <w:widowControl/>
                    <w:numPr>
                      <w:ilvl w:val="0"/>
                      <w:numId w:val="6"/>
                    </w:numPr>
                    <w:kinsoku/>
                    <w:wordWrap/>
                    <w:overflowPunct/>
                    <w:topLinePunct w:val="0"/>
                    <w:autoSpaceDE/>
                    <w:autoSpaceDN/>
                    <w:bidi w:val="0"/>
                    <w:adjustRightInd/>
                    <w:snapToGrid/>
                    <w:spacing w:line="240" w:lineRule="auto"/>
                    <w:ind w:left="0" w:leftChars="0" w:firstLine="0" w:firstLineChars="0"/>
                    <w:jc w:val="center"/>
                    <w:textAlignment w:val="center"/>
                    <w:rPr>
                      <w:rFonts w:hint="default"/>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本项目</w:t>
                  </w:r>
                  <w:r>
                    <w:rPr>
                      <w:rFonts w:hint="eastAsia" w:cs="Times New Roman"/>
                      <w:color w:val="auto"/>
                      <w:sz w:val="21"/>
                      <w:szCs w:val="21"/>
                      <w:highlight w:val="none"/>
                      <w:lang w:val="en-US" w:eastAsia="zh-CN"/>
                    </w:rPr>
                    <w:t>紧邻无居住、科教、医院等环境敏感点。</w:t>
                  </w:r>
                </w:p>
                <w:p w14:paraId="155BB231">
                  <w:pPr>
                    <w:keepNext w:val="0"/>
                    <w:keepLines w:val="0"/>
                    <w:pageBreakBefore w:val="0"/>
                    <w:widowControl/>
                    <w:numPr>
                      <w:ilvl w:val="0"/>
                      <w:numId w:val="6"/>
                    </w:numPr>
                    <w:kinsoku/>
                    <w:wordWrap/>
                    <w:overflowPunct/>
                    <w:topLinePunct w:val="0"/>
                    <w:autoSpaceDE/>
                    <w:autoSpaceDN/>
                    <w:bidi w:val="0"/>
                    <w:adjustRightInd/>
                    <w:snapToGrid/>
                    <w:spacing w:line="240" w:lineRule="auto"/>
                    <w:ind w:left="0" w:leftChars="0" w:firstLine="0" w:firstLineChars="0"/>
                    <w:jc w:val="center"/>
                    <w:textAlignment w:val="center"/>
                    <w:rPr>
                      <w:rFonts w:hint="default"/>
                      <w:color w:val="auto"/>
                      <w:sz w:val="21"/>
                      <w:szCs w:val="21"/>
                      <w:highlight w:val="none"/>
                      <w:lang w:val="en-US" w:eastAsia="zh-CN"/>
                    </w:rPr>
                  </w:pPr>
                  <w:r>
                    <w:rPr>
                      <w:rFonts w:hint="eastAsia"/>
                      <w:color w:val="auto"/>
                      <w:sz w:val="21"/>
                      <w:szCs w:val="21"/>
                      <w:highlight w:val="none"/>
                      <w:lang w:val="en-US" w:eastAsia="zh-CN"/>
                    </w:rPr>
                    <w:t>项目采取相应的防腐防渗措施，建立了三级防护体系</w:t>
                  </w:r>
                </w:p>
                <w:p w14:paraId="596DFB36">
                  <w:pPr>
                    <w:keepNext w:val="0"/>
                    <w:keepLines w:val="0"/>
                    <w:pageBreakBefore w:val="0"/>
                    <w:widowControl/>
                    <w:numPr>
                      <w:ilvl w:val="0"/>
                      <w:numId w:val="6"/>
                    </w:numPr>
                    <w:kinsoku/>
                    <w:wordWrap/>
                    <w:overflowPunct/>
                    <w:topLinePunct w:val="0"/>
                    <w:autoSpaceDE/>
                    <w:autoSpaceDN/>
                    <w:bidi w:val="0"/>
                    <w:adjustRightInd/>
                    <w:snapToGrid/>
                    <w:spacing w:line="240" w:lineRule="auto"/>
                    <w:ind w:left="0" w:leftChars="0" w:firstLine="0" w:firstLineChars="0"/>
                    <w:jc w:val="center"/>
                    <w:textAlignment w:val="center"/>
                    <w:rPr>
                      <w:rFonts w:hint="default"/>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企业</w:t>
                  </w:r>
                  <w:r>
                    <w:rPr>
                      <w:rFonts w:hint="eastAsia" w:cs="Times New Roman"/>
                      <w:color w:val="auto"/>
                      <w:sz w:val="21"/>
                      <w:szCs w:val="21"/>
                      <w:highlight w:val="none"/>
                      <w:lang w:val="en-US" w:eastAsia="zh-CN"/>
                    </w:rPr>
                    <w:t>已按要求</w:t>
                  </w:r>
                  <w:r>
                    <w:rPr>
                      <w:rFonts w:hint="eastAsia" w:ascii="Times New Roman" w:hAnsi="Times New Roman" w:eastAsia="宋体" w:cs="Times New Roman"/>
                      <w:color w:val="auto"/>
                      <w:sz w:val="21"/>
                      <w:szCs w:val="21"/>
                      <w:highlight w:val="none"/>
                      <w:lang w:val="en-US" w:eastAsia="zh-CN"/>
                    </w:rPr>
                    <w:t>编制环境应急预案并定期开展演练；</w:t>
                  </w:r>
                  <w:r>
                    <w:rPr>
                      <w:rFonts w:hint="eastAsia" w:cs="Times New Roman"/>
                      <w:color w:val="auto"/>
                      <w:sz w:val="21"/>
                      <w:szCs w:val="21"/>
                      <w:highlight w:val="none"/>
                      <w:lang w:val="en-US" w:eastAsia="zh-CN"/>
                    </w:rPr>
                    <w:t>本项目在投入使用前，应对企业现有环境应急预案进行修订及备案。</w:t>
                  </w:r>
                </w:p>
                <w:p w14:paraId="6539EEDD">
                  <w:pPr>
                    <w:keepNext w:val="0"/>
                    <w:keepLines w:val="0"/>
                    <w:pageBreakBefore w:val="0"/>
                    <w:widowControl/>
                    <w:numPr>
                      <w:ilvl w:val="0"/>
                      <w:numId w:val="6"/>
                    </w:numPr>
                    <w:kinsoku/>
                    <w:wordWrap/>
                    <w:overflowPunct/>
                    <w:topLinePunct w:val="0"/>
                    <w:autoSpaceDE/>
                    <w:autoSpaceDN/>
                    <w:bidi w:val="0"/>
                    <w:adjustRightInd/>
                    <w:snapToGrid/>
                    <w:spacing w:line="240" w:lineRule="auto"/>
                    <w:ind w:left="0" w:leftChars="0" w:firstLine="0" w:firstLineChars="0"/>
                    <w:jc w:val="center"/>
                    <w:textAlignment w:val="center"/>
                    <w:rPr>
                      <w:rFonts w:hint="default"/>
                      <w:color w:val="auto"/>
                      <w:lang w:val="en-US" w:eastAsia="zh-CN"/>
                    </w:rPr>
                  </w:pPr>
                  <w:r>
                    <w:rPr>
                      <w:rFonts w:hint="eastAsia" w:cs="Times New Roman"/>
                      <w:color w:val="auto"/>
                      <w:sz w:val="21"/>
                      <w:szCs w:val="21"/>
                      <w:highlight w:val="none"/>
                      <w:lang w:val="en-US" w:eastAsia="zh-CN"/>
                    </w:rPr>
                    <w:t>企业建立一系列管理制度对危废进行全程监管和环境安全保障。</w:t>
                  </w:r>
                </w:p>
                <w:p w14:paraId="23241B01">
                  <w:pPr>
                    <w:keepNext w:val="0"/>
                    <w:keepLines w:val="0"/>
                    <w:pageBreakBefore w:val="0"/>
                    <w:widowControl/>
                    <w:numPr>
                      <w:ilvl w:val="0"/>
                      <w:numId w:val="6"/>
                    </w:numPr>
                    <w:kinsoku/>
                    <w:wordWrap/>
                    <w:overflowPunct/>
                    <w:topLinePunct w:val="0"/>
                    <w:autoSpaceDE/>
                    <w:autoSpaceDN/>
                    <w:bidi w:val="0"/>
                    <w:adjustRightInd/>
                    <w:snapToGrid/>
                    <w:spacing w:line="240" w:lineRule="auto"/>
                    <w:ind w:left="0" w:leftChars="0" w:firstLine="0" w:firstLineChars="0"/>
                    <w:jc w:val="center"/>
                    <w:textAlignment w:val="center"/>
                    <w:rPr>
                      <w:rFonts w:hint="default"/>
                      <w:color w:val="auto"/>
                      <w:lang w:val="en-US" w:eastAsia="zh-CN"/>
                    </w:rPr>
                  </w:pPr>
                  <w:r>
                    <w:rPr>
                      <w:rFonts w:hint="eastAsia" w:cs="Times New Roman"/>
                      <w:color w:val="auto"/>
                      <w:sz w:val="21"/>
                      <w:szCs w:val="21"/>
                      <w:highlight w:val="none"/>
                      <w:lang w:val="en-US" w:eastAsia="zh-CN"/>
                    </w:rPr>
                    <w:t>本项目不涉及。</w:t>
                  </w:r>
                </w:p>
                <w:p w14:paraId="710F3C4D">
                  <w:pPr>
                    <w:keepNext w:val="0"/>
                    <w:keepLines w:val="0"/>
                    <w:pageBreakBefore w:val="0"/>
                    <w:widowControl/>
                    <w:numPr>
                      <w:ilvl w:val="0"/>
                      <w:numId w:val="6"/>
                    </w:numPr>
                    <w:kinsoku/>
                    <w:wordWrap/>
                    <w:overflowPunct/>
                    <w:topLinePunct w:val="0"/>
                    <w:autoSpaceDE/>
                    <w:autoSpaceDN/>
                    <w:bidi w:val="0"/>
                    <w:adjustRightInd/>
                    <w:snapToGrid/>
                    <w:spacing w:line="240" w:lineRule="auto"/>
                    <w:ind w:left="0" w:leftChars="0" w:firstLine="0" w:firstLineChars="0"/>
                    <w:jc w:val="center"/>
                    <w:textAlignment w:val="center"/>
                    <w:rPr>
                      <w:rFonts w:hint="default"/>
                      <w:color w:val="auto"/>
                      <w:lang w:val="en-US" w:eastAsia="zh-CN"/>
                    </w:rPr>
                  </w:pPr>
                  <w:r>
                    <w:rPr>
                      <w:rFonts w:hint="eastAsia" w:cs="Times New Roman"/>
                      <w:color w:val="auto"/>
                      <w:sz w:val="21"/>
                      <w:szCs w:val="21"/>
                      <w:highlight w:val="none"/>
                      <w:lang w:val="en-US" w:eastAsia="zh-CN"/>
                    </w:rPr>
                    <w:t>本项目不涉及。</w:t>
                  </w:r>
                </w:p>
                <w:p w14:paraId="34350063">
                  <w:pPr>
                    <w:keepNext w:val="0"/>
                    <w:keepLines w:val="0"/>
                    <w:pageBreakBefore w:val="0"/>
                    <w:widowControl/>
                    <w:numPr>
                      <w:ilvl w:val="0"/>
                      <w:numId w:val="6"/>
                    </w:numPr>
                    <w:kinsoku/>
                    <w:wordWrap/>
                    <w:overflowPunct/>
                    <w:topLinePunct w:val="0"/>
                    <w:autoSpaceDE/>
                    <w:autoSpaceDN/>
                    <w:bidi w:val="0"/>
                    <w:adjustRightInd/>
                    <w:snapToGrid/>
                    <w:spacing w:line="240" w:lineRule="auto"/>
                    <w:ind w:left="0" w:leftChars="0" w:firstLine="0" w:firstLineChars="0"/>
                    <w:jc w:val="center"/>
                    <w:textAlignment w:val="center"/>
                    <w:rPr>
                      <w:rFonts w:hint="default"/>
                      <w:color w:val="auto"/>
                      <w:lang w:val="en-US" w:eastAsia="zh-CN"/>
                    </w:rPr>
                  </w:pPr>
                  <w:r>
                    <w:rPr>
                      <w:rFonts w:hint="eastAsia" w:cs="Times New Roman"/>
                      <w:color w:val="auto"/>
                      <w:sz w:val="21"/>
                      <w:szCs w:val="21"/>
                      <w:highlight w:val="none"/>
                      <w:lang w:val="en-US" w:eastAsia="zh-CN"/>
                    </w:rPr>
                    <w:t>本项目不涉及</w:t>
                  </w:r>
                </w:p>
              </w:tc>
              <w:tc>
                <w:tcPr>
                  <w:tcW w:w="566" w:type="pct"/>
                  <w:noWrap w:val="0"/>
                  <w:vAlign w:val="center"/>
                </w:tcPr>
                <w:p w14:paraId="49F5291D">
                  <w:pPr>
                    <w:keepNext w:val="0"/>
                    <w:keepLines w:val="0"/>
                    <w:pageBreakBefore w:val="0"/>
                    <w:kinsoku/>
                    <w:wordWrap/>
                    <w:overflowPunct/>
                    <w:topLinePunct w:val="0"/>
                    <w:autoSpaceDE/>
                    <w:autoSpaceDN/>
                    <w:bidi w:val="0"/>
                    <w:adjustRightInd/>
                    <w:ind w:firstLine="0" w:firstLineChars="0"/>
                    <w:jc w:val="center"/>
                    <w:rPr>
                      <w:rFonts w:hint="default"/>
                      <w:color w:val="auto"/>
                      <w:sz w:val="21"/>
                      <w:szCs w:val="21"/>
                      <w:highlight w:val="none"/>
                      <w:lang w:val="en-US" w:eastAsia="zh-CN"/>
                    </w:rPr>
                  </w:pPr>
                  <w:r>
                    <w:rPr>
                      <w:rFonts w:hint="eastAsia"/>
                      <w:color w:val="auto"/>
                      <w:sz w:val="21"/>
                      <w:szCs w:val="21"/>
                      <w:highlight w:val="none"/>
                      <w:lang w:val="en-US" w:eastAsia="zh-CN"/>
                    </w:rPr>
                    <w:t>符合</w:t>
                  </w:r>
                </w:p>
              </w:tc>
            </w:tr>
            <w:tr w14:paraId="466347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7" w:type="pct"/>
                  <w:noWrap w:val="0"/>
                  <w:vAlign w:val="center"/>
                </w:tcPr>
                <w:p w14:paraId="6B6CC9BD">
                  <w:pPr>
                    <w:keepNext w:val="0"/>
                    <w:keepLines w:val="0"/>
                    <w:pageBreakBefore w:val="0"/>
                    <w:kinsoku/>
                    <w:wordWrap/>
                    <w:overflowPunct/>
                    <w:topLinePunct w:val="0"/>
                    <w:autoSpaceDE/>
                    <w:autoSpaceDN/>
                    <w:bidi w:val="0"/>
                    <w:adjustRightInd/>
                    <w:ind w:firstLine="0" w:firstLineChars="0"/>
                    <w:jc w:val="center"/>
                    <w:rPr>
                      <w:rFonts w:hint="default"/>
                      <w:color w:val="auto"/>
                      <w:sz w:val="21"/>
                      <w:szCs w:val="21"/>
                      <w:highlight w:val="none"/>
                      <w:lang w:val="en-US" w:eastAsia="zh-CN"/>
                    </w:rPr>
                  </w:pPr>
                  <w:r>
                    <w:rPr>
                      <w:rFonts w:hint="eastAsia"/>
                      <w:color w:val="auto"/>
                      <w:sz w:val="21"/>
                      <w:szCs w:val="21"/>
                      <w:highlight w:val="none"/>
                      <w:lang w:val="en-US" w:eastAsia="zh-CN"/>
                    </w:rPr>
                    <w:t>资源开发效率要求</w:t>
                  </w:r>
                </w:p>
              </w:tc>
              <w:tc>
                <w:tcPr>
                  <w:tcW w:w="2642" w:type="pct"/>
                  <w:noWrap w:val="0"/>
                  <w:vAlign w:val="center"/>
                </w:tcPr>
                <w:p w14:paraId="679ECF88">
                  <w:pPr>
                    <w:keepNext w:val="0"/>
                    <w:keepLines w:val="0"/>
                    <w:pageBreakBefore w:val="0"/>
                    <w:widowControl w:val="0"/>
                    <w:numPr>
                      <w:ilvl w:val="0"/>
                      <w:numId w:val="0"/>
                    </w:numPr>
                    <w:kinsoku/>
                    <w:wordWrap/>
                    <w:overflowPunct/>
                    <w:topLinePunct w:val="0"/>
                    <w:autoSpaceDE/>
                    <w:autoSpaceDN/>
                    <w:bidi w:val="0"/>
                    <w:adjustRightInd/>
                    <w:snapToGrid/>
                    <w:jc w:val="left"/>
                    <w:textAlignment w:val="auto"/>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cs="Times New Roman" w:eastAsiaTheme="majorEastAsia"/>
                      <w:i w:val="0"/>
                      <w:iCs w:val="0"/>
                      <w:color w:val="auto"/>
                      <w:kern w:val="0"/>
                      <w:sz w:val="21"/>
                      <w:szCs w:val="21"/>
                      <w:u w:val="none"/>
                      <w:lang w:val="en-US" w:eastAsia="zh-CN" w:bidi="ar"/>
                    </w:rPr>
                    <w:t>1.强化节水措施，提高水资源使用效率。</w:t>
                  </w:r>
                  <w:r>
                    <w:rPr>
                      <w:rFonts w:hint="default" w:ascii="Times New Roman" w:hAnsi="Times New Roman" w:cs="Times New Roman" w:eastAsiaTheme="majorEastAsia"/>
                      <w:i w:val="0"/>
                      <w:iCs w:val="0"/>
                      <w:color w:val="auto"/>
                      <w:kern w:val="0"/>
                      <w:sz w:val="21"/>
                      <w:szCs w:val="21"/>
                      <w:u w:val="none"/>
                      <w:lang w:val="en-US" w:eastAsia="zh-CN" w:bidi="ar"/>
                    </w:rPr>
                    <w:br w:type="textWrapping"/>
                  </w:r>
                  <w:r>
                    <w:rPr>
                      <w:rFonts w:hint="default" w:ascii="Times New Roman" w:hAnsi="Times New Roman" w:cs="Times New Roman" w:eastAsiaTheme="majorEastAsia"/>
                      <w:i w:val="0"/>
                      <w:iCs w:val="0"/>
                      <w:color w:val="auto"/>
                      <w:kern w:val="0"/>
                      <w:sz w:val="21"/>
                      <w:szCs w:val="21"/>
                      <w:u w:val="none"/>
                      <w:lang w:val="en-US" w:eastAsia="zh-CN" w:bidi="ar"/>
                    </w:rPr>
                    <w:t>2.提升土地集约化水平。</w:t>
                  </w:r>
                  <w:r>
                    <w:rPr>
                      <w:rFonts w:hint="default" w:ascii="Times New Roman" w:hAnsi="Times New Roman" w:cs="Times New Roman" w:eastAsiaTheme="majorEastAsia"/>
                      <w:i w:val="0"/>
                      <w:iCs w:val="0"/>
                      <w:color w:val="auto"/>
                      <w:kern w:val="0"/>
                      <w:sz w:val="21"/>
                      <w:szCs w:val="21"/>
                      <w:u w:val="none"/>
                      <w:lang w:val="en-US" w:eastAsia="zh-CN" w:bidi="ar"/>
                    </w:rPr>
                    <w:br w:type="textWrapping"/>
                  </w:r>
                  <w:r>
                    <w:rPr>
                      <w:rFonts w:hint="default" w:ascii="Times New Roman" w:hAnsi="Times New Roman" w:cs="Times New Roman" w:eastAsiaTheme="majorEastAsia"/>
                      <w:i w:val="0"/>
                      <w:iCs w:val="0"/>
                      <w:color w:val="auto"/>
                      <w:kern w:val="0"/>
                      <w:sz w:val="21"/>
                      <w:szCs w:val="21"/>
                      <w:u w:val="none"/>
                      <w:lang w:val="en-US" w:eastAsia="zh-CN" w:bidi="ar"/>
                    </w:rPr>
                    <w:t>3.调整能源利用结构，控制煤炭消费量，实现减量化，鼓励使用清洁能源、新能源和可再生能源。</w:t>
                  </w:r>
                </w:p>
              </w:tc>
              <w:tc>
                <w:tcPr>
                  <w:tcW w:w="1364" w:type="pct"/>
                  <w:noWrap w:val="0"/>
                  <w:vAlign w:val="center"/>
                </w:tcPr>
                <w:p w14:paraId="3EA5F01A">
                  <w:pPr>
                    <w:keepNext w:val="0"/>
                    <w:keepLines w:val="0"/>
                    <w:pageBreakBefore w:val="0"/>
                    <w:numPr>
                      <w:ilvl w:val="0"/>
                      <w:numId w:val="7"/>
                    </w:numPr>
                    <w:kinsoku/>
                    <w:wordWrap/>
                    <w:overflowPunct/>
                    <w:topLinePunct w:val="0"/>
                    <w:autoSpaceDE/>
                    <w:autoSpaceDN/>
                    <w:bidi w:val="0"/>
                    <w:adjustRightInd/>
                    <w:snapToGrid/>
                    <w:spacing w:line="240" w:lineRule="auto"/>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本项目不涉及</w:t>
                  </w:r>
                </w:p>
                <w:p w14:paraId="7DCBA925">
                  <w:pPr>
                    <w:keepNext w:val="0"/>
                    <w:keepLines w:val="0"/>
                    <w:pageBreakBefore w:val="0"/>
                    <w:numPr>
                      <w:ilvl w:val="0"/>
                      <w:numId w:val="7"/>
                    </w:numPr>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eastAsiaTheme="minorEastAsia"/>
                      <w:color w:val="auto"/>
                      <w:szCs w:val="21"/>
                      <w:lang w:val="en-US" w:eastAsia="zh-CN"/>
                    </w:rPr>
                    <w:t>项目不涉及</w:t>
                  </w:r>
                </w:p>
                <w:p w14:paraId="66FA24DF">
                  <w:pPr>
                    <w:keepNext w:val="0"/>
                    <w:keepLines w:val="0"/>
                    <w:pageBreakBefore w:val="0"/>
                    <w:numPr>
                      <w:ilvl w:val="0"/>
                      <w:numId w:val="7"/>
                    </w:numPr>
                    <w:kinsoku/>
                    <w:wordWrap/>
                    <w:overflowPunct/>
                    <w:topLinePunct w:val="0"/>
                    <w:autoSpaceDE/>
                    <w:autoSpaceDN/>
                    <w:bidi w:val="0"/>
                    <w:adjustRightInd/>
                    <w:snapToGrid/>
                    <w:spacing w:line="240" w:lineRule="auto"/>
                    <w:ind w:firstLine="0" w:firstLineChars="0"/>
                    <w:jc w:val="center"/>
                    <w:rPr>
                      <w:rFonts w:hint="default"/>
                      <w:color w:val="auto"/>
                      <w:lang w:val="en-US" w:eastAsia="zh-CN"/>
                    </w:rPr>
                  </w:pPr>
                  <w:r>
                    <w:rPr>
                      <w:rFonts w:hint="eastAsia" w:cs="Times New Roman"/>
                      <w:color w:val="auto"/>
                      <w:spacing w:val="-6"/>
                      <w:sz w:val="21"/>
                      <w:szCs w:val="21"/>
                      <w:highlight w:val="none"/>
                      <w:lang w:val="en-US" w:eastAsia="zh-CN"/>
                    </w:rPr>
                    <w:t>项目不使用煤炭</w:t>
                  </w:r>
                </w:p>
              </w:tc>
              <w:tc>
                <w:tcPr>
                  <w:tcW w:w="566" w:type="pct"/>
                  <w:noWrap w:val="0"/>
                  <w:vAlign w:val="center"/>
                </w:tcPr>
                <w:p w14:paraId="59A115F5">
                  <w:pPr>
                    <w:keepNext w:val="0"/>
                    <w:keepLines w:val="0"/>
                    <w:pageBreakBefore w:val="0"/>
                    <w:kinsoku/>
                    <w:wordWrap/>
                    <w:overflowPunct/>
                    <w:topLinePunct w:val="0"/>
                    <w:autoSpaceDE/>
                    <w:autoSpaceDN/>
                    <w:bidi w:val="0"/>
                    <w:adjustRightInd/>
                    <w:ind w:firstLine="0" w:firstLineChars="0"/>
                    <w:jc w:val="center"/>
                    <w:rPr>
                      <w:rFonts w:hint="default"/>
                      <w:color w:val="auto"/>
                      <w:sz w:val="21"/>
                      <w:szCs w:val="21"/>
                      <w:highlight w:val="none"/>
                      <w:lang w:val="en-US" w:eastAsia="zh-CN"/>
                    </w:rPr>
                  </w:pPr>
                  <w:r>
                    <w:rPr>
                      <w:rFonts w:hint="eastAsia"/>
                      <w:color w:val="auto"/>
                      <w:sz w:val="21"/>
                      <w:szCs w:val="21"/>
                      <w:highlight w:val="none"/>
                      <w:lang w:val="en-US" w:eastAsia="zh-CN"/>
                    </w:rPr>
                    <w:t>符合</w:t>
                  </w:r>
                </w:p>
              </w:tc>
            </w:tr>
          </w:tbl>
          <w:p w14:paraId="14AA9293">
            <w:pPr>
              <w:spacing w:line="360" w:lineRule="auto"/>
              <w:ind w:firstLine="480" w:firstLineChars="200"/>
              <w:rPr>
                <w:rFonts w:hint="eastAsia" w:eastAsia="宋体"/>
                <w:color w:val="auto"/>
                <w:sz w:val="24"/>
                <w:highlight w:val="none"/>
                <w:lang w:val="en-US" w:eastAsia="zh-CN"/>
              </w:rPr>
            </w:pPr>
            <w:r>
              <w:rPr>
                <w:rFonts w:hint="eastAsia"/>
                <w:color w:val="auto"/>
                <w:sz w:val="24"/>
                <w:highlight w:val="none"/>
                <w:lang w:val="en-US" w:eastAsia="zh-CN"/>
              </w:rPr>
              <w:t>综上，本项目符合罗村镇</w:t>
            </w:r>
            <w:r>
              <w:rPr>
                <w:rFonts w:hint="eastAsia" w:eastAsia="宋体"/>
                <w:color w:val="auto"/>
                <w:sz w:val="24"/>
                <w:highlight w:val="none"/>
                <w:lang w:val="en-US" w:eastAsia="zh-CN"/>
              </w:rPr>
              <w:t>生态环境准入清单要求，可按程序办理环评审批。</w:t>
            </w:r>
          </w:p>
          <w:p w14:paraId="34DCE1CA">
            <w:pPr>
              <w:keepNext w:val="0"/>
              <w:keepLines w:val="0"/>
              <w:pageBreakBefore w:val="0"/>
              <w:widowControl w:val="0"/>
              <w:numPr>
                <w:ilvl w:val="0"/>
                <w:numId w:val="3"/>
              </w:numPr>
              <w:tabs>
                <w:tab w:val="left" w:pos="72"/>
              </w:tabs>
              <w:kinsoku/>
              <w:wordWrap/>
              <w:overflowPunct/>
              <w:topLinePunct w:val="0"/>
              <w:bidi w:val="0"/>
              <w:adjustRightInd w:val="0"/>
              <w:snapToGrid w:val="0"/>
              <w:spacing w:line="360" w:lineRule="auto"/>
              <w:ind w:left="425" w:leftChars="0" w:hanging="425" w:firstLineChars="0"/>
              <w:textAlignment w:val="auto"/>
              <w:rPr>
                <w:rFonts w:hint="eastAsia"/>
                <w:b/>
                <w:color w:val="auto"/>
                <w:sz w:val="24"/>
                <w:lang w:val="en-US" w:eastAsia="zh-CN"/>
              </w:rPr>
            </w:pPr>
            <w:r>
              <w:rPr>
                <w:rFonts w:hint="eastAsia"/>
                <w:b/>
                <w:color w:val="auto"/>
                <w:sz w:val="24"/>
                <w:lang w:val="en-US" w:eastAsia="zh-CN"/>
              </w:rPr>
              <w:t>与相关文件要求符合性</w:t>
            </w:r>
          </w:p>
          <w:p w14:paraId="394D84F9">
            <w:pPr>
              <w:keepNext w:val="0"/>
              <w:keepLines w:val="0"/>
              <w:pageBreakBefore w:val="0"/>
              <w:widowControl w:val="0"/>
              <w:numPr>
                <w:ilvl w:val="0"/>
                <w:numId w:val="8"/>
              </w:numPr>
              <w:kinsoku/>
              <w:wordWrap/>
              <w:overflowPunct/>
              <w:topLinePunct w:val="0"/>
              <w:autoSpaceDE/>
              <w:autoSpaceDN/>
              <w:bidi w:val="0"/>
              <w:adjustRightInd/>
              <w:snapToGrid/>
              <w:spacing w:line="360" w:lineRule="auto"/>
              <w:ind w:left="0" w:leftChars="0" w:firstLine="425" w:firstLineChars="0"/>
              <w:textAlignment w:val="auto"/>
              <w:rPr>
                <w:rFonts w:hint="eastAsia"/>
                <w:color w:val="auto"/>
                <w:sz w:val="24"/>
                <w:highlight w:val="none"/>
                <w:lang w:val="en-US" w:eastAsia="zh-CN"/>
              </w:rPr>
            </w:pPr>
            <w:r>
              <w:rPr>
                <w:rFonts w:hint="eastAsia"/>
                <w:color w:val="auto"/>
                <w:sz w:val="24"/>
                <w:highlight w:val="none"/>
                <w:lang w:val="en-US" w:eastAsia="zh-CN"/>
              </w:rPr>
              <w:t>与《关于严格项目审批工作坚决防止新上“散乱污”项目的通知》（鲁环字〔2021〕58号）的符合性</w:t>
            </w:r>
          </w:p>
          <w:p w14:paraId="697FB278">
            <w:pPr>
              <w:keepNext w:val="0"/>
              <w:keepLines w:val="0"/>
              <w:pageBreakBefore w:val="0"/>
              <w:widowControl w:val="0"/>
              <w:numPr>
                <w:ilvl w:val="0"/>
                <w:numId w:val="9"/>
              </w:numPr>
              <w:kinsoku/>
              <w:wordWrap/>
              <w:overflowPunct/>
              <w:topLinePunct w:val="0"/>
              <w:autoSpaceDE w:val="0"/>
              <w:autoSpaceDN w:val="0"/>
              <w:bidi w:val="0"/>
              <w:adjustRightInd w:val="0"/>
              <w:snapToGrid/>
              <w:spacing w:line="360" w:lineRule="auto"/>
              <w:ind w:left="3150" w:leftChars="0" w:hanging="3110" w:firstLineChars="0"/>
              <w:jc w:val="center"/>
              <w:textAlignment w:val="auto"/>
              <w:rPr>
                <w:rFonts w:hint="eastAsia" w:ascii="宋体" w:hAnsi="宋体" w:eastAsia="宋体" w:cs="宋体"/>
                <w:b/>
                <w:bCs/>
                <w:color w:val="auto"/>
                <w:kern w:val="0"/>
                <w:sz w:val="24"/>
                <w:szCs w:val="24"/>
                <w:lang w:val="en-US" w:eastAsia="zh-CN" w:bidi="ar"/>
              </w:rPr>
            </w:pPr>
            <w:r>
              <w:rPr>
                <w:rFonts w:hint="eastAsia" w:ascii="宋体" w:hAnsi="宋体" w:eastAsia="宋体" w:cs="宋体"/>
                <w:b/>
                <w:bCs/>
                <w:color w:val="auto"/>
                <w:kern w:val="0"/>
                <w:sz w:val="24"/>
                <w:szCs w:val="24"/>
                <w:lang w:val="en-US" w:eastAsia="zh-CN" w:bidi="ar"/>
              </w:rPr>
              <w:t>项目与鲁环字〔2021〕58号符合性分析</w:t>
            </w:r>
          </w:p>
          <w:tbl>
            <w:tblPr>
              <w:tblStyle w:val="89"/>
              <w:tblW w:w="8177" w:type="dxa"/>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5338"/>
              <w:gridCol w:w="1983"/>
              <w:gridCol w:w="856"/>
            </w:tblGrid>
            <w:tr w14:paraId="7F6B7C6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3264" w:type="pct"/>
                  <w:tcBorders>
                    <w:top w:val="single" w:color="000000" w:sz="6" w:space="0"/>
                  </w:tcBorders>
                  <w:vAlign w:val="center"/>
                </w:tcPr>
                <w:p w14:paraId="60E1522F">
                  <w:pPr>
                    <w:pStyle w:val="90"/>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ascii="宋体" w:hAnsi="宋体" w:eastAsia="宋体" w:cs="宋体"/>
                      <w:b/>
                      <w:bCs/>
                      <w:snapToGrid w:val="0"/>
                      <w:color w:val="auto"/>
                      <w:spacing w:val="0"/>
                      <w:kern w:val="0"/>
                      <w:sz w:val="21"/>
                      <w:szCs w:val="21"/>
                      <w:lang w:val="en-US" w:eastAsia="en-US" w:bidi="ar-SA"/>
                    </w:rPr>
                  </w:pPr>
                  <w:r>
                    <w:rPr>
                      <w:b/>
                      <w:bCs/>
                      <w:color w:val="auto"/>
                      <w:spacing w:val="0"/>
                      <w:sz w:val="21"/>
                      <w:szCs w:val="21"/>
                    </w:rPr>
                    <w:t>文件要求</w:t>
                  </w:r>
                </w:p>
              </w:tc>
              <w:tc>
                <w:tcPr>
                  <w:tcW w:w="1212" w:type="pct"/>
                  <w:tcBorders>
                    <w:top w:val="single" w:color="000000" w:sz="6" w:space="0"/>
                  </w:tcBorders>
                  <w:vAlign w:val="center"/>
                </w:tcPr>
                <w:p w14:paraId="22ABD2E2">
                  <w:pPr>
                    <w:pStyle w:val="90"/>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ascii="宋体" w:hAnsi="宋体" w:eastAsia="宋体" w:cs="宋体"/>
                      <w:b/>
                      <w:bCs/>
                      <w:snapToGrid w:val="0"/>
                      <w:color w:val="auto"/>
                      <w:spacing w:val="0"/>
                      <w:kern w:val="0"/>
                      <w:sz w:val="21"/>
                      <w:szCs w:val="21"/>
                      <w:lang w:val="en-US" w:eastAsia="en-US" w:bidi="ar-SA"/>
                    </w:rPr>
                  </w:pPr>
                  <w:r>
                    <w:rPr>
                      <w:b/>
                      <w:bCs/>
                      <w:color w:val="auto"/>
                      <w:spacing w:val="0"/>
                      <w:sz w:val="21"/>
                      <w:szCs w:val="21"/>
                    </w:rPr>
                    <w:t>本项目情况</w:t>
                  </w:r>
                </w:p>
              </w:tc>
              <w:tc>
                <w:tcPr>
                  <w:tcW w:w="523" w:type="pct"/>
                  <w:tcBorders>
                    <w:top w:val="single" w:color="000000" w:sz="6" w:space="0"/>
                    <w:right w:val="single" w:color="000000" w:sz="6" w:space="0"/>
                  </w:tcBorders>
                  <w:vAlign w:val="center"/>
                </w:tcPr>
                <w:p w14:paraId="0604C32F">
                  <w:pPr>
                    <w:pStyle w:val="90"/>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ascii="宋体" w:hAnsi="宋体" w:eastAsia="宋体" w:cs="宋体"/>
                      <w:snapToGrid w:val="0"/>
                      <w:color w:val="auto"/>
                      <w:spacing w:val="0"/>
                      <w:kern w:val="0"/>
                      <w:sz w:val="21"/>
                      <w:szCs w:val="21"/>
                      <w:lang w:val="en-US" w:eastAsia="en-US" w:bidi="ar-SA"/>
                    </w:rPr>
                  </w:pPr>
                  <w:r>
                    <w:rPr>
                      <w:rFonts w:ascii="宋体" w:hAnsi="宋体" w:eastAsia="宋体" w:cs="宋体"/>
                      <w:b/>
                      <w:bCs/>
                      <w:snapToGrid w:val="0"/>
                      <w:color w:val="auto"/>
                      <w:spacing w:val="0"/>
                      <w:kern w:val="0"/>
                      <w:sz w:val="21"/>
                      <w:szCs w:val="21"/>
                      <w:lang w:val="en-US" w:eastAsia="en-US" w:bidi="ar-SA"/>
                    </w:rPr>
                    <w:t>符合性</w:t>
                  </w:r>
                </w:p>
              </w:tc>
            </w:tr>
            <w:tr w14:paraId="671F912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3264" w:type="pct"/>
                  <w:tcBorders>
                    <w:top w:val="single" w:color="000000" w:sz="6" w:space="0"/>
                  </w:tcBorders>
                  <w:vAlign w:val="center"/>
                </w:tcPr>
                <w:p w14:paraId="2533ABDE">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snapToGrid w:val="0"/>
                      <w:color w:val="auto"/>
                      <w:spacing w:val="0"/>
                      <w:kern w:val="0"/>
                      <w:sz w:val="21"/>
                      <w:szCs w:val="21"/>
                      <w:lang w:val="en-US" w:eastAsia="en-US" w:bidi="ar-SA"/>
                    </w:rPr>
                  </w:pPr>
                  <w:r>
                    <w:rPr>
                      <w:color w:val="auto"/>
                      <w:spacing w:val="0"/>
                      <w:sz w:val="21"/>
                      <w:szCs w:val="21"/>
                    </w:rPr>
                    <w:t>一、认真贯彻执行产业政策。新上项目必须符合国家产业政策要求，禁止采用国家公布的淘汰工艺和落后设备，不得引进耗能高、污染大、生产粗放、不符合国家产业政策的项目。各级立项部门在为企业办理手续时，要认真对照《产业结构调整指导目录（</w:t>
                  </w:r>
                  <w:r>
                    <w:rPr>
                      <w:rFonts w:ascii="Times New Roman" w:hAnsi="Times New Roman" w:eastAsia="Times New Roman" w:cs="Times New Roman"/>
                      <w:color w:val="auto"/>
                      <w:spacing w:val="0"/>
                      <w:sz w:val="21"/>
                      <w:szCs w:val="21"/>
                    </w:rPr>
                    <w:t>2019</w:t>
                  </w:r>
                  <w:r>
                    <w:rPr>
                      <w:color w:val="auto"/>
                      <w:spacing w:val="0"/>
                      <w:sz w:val="21"/>
                      <w:szCs w:val="21"/>
                    </w:rPr>
                    <w:t>年本）》（如有更新，以更新后文件为准），对鼓励类项目，按照有关规定审批、核准或备案；对限制类项目，禁止新建，现有生产能力允许在一定期限内改造升级；对淘汰类项目，市场主体不得进入，行政机关不予审批。</w:t>
                  </w:r>
                </w:p>
              </w:tc>
              <w:tc>
                <w:tcPr>
                  <w:tcW w:w="1212" w:type="pct"/>
                  <w:tcBorders>
                    <w:top w:val="single" w:color="000000" w:sz="6" w:space="0"/>
                  </w:tcBorders>
                  <w:vAlign w:val="center"/>
                </w:tcPr>
                <w:p w14:paraId="186268D1">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snapToGrid w:val="0"/>
                      <w:color w:val="auto"/>
                      <w:spacing w:val="0"/>
                      <w:kern w:val="0"/>
                      <w:sz w:val="21"/>
                      <w:szCs w:val="21"/>
                      <w:lang w:val="en-US" w:eastAsia="zh-CN" w:bidi="ar-SA"/>
                    </w:rPr>
                  </w:pPr>
                  <w:r>
                    <w:rPr>
                      <w:color w:val="auto"/>
                      <w:spacing w:val="0"/>
                      <w:sz w:val="21"/>
                      <w:szCs w:val="21"/>
                    </w:rPr>
                    <w:t>项目</w:t>
                  </w:r>
                  <w:r>
                    <w:rPr>
                      <w:rFonts w:hint="eastAsia"/>
                      <w:color w:val="auto"/>
                      <w:spacing w:val="0"/>
                      <w:sz w:val="21"/>
                      <w:szCs w:val="21"/>
                      <w:lang w:val="en-US" w:eastAsia="zh-CN"/>
                    </w:rPr>
                    <w:t>不</w:t>
                  </w:r>
                  <w:r>
                    <w:rPr>
                      <w:color w:val="auto"/>
                      <w:spacing w:val="0"/>
                      <w:sz w:val="21"/>
                      <w:szCs w:val="21"/>
                    </w:rPr>
                    <w:t>属于《产业结构调整指导目录（</w:t>
                  </w:r>
                  <w:r>
                    <w:rPr>
                      <w:rFonts w:hint="eastAsia" w:ascii="Times New Roman" w:hAnsi="Times New Roman" w:eastAsia="宋体" w:cs="Times New Roman"/>
                      <w:color w:val="auto"/>
                      <w:spacing w:val="0"/>
                      <w:sz w:val="21"/>
                      <w:szCs w:val="21"/>
                      <w:lang w:val="en-US" w:eastAsia="zh-CN"/>
                    </w:rPr>
                    <w:t>2024</w:t>
                  </w:r>
                  <w:r>
                    <w:rPr>
                      <w:color w:val="auto"/>
                      <w:spacing w:val="0"/>
                      <w:sz w:val="21"/>
                      <w:szCs w:val="21"/>
                    </w:rPr>
                    <w:t>年本）》中鼓励类</w:t>
                  </w:r>
                  <w:r>
                    <w:rPr>
                      <w:rFonts w:hint="eastAsia"/>
                      <w:color w:val="auto"/>
                      <w:spacing w:val="0"/>
                      <w:sz w:val="21"/>
                      <w:szCs w:val="21"/>
                      <w:lang w:eastAsia="zh-CN"/>
                    </w:rPr>
                    <w:t>、</w:t>
                  </w:r>
                  <w:r>
                    <w:rPr>
                      <w:rFonts w:hint="eastAsia"/>
                      <w:color w:val="auto"/>
                      <w:spacing w:val="0"/>
                      <w:sz w:val="21"/>
                      <w:szCs w:val="21"/>
                      <w:lang w:val="en-US" w:eastAsia="zh-CN"/>
                    </w:rPr>
                    <w:t>限制类、淘汰类</w:t>
                  </w:r>
                  <w:r>
                    <w:rPr>
                      <w:color w:val="auto"/>
                      <w:spacing w:val="0"/>
                      <w:sz w:val="21"/>
                      <w:szCs w:val="21"/>
                    </w:rPr>
                    <w:t>项目，未使用国家明令禁止的淘汰类和限制类的工艺和设备，符合国家产业政策。</w:t>
                  </w:r>
                </w:p>
              </w:tc>
              <w:tc>
                <w:tcPr>
                  <w:tcW w:w="523" w:type="pct"/>
                  <w:tcBorders>
                    <w:top w:val="single" w:color="000000" w:sz="6" w:space="0"/>
                    <w:right w:val="single" w:color="000000" w:sz="6" w:space="0"/>
                  </w:tcBorders>
                  <w:vAlign w:val="center"/>
                </w:tcPr>
                <w:p w14:paraId="51FDF855">
                  <w:pPr>
                    <w:pStyle w:val="90"/>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ascii="宋体" w:hAnsi="宋体" w:eastAsia="宋体" w:cs="宋体"/>
                      <w:snapToGrid w:val="0"/>
                      <w:color w:val="auto"/>
                      <w:spacing w:val="0"/>
                      <w:kern w:val="0"/>
                      <w:sz w:val="21"/>
                      <w:szCs w:val="21"/>
                      <w:lang w:val="en-US" w:eastAsia="en-US" w:bidi="ar-SA"/>
                    </w:rPr>
                  </w:pPr>
                  <w:r>
                    <w:rPr>
                      <w:color w:val="auto"/>
                      <w:spacing w:val="0"/>
                      <w:sz w:val="21"/>
                      <w:szCs w:val="21"/>
                    </w:rPr>
                    <w:t>符合</w:t>
                  </w:r>
                </w:p>
              </w:tc>
            </w:tr>
            <w:tr w14:paraId="1D60AF3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7" w:hRule="atLeast"/>
              </w:trPr>
              <w:tc>
                <w:tcPr>
                  <w:tcW w:w="3264" w:type="pct"/>
                  <w:vAlign w:val="center"/>
                </w:tcPr>
                <w:p w14:paraId="10574C2B">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spacing w:val="0"/>
                      <w:sz w:val="21"/>
                      <w:szCs w:val="21"/>
                    </w:rPr>
                  </w:pPr>
                  <w:r>
                    <w:rPr>
                      <w:color w:val="auto"/>
                      <w:spacing w:val="0"/>
                      <w:sz w:val="21"/>
                      <w:szCs w:val="21"/>
                    </w:rPr>
                    <w:t>二、强化规划刚性约束。新上项目必须符合国土空间规划、产业发展规划等要求，积极引导产业园区外</w:t>
                  </w:r>
                  <w:r>
                    <w:rPr>
                      <w:rFonts w:ascii="Times New Roman" w:hAnsi="Times New Roman" w:eastAsia="Times New Roman" w:cs="Times New Roman"/>
                      <w:color w:val="auto"/>
                      <w:spacing w:val="0"/>
                      <w:sz w:val="21"/>
                      <w:szCs w:val="21"/>
                    </w:rPr>
                    <w:t>“</w:t>
                  </w:r>
                  <w:r>
                    <w:rPr>
                      <w:color w:val="auto"/>
                      <w:spacing w:val="0"/>
                      <w:sz w:val="21"/>
                      <w:szCs w:val="21"/>
                    </w:rPr>
                    <w:t>散乱污</w:t>
                  </w:r>
                  <w:r>
                    <w:rPr>
                      <w:rFonts w:ascii="Times New Roman" w:hAnsi="Times New Roman" w:eastAsia="Times New Roman" w:cs="Times New Roman"/>
                      <w:color w:val="auto"/>
                      <w:spacing w:val="0"/>
                      <w:sz w:val="21"/>
                      <w:szCs w:val="21"/>
                    </w:rPr>
                    <w:t>”</w:t>
                  </w:r>
                  <w:r>
                    <w:rPr>
                      <w:color w:val="auto"/>
                      <w:spacing w:val="0"/>
                      <w:sz w:val="21"/>
                      <w:szCs w:val="21"/>
                    </w:rPr>
                    <w:t>整治搬迁改造企业进入产业园区或工业集聚区，并鼓励租赁标准厂房。按照</w:t>
                  </w:r>
                  <w:r>
                    <w:rPr>
                      <w:rFonts w:ascii="Times New Roman" w:hAnsi="Times New Roman" w:eastAsia="Times New Roman" w:cs="Times New Roman"/>
                      <w:color w:val="auto"/>
                      <w:spacing w:val="0"/>
                      <w:sz w:val="21"/>
                      <w:szCs w:val="21"/>
                    </w:rPr>
                    <w:t>“</w:t>
                  </w:r>
                  <w:r>
                    <w:rPr>
                      <w:color w:val="auto"/>
                      <w:spacing w:val="0"/>
                      <w:sz w:val="21"/>
                      <w:szCs w:val="21"/>
                    </w:rPr>
                    <w:t>布局集中、用地集约、产业集聚、空间优化</w:t>
                  </w:r>
                  <w:r>
                    <w:rPr>
                      <w:rFonts w:ascii="Times New Roman" w:hAnsi="Times New Roman" w:eastAsia="Times New Roman" w:cs="Times New Roman"/>
                      <w:color w:val="auto"/>
                      <w:spacing w:val="0"/>
                      <w:sz w:val="21"/>
                      <w:szCs w:val="21"/>
                    </w:rPr>
                    <w:t>”</w:t>
                  </w:r>
                  <w:r>
                    <w:rPr>
                      <w:color w:val="auto"/>
                      <w:spacing w:val="0"/>
                      <w:sz w:val="21"/>
                      <w:szCs w:val="21"/>
                    </w:rPr>
                    <w:t>的原则，高标准制定产业发展规划，明确主导产业、布局和产业发展方向，引导企业规范化、规模化、集约化发展。</w:t>
                  </w:r>
                </w:p>
              </w:tc>
              <w:tc>
                <w:tcPr>
                  <w:tcW w:w="1212" w:type="pct"/>
                  <w:vAlign w:val="center"/>
                </w:tcPr>
                <w:p w14:paraId="2BAEA3A9">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宋体" w:hAnsi="宋体" w:eastAsia="宋体" w:cs="宋体"/>
                      <w:color w:val="auto"/>
                      <w:spacing w:val="0"/>
                      <w:sz w:val="21"/>
                      <w:szCs w:val="21"/>
                      <w:lang w:val="en-US"/>
                    </w:rPr>
                  </w:pPr>
                  <w:r>
                    <w:rPr>
                      <w:rFonts w:ascii="宋体" w:hAnsi="宋体" w:eastAsia="宋体" w:cs="宋体"/>
                      <w:color w:val="auto"/>
                      <w:spacing w:val="0"/>
                      <w:sz w:val="21"/>
                      <w:szCs w:val="21"/>
                    </w:rPr>
                    <w:t>本项目</w:t>
                  </w:r>
                  <w:r>
                    <w:rPr>
                      <w:rFonts w:hint="eastAsia" w:cs="宋体"/>
                      <w:color w:val="auto"/>
                      <w:spacing w:val="0"/>
                      <w:sz w:val="21"/>
                      <w:szCs w:val="21"/>
                      <w:lang w:val="en-US" w:eastAsia="zh-CN"/>
                    </w:rPr>
                    <w:t>租赁原家具厂闲置厂房，用地</w:t>
                  </w:r>
                  <w:r>
                    <w:rPr>
                      <w:rFonts w:hint="eastAsia" w:ascii="宋体" w:hAnsi="宋体" w:eastAsia="宋体" w:cs="宋体"/>
                      <w:color w:val="auto"/>
                      <w:spacing w:val="0"/>
                      <w:sz w:val="21"/>
                      <w:szCs w:val="21"/>
                      <w:lang w:val="en-US" w:eastAsia="zh-CN"/>
                    </w:rPr>
                    <w:t>符合规划要求。</w:t>
                  </w:r>
                </w:p>
              </w:tc>
              <w:tc>
                <w:tcPr>
                  <w:tcW w:w="523" w:type="pct"/>
                  <w:tcBorders>
                    <w:right w:val="single" w:color="000000" w:sz="6" w:space="0"/>
                  </w:tcBorders>
                  <w:vAlign w:val="center"/>
                </w:tcPr>
                <w:p w14:paraId="116916C3">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pacing w:val="0"/>
                      <w:sz w:val="21"/>
                      <w:szCs w:val="21"/>
                    </w:rPr>
                  </w:pPr>
                  <w:r>
                    <w:rPr>
                      <w:rFonts w:ascii="宋体" w:hAnsi="宋体" w:eastAsia="宋体" w:cs="宋体"/>
                      <w:color w:val="auto"/>
                      <w:spacing w:val="0"/>
                      <w:sz w:val="21"/>
                      <w:szCs w:val="21"/>
                    </w:rPr>
                    <w:t>符合</w:t>
                  </w:r>
                </w:p>
              </w:tc>
            </w:tr>
            <w:tr w14:paraId="32F9729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637" w:hRule="atLeast"/>
              </w:trPr>
              <w:tc>
                <w:tcPr>
                  <w:tcW w:w="3264" w:type="pct"/>
                  <w:vAlign w:val="center"/>
                </w:tcPr>
                <w:p w14:paraId="40ACC43D">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spacing w:val="0"/>
                      <w:sz w:val="21"/>
                      <w:szCs w:val="21"/>
                    </w:rPr>
                  </w:pPr>
                  <w:r>
                    <w:rPr>
                      <w:color w:val="auto"/>
                      <w:spacing w:val="0"/>
                      <w:sz w:val="21"/>
                      <w:szCs w:val="21"/>
                    </w:rPr>
                    <w:t>三、科学把好项目选址关。新建有污染物排放的工业项目，除在安全生产等方面有特殊要求的以外，应当进入工业园区或工业集聚区。各市要本着节约利用土地的原则，充分考虑项目周边环境、资金投入、推进速度等关键要素，合理选址，科学布局，切实做到符合用地政策，确保规划建设的项目有利于长远发展。</w:t>
                  </w:r>
                </w:p>
              </w:tc>
              <w:tc>
                <w:tcPr>
                  <w:tcW w:w="1212" w:type="pct"/>
                  <w:vAlign w:val="center"/>
                </w:tcPr>
                <w:p w14:paraId="598AA603">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color w:val="auto"/>
                      <w:spacing w:val="0"/>
                      <w:sz w:val="21"/>
                      <w:szCs w:val="21"/>
                      <w:lang w:val="en-US"/>
                    </w:rPr>
                  </w:pPr>
                  <w:r>
                    <w:rPr>
                      <w:rFonts w:ascii="宋体" w:hAnsi="宋体" w:eastAsia="宋体" w:cs="宋体"/>
                      <w:color w:val="auto"/>
                      <w:spacing w:val="0"/>
                      <w:sz w:val="21"/>
                      <w:szCs w:val="21"/>
                    </w:rPr>
                    <w:t>本项目</w:t>
                  </w:r>
                  <w:r>
                    <w:rPr>
                      <w:rFonts w:hint="eastAsia" w:ascii="宋体" w:hAnsi="宋体" w:eastAsia="宋体" w:cs="宋体"/>
                      <w:color w:val="auto"/>
                      <w:spacing w:val="0"/>
                      <w:sz w:val="21"/>
                      <w:szCs w:val="21"/>
                      <w:lang w:val="en-US" w:eastAsia="zh-CN"/>
                    </w:rPr>
                    <w:t>不属于工业项目，</w:t>
                  </w:r>
                  <w:r>
                    <w:rPr>
                      <w:rFonts w:hint="eastAsia" w:cs="宋体"/>
                      <w:color w:val="auto"/>
                      <w:spacing w:val="0"/>
                      <w:sz w:val="21"/>
                      <w:szCs w:val="21"/>
                      <w:lang w:val="en-US" w:eastAsia="zh-CN"/>
                    </w:rPr>
                    <w:t>租赁原家具厂闲置厂房，用地</w:t>
                  </w:r>
                  <w:r>
                    <w:rPr>
                      <w:rFonts w:hint="eastAsia" w:ascii="宋体" w:hAnsi="宋体" w:eastAsia="宋体" w:cs="宋体"/>
                      <w:color w:val="auto"/>
                      <w:spacing w:val="0"/>
                      <w:sz w:val="21"/>
                      <w:szCs w:val="21"/>
                      <w:lang w:val="en-US" w:eastAsia="zh-CN"/>
                    </w:rPr>
                    <w:t>符合规划要求。</w:t>
                  </w:r>
                </w:p>
              </w:tc>
              <w:tc>
                <w:tcPr>
                  <w:tcW w:w="523" w:type="pct"/>
                  <w:tcBorders>
                    <w:right w:val="single" w:color="000000" w:sz="6" w:space="0"/>
                  </w:tcBorders>
                  <w:vAlign w:val="center"/>
                </w:tcPr>
                <w:p w14:paraId="52E2068E">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spacing w:val="0"/>
                      <w:sz w:val="21"/>
                      <w:szCs w:val="21"/>
                    </w:rPr>
                  </w:pPr>
                  <w:r>
                    <w:rPr>
                      <w:color w:val="auto"/>
                      <w:spacing w:val="0"/>
                      <w:sz w:val="21"/>
                      <w:szCs w:val="21"/>
                    </w:rPr>
                    <w:t>符合</w:t>
                  </w:r>
                </w:p>
              </w:tc>
            </w:tr>
            <w:tr w14:paraId="291EB3B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637" w:hRule="atLeast"/>
              </w:trPr>
              <w:tc>
                <w:tcPr>
                  <w:tcW w:w="3264" w:type="pct"/>
                  <w:vAlign w:val="center"/>
                </w:tcPr>
                <w:p w14:paraId="114A92D4">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spacing w:val="0"/>
                      <w:sz w:val="21"/>
                      <w:szCs w:val="21"/>
                    </w:rPr>
                  </w:pPr>
                  <w:r>
                    <w:rPr>
                      <w:color w:val="auto"/>
                      <w:spacing w:val="0"/>
                      <w:sz w:val="21"/>
                      <w:szCs w:val="21"/>
                    </w:rPr>
                    <w:t>四、严把项目环评审批关。新上项目必须严格执行环评审批</w:t>
                  </w:r>
                  <w:r>
                    <w:rPr>
                      <w:rFonts w:ascii="Times New Roman" w:hAnsi="Times New Roman" w:eastAsia="Times New Roman" w:cs="Times New Roman"/>
                      <w:color w:val="auto"/>
                      <w:spacing w:val="0"/>
                      <w:sz w:val="21"/>
                      <w:szCs w:val="21"/>
                    </w:rPr>
                    <w:t>“</w:t>
                  </w:r>
                  <w:r>
                    <w:rPr>
                      <w:color w:val="auto"/>
                      <w:spacing w:val="0"/>
                      <w:sz w:val="21"/>
                      <w:szCs w:val="21"/>
                    </w:rPr>
                    <w:t>三挂钩</w:t>
                  </w:r>
                  <w:r>
                    <w:rPr>
                      <w:rFonts w:ascii="Times New Roman" w:hAnsi="Times New Roman" w:eastAsia="Times New Roman" w:cs="Times New Roman"/>
                      <w:color w:val="auto"/>
                      <w:spacing w:val="0"/>
                      <w:sz w:val="21"/>
                      <w:szCs w:val="21"/>
                    </w:rPr>
                    <w:t>”</w:t>
                  </w:r>
                  <w:r>
                    <w:rPr>
                      <w:color w:val="auto"/>
                      <w:spacing w:val="0"/>
                      <w:sz w:val="21"/>
                      <w:szCs w:val="21"/>
                    </w:rPr>
                    <w:t>机制和</w:t>
                  </w:r>
                  <w:r>
                    <w:rPr>
                      <w:rFonts w:ascii="Times New Roman" w:hAnsi="Times New Roman" w:eastAsia="Times New Roman" w:cs="Times New Roman"/>
                      <w:color w:val="auto"/>
                      <w:spacing w:val="0"/>
                      <w:sz w:val="21"/>
                      <w:szCs w:val="21"/>
                    </w:rPr>
                    <w:t>“</w:t>
                  </w:r>
                  <w:r>
                    <w:rPr>
                      <w:color w:val="auto"/>
                      <w:spacing w:val="0"/>
                      <w:sz w:val="21"/>
                      <w:szCs w:val="21"/>
                    </w:rPr>
                    <w:t>五个不批</w:t>
                  </w:r>
                  <w:r>
                    <w:rPr>
                      <w:rFonts w:ascii="Times New Roman" w:hAnsi="Times New Roman" w:eastAsia="Times New Roman" w:cs="Times New Roman"/>
                      <w:color w:val="auto"/>
                      <w:spacing w:val="0"/>
                      <w:sz w:val="21"/>
                      <w:szCs w:val="21"/>
                    </w:rPr>
                    <w:t>”</w:t>
                  </w:r>
                  <w:r>
                    <w:rPr>
                      <w:color w:val="auto"/>
                      <w:spacing w:val="0"/>
                      <w:sz w:val="21"/>
                      <w:szCs w:val="21"/>
                    </w:rPr>
                    <w:t>要求，落实</w:t>
                  </w:r>
                  <w:r>
                    <w:rPr>
                      <w:rFonts w:ascii="Times New Roman" w:hAnsi="Times New Roman" w:eastAsia="Times New Roman" w:cs="Times New Roman"/>
                      <w:color w:val="auto"/>
                      <w:spacing w:val="0"/>
                      <w:sz w:val="21"/>
                      <w:szCs w:val="21"/>
                    </w:rPr>
                    <w:t>“</w:t>
                  </w:r>
                  <w:r>
                    <w:rPr>
                      <w:color w:val="auto"/>
                      <w:spacing w:val="0"/>
                      <w:sz w:val="21"/>
                      <w:szCs w:val="21"/>
                    </w:rPr>
                    <w:t>三线一单</w:t>
                  </w:r>
                  <w:r>
                    <w:rPr>
                      <w:rFonts w:ascii="Times New Roman" w:hAnsi="Times New Roman" w:eastAsia="Times New Roman" w:cs="Times New Roman"/>
                      <w:color w:val="auto"/>
                      <w:spacing w:val="0"/>
                      <w:sz w:val="21"/>
                      <w:szCs w:val="21"/>
                    </w:rPr>
                    <w:t>”</w:t>
                  </w:r>
                  <w:r>
                    <w:rPr>
                      <w:color w:val="auto"/>
                      <w:spacing w:val="0"/>
                      <w:sz w:val="21"/>
                      <w:szCs w:val="21"/>
                    </w:rPr>
                    <w:t>生态环境分区管控要求。强化替代约束，涉及主要污染物排放的，必须落实区域污染物排放替代，确保增产减污；涉及煤炭消耗的，必须落实煤炭消费减量替代，否则各级环评审批部门一律不予审批通过。</w:t>
                  </w:r>
                </w:p>
              </w:tc>
              <w:tc>
                <w:tcPr>
                  <w:tcW w:w="1212" w:type="pct"/>
                  <w:vAlign w:val="center"/>
                </w:tcPr>
                <w:p w14:paraId="0B29EDA3">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eastAsia="宋体"/>
                      <w:color w:val="auto"/>
                      <w:spacing w:val="0"/>
                      <w:sz w:val="21"/>
                      <w:szCs w:val="21"/>
                      <w:lang w:val="en-US" w:eastAsia="zh-CN"/>
                    </w:rPr>
                  </w:pPr>
                  <w:r>
                    <w:rPr>
                      <w:color w:val="auto"/>
                      <w:spacing w:val="0"/>
                      <w:sz w:val="21"/>
                      <w:szCs w:val="21"/>
                    </w:rPr>
                    <w:t>本项目符合</w:t>
                  </w:r>
                  <w:r>
                    <w:rPr>
                      <w:rFonts w:ascii="Times New Roman" w:hAnsi="Times New Roman" w:eastAsia="Times New Roman" w:cs="Times New Roman"/>
                      <w:color w:val="auto"/>
                      <w:spacing w:val="0"/>
                      <w:sz w:val="21"/>
                      <w:szCs w:val="21"/>
                    </w:rPr>
                    <w:t>“</w:t>
                  </w:r>
                  <w:r>
                    <w:rPr>
                      <w:color w:val="auto"/>
                      <w:spacing w:val="0"/>
                      <w:sz w:val="21"/>
                      <w:szCs w:val="21"/>
                    </w:rPr>
                    <w:t>三线一单</w:t>
                  </w:r>
                  <w:r>
                    <w:rPr>
                      <w:rFonts w:ascii="Times New Roman" w:hAnsi="Times New Roman" w:eastAsia="Times New Roman" w:cs="Times New Roman"/>
                      <w:color w:val="auto"/>
                      <w:spacing w:val="0"/>
                      <w:sz w:val="21"/>
                      <w:szCs w:val="21"/>
                    </w:rPr>
                    <w:t>”</w:t>
                  </w:r>
                  <w:r>
                    <w:rPr>
                      <w:color w:val="auto"/>
                      <w:spacing w:val="0"/>
                      <w:sz w:val="21"/>
                      <w:szCs w:val="21"/>
                    </w:rPr>
                    <w:t>生态环境分区管控要求，项目不涉及煤炭使用</w:t>
                  </w:r>
                  <w:r>
                    <w:rPr>
                      <w:rFonts w:hint="eastAsia"/>
                      <w:color w:val="auto"/>
                      <w:spacing w:val="0"/>
                      <w:sz w:val="21"/>
                      <w:szCs w:val="21"/>
                      <w:lang w:eastAsia="zh-CN"/>
                    </w:rPr>
                    <w:t>。</w:t>
                  </w:r>
                  <w:r>
                    <w:rPr>
                      <w:rFonts w:hint="eastAsia"/>
                      <w:color w:val="auto"/>
                      <w:spacing w:val="0"/>
                      <w:sz w:val="21"/>
                      <w:szCs w:val="21"/>
                      <w:lang w:val="en-US" w:eastAsia="zh-CN"/>
                    </w:rPr>
                    <w:t>项目不涉及区域主要污染物排放替代</w:t>
                  </w:r>
                </w:p>
              </w:tc>
              <w:tc>
                <w:tcPr>
                  <w:tcW w:w="523" w:type="pct"/>
                  <w:tcBorders>
                    <w:right w:val="single" w:color="000000" w:sz="6" w:space="0"/>
                  </w:tcBorders>
                  <w:vAlign w:val="center"/>
                </w:tcPr>
                <w:p w14:paraId="1365FE95">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spacing w:val="0"/>
                      <w:sz w:val="21"/>
                      <w:szCs w:val="21"/>
                    </w:rPr>
                  </w:pPr>
                  <w:r>
                    <w:rPr>
                      <w:color w:val="auto"/>
                      <w:spacing w:val="0"/>
                      <w:sz w:val="21"/>
                      <w:szCs w:val="21"/>
                    </w:rPr>
                    <w:t>符合</w:t>
                  </w:r>
                </w:p>
              </w:tc>
            </w:tr>
            <w:tr w14:paraId="549B999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3264" w:type="pct"/>
                  <w:vAlign w:val="center"/>
                </w:tcPr>
                <w:p w14:paraId="1BADD584">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spacing w:val="-6"/>
                      <w:sz w:val="21"/>
                      <w:szCs w:val="21"/>
                    </w:rPr>
                  </w:pPr>
                  <w:r>
                    <w:rPr>
                      <w:color w:val="auto"/>
                      <w:spacing w:val="-6"/>
                      <w:sz w:val="21"/>
                      <w:szCs w:val="21"/>
                    </w:rPr>
                    <w:t>五、建立部门联动协调机制。各级发展改革、工业和信息化、自然资源、生态环境等部门要按照职责分工，建立长效工作机制，密切配合，强化对项目产业政策、固定资产投资、能耗、用地标准、环境等的论证，对不符合要求的，一律不得办理立项、规划、土地、环评等手续。</w:t>
                  </w:r>
                </w:p>
              </w:tc>
              <w:tc>
                <w:tcPr>
                  <w:tcW w:w="1212" w:type="pct"/>
                  <w:vAlign w:val="center"/>
                </w:tcPr>
                <w:p w14:paraId="159DD4B3">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eastAsia="宋体"/>
                      <w:color w:val="auto"/>
                      <w:spacing w:val="0"/>
                      <w:sz w:val="21"/>
                      <w:szCs w:val="21"/>
                      <w:lang w:val="en-US" w:eastAsia="zh-CN"/>
                    </w:rPr>
                  </w:pPr>
                  <w:r>
                    <w:rPr>
                      <w:color w:val="auto"/>
                      <w:spacing w:val="0"/>
                      <w:sz w:val="21"/>
                      <w:szCs w:val="21"/>
                    </w:rPr>
                    <w:t>在落实环保措施情况下项目建设符合环保要求</w:t>
                  </w:r>
                </w:p>
              </w:tc>
              <w:tc>
                <w:tcPr>
                  <w:tcW w:w="523" w:type="pct"/>
                  <w:tcBorders>
                    <w:right w:val="single" w:color="000000" w:sz="6" w:space="0"/>
                  </w:tcBorders>
                  <w:vAlign w:val="center"/>
                </w:tcPr>
                <w:p w14:paraId="437254BA">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spacing w:val="0"/>
                      <w:sz w:val="21"/>
                      <w:szCs w:val="21"/>
                    </w:rPr>
                  </w:pPr>
                  <w:r>
                    <w:rPr>
                      <w:color w:val="auto"/>
                      <w:spacing w:val="0"/>
                      <w:sz w:val="21"/>
                      <w:szCs w:val="21"/>
                    </w:rPr>
                    <w:t>符合</w:t>
                  </w:r>
                </w:p>
              </w:tc>
            </w:tr>
            <w:tr w14:paraId="75F8EFE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3264" w:type="pct"/>
                  <w:vAlign w:val="center"/>
                </w:tcPr>
                <w:p w14:paraId="6864EA20">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spacing w:val="-6"/>
                      <w:sz w:val="21"/>
                      <w:szCs w:val="21"/>
                    </w:rPr>
                  </w:pPr>
                  <w:r>
                    <w:rPr>
                      <w:color w:val="auto"/>
                      <w:spacing w:val="-6"/>
                      <w:sz w:val="21"/>
                      <w:szCs w:val="21"/>
                    </w:rPr>
                    <w:t>六、强化日常监管执法。持续加大对违反产业政策、规划、准入规定等违法违规建设行为的查处力度，坚决遏制</w:t>
                  </w:r>
                  <w:r>
                    <w:rPr>
                      <w:rFonts w:ascii="Times New Roman" w:hAnsi="Times New Roman" w:eastAsia="Times New Roman" w:cs="Times New Roman"/>
                      <w:color w:val="auto"/>
                      <w:spacing w:val="-6"/>
                      <w:sz w:val="21"/>
                      <w:szCs w:val="21"/>
                    </w:rPr>
                    <w:t>“</w:t>
                  </w:r>
                  <w:r>
                    <w:rPr>
                      <w:color w:val="auto"/>
                      <w:spacing w:val="-6"/>
                      <w:sz w:val="21"/>
                      <w:szCs w:val="21"/>
                    </w:rPr>
                    <w:t>未批先建</w:t>
                  </w:r>
                  <w:r>
                    <w:rPr>
                      <w:rFonts w:ascii="Times New Roman" w:hAnsi="Times New Roman" w:eastAsia="Times New Roman" w:cs="Times New Roman"/>
                      <w:color w:val="auto"/>
                      <w:spacing w:val="-6"/>
                      <w:sz w:val="21"/>
                      <w:szCs w:val="21"/>
                    </w:rPr>
                    <w:t>”</w:t>
                  </w:r>
                  <w:r>
                    <w:rPr>
                      <w:color w:val="auto"/>
                      <w:spacing w:val="-6"/>
                      <w:sz w:val="21"/>
                      <w:szCs w:val="21"/>
                    </w:rPr>
                    <w:t>等违法行为。畅通群众举报投诉渠道，对</w:t>
                  </w:r>
                  <w:r>
                    <w:rPr>
                      <w:rFonts w:ascii="Times New Roman" w:hAnsi="Times New Roman" w:eastAsia="Times New Roman" w:cs="Times New Roman"/>
                      <w:color w:val="auto"/>
                      <w:spacing w:val="-6"/>
                      <w:sz w:val="21"/>
                      <w:szCs w:val="21"/>
                    </w:rPr>
                    <w:t>“</w:t>
                  </w:r>
                  <w:r>
                    <w:rPr>
                      <w:color w:val="auto"/>
                      <w:spacing w:val="-6"/>
                      <w:sz w:val="21"/>
                      <w:szCs w:val="21"/>
                    </w:rPr>
                    <w:t>散乱污</w:t>
                  </w:r>
                  <w:r>
                    <w:rPr>
                      <w:rFonts w:ascii="Times New Roman" w:hAnsi="Times New Roman" w:eastAsia="Times New Roman" w:cs="Times New Roman"/>
                      <w:color w:val="auto"/>
                      <w:spacing w:val="-6"/>
                      <w:sz w:val="21"/>
                      <w:szCs w:val="21"/>
                    </w:rPr>
                    <w:t>”</w:t>
                  </w:r>
                  <w:r>
                    <w:rPr>
                      <w:color w:val="auto"/>
                      <w:spacing w:val="-6"/>
                      <w:sz w:val="21"/>
                      <w:szCs w:val="21"/>
                    </w:rPr>
                    <w:t>项目做到早发现、早应对、早处置，严防死灰复燃。</w:t>
                  </w:r>
                </w:p>
              </w:tc>
              <w:tc>
                <w:tcPr>
                  <w:tcW w:w="1212" w:type="pct"/>
                  <w:vAlign w:val="center"/>
                </w:tcPr>
                <w:p w14:paraId="12C31E4D">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spacing w:val="0"/>
                      <w:sz w:val="21"/>
                      <w:szCs w:val="21"/>
                    </w:rPr>
                  </w:pPr>
                  <w:r>
                    <w:rPr>
                      <w:color w:val="auto"/>
                      <w:spacing w:val="0"/>
                      <w:sz w:val="21"/>
                      <w:szCs w:val="21"/>
                    </w:rPr>
                    <w:t>项目不涉及</w:t>
                  </w:r>
                  <w:r>
                    <w:rPr>
                      <w:rFonts w:ascii="Times New Roman" w:hAnsi="Times New Roman" w:eastAsia="Times New Roman" w:cs="Times New Roman"/>
                      <w:color w:val="auto"/>
                      <w:spacing w:val="0"/>
                      <w:sz w:val="21"/>
                      <w:szCs w:val="21"/>
                    </w:rPr>
                    <w:t>“</w:t>
                  </w:r>
                  <w:r>
                    <w:rPr>
                      <w:color w:val="auto"/>
                      <w:spacing w:val="0"/>
                      <w:sz w:val="21"/>
                      <w:szCs w:val="21"/>
                    </w:rPr>
                    <w:t>未批先建</w:t>
                  </w:r>
                  <w:r>
                    <w:rPr>
                      <w:rFonts w:ascii="Times New Roman" w:hAnsi="Times New Roman" w:eastAsia="Times New Roman" w:cs="Times New Roman"/>
                      <w:color w:val="auto"/>
                      <w:spacing w:val="0"/>
                      <w:sz w:val="21"/>
                      <w:szCs w:val="21"/>
                    </w:rPr>
                    <w:t>”</w:t>
                  </w:r>
                  <w:r>
                    <w:rPr>
                      <w:color w:val="auto"/>
                      <w:spacing w:val="0"/>
                      <w:sz w:val="21"/>
                      <w:szCs w:val="21"/>
                    </w:rPr>
                    <w:t>等违法行为</w:t>
                  </w:r>
                </w:p>
              </w:tc>
              <w:tc>
                <w:tcPr>
                  <w:tcW w:w="523" w:type="pct"/>
                  <w:tcBorders>
                    <w:right w:val="single" w:color="000000" w:sz="6" w:space="0"/>
                  </w:tcBorders>
                  <w:vAlign w:val="center"/>
                </w:tcPr>
                <w:p w14:paraId="0A326736">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spacing w:val="0"/>
                      <w:sz w:val="21"/>
                      <w:szCs w:val="21"/>
                    </w:rPr>
                  </w:pPr>
                  <w:r>
                    <w:rPr>
                      <w:color w:val="auto"/>
                      <w:spacing w:val="0"/>
                      <w:sz w:val="21"/>
                      <w:szCs w:val="21"/>
                    </w:rPr>
                    <w:t>符合</w:t>
                  </w:r>
                </w:p>
              </w:tc>
            </w:tr>
          </w:tbl>
          <w:p w14:paraId="59A759AB">
            <w:pPr>
              <w:pStyle w:val="26"/>
              <w:spacing w:after="0" w:line="360" w:lineRule="auto"/>
              <w:ind w:left="0" w:leftChars="0" w:firstLine="480"/>
              <w:rPr>
                <w:rFonts w:hint="eastAsia" w:eastAsia="宋体"/>
                <w:color w:val="auto"/>
                <w:sz w:val="24"/>
                <w:highlight w:val="none"/>
                <w:lang w:val="en-US" w:eastAsia="zh-CN"/>
              </w:rPr>
            </w:pPr>
            <w:r>
              <w:rPr>
                <w:rFonts w:hint="eastAsia" w:eastAsia="宋体"/>
                <w:color w:val="auto"/>
                <w:sz w:val="24"/>
                <w:highlight w:val="none"/>
                <w:lang w:val="en-US" w:eastAsia="zh-CN"/>
              </w:rPr>
              <w:t>综上，该项目建设符合《关于严格项目审批工作坚决防止新上“散乱污”项目的通知》（鲁环字〔2021〕58号）的要求。</w:t>
            </w:r>
          </w:p>
          <w:p w14:paraId="03B6F370">
            <w:pPr>
              <w:keepNext w:val="0"/>
              <w:keepLines w:val="0"/>
              <w:pageBreakBefore w:val="0"/>
              <w:widowControl w:val="0"/>
              <w:numPr>
                <w:ilvl w:val="0"/>
                <w:numId w:val="8"/>
              </w:numPr>
              <w:kinsoku/>
              <w:wordWrap/>
              <w:overflowPunct/>
              <w:topLinePunct w:val="0"/>
              <w:autoSpaceDE/>
              <w:autoSpaceDN/>
              <w:bidi w:val="0"/>
              <w:adjustRightInd/>
              <w:snapToGrid/>
              <w:spacing w:line="360" w:lineRule="auto"/>
              <w:ind w:left="0" w:leftChars="0" w:firstLine="425" w:firstLineChars="0"/>
              <w:textAlignment w:val="auto"/>
              <w:rPr>
                <w:rFonts w:hint="eastAsia"/>
                <w:color w:val="auto"/>
                <w:sz w:val="24"/>
                <w:highlight w:val="none"/>
                <w:lang w:val="en-US" w:eastAsia="zh-CN"/>
              </w:rPr>
            </w:pPr>
            <w:r>
              <w:rPr>
                <w:rFonts w:hint="eastAsia"/>
                <w:color w:val="auto"/>
                <w:sz w:val="24"/>
                <w:highlight w:val="none"/>
                <w:lang w:val="en-US" w:eastAsia="zh-CN"/>
              </w:rPr>
              <w:t>与《山东省扬尘污染综合整治方案》（鲁环发〔2019〕112号）符合性分析</w:t>
            </w:r>
          </w:p>
          <w:p w14:paraId="500C1DEC">
            <w:pPr>
              <w:keepNext w:val="0"/>
              <w:keepLines w:val="0"/>
              <w:pageBreakBefore w:val="0"/>
              <w:widowControl w:val="0"/>
              <w:numPr>
                <w:ilvl w:val="0"/>
                <w:numId w:val="9"/>
              </w:numPr>
              <w:kinsoku/>
              <w:wordWrap/>
              <w:overflowPunct/>
              <w:topLinePunct w:val="0"/>
              <w:autoSpaceDE w:val="0"/>
              <w:autoSpaceDN w:val="0"/>
              <w:bidi w:val="0"/>
              <w:adjustRightInd w:val="0"/>
              <w:snapToGrid/>
              <w:spacing w:line="360" w:lineRule="auto"/>
              <w:ind w:left="3150" w:leftChars="0" w:hanging="3110" w:firstLineChars="0"/>
              <w:jc w:val="center"/>
              <w:textAlignment w:val="auto"/>
              <w:rPr>
                <w:rFonts w:hint="eastAsia" w:ascii="宋体" w:hAnsi="宋体" w:eastAsia="宋体" w:cs="宋体"/>
                <w:b/>
                <w:bCs/>
                <w:color w:val="auto"/>
                <w:kern w:val="0"/>
                <w:sz w:val="24"/>
                <w:szCs w:val="24"/>
                <w:lang w:val="en-US" w:eastAsia="zh-CN" w:bidi="ar"/>
              </w:rPr>
            </w:pPr>
            <w:r>
              <w:rPr>
                <w:rFonts w:hint="eastAsia" w:ascii="宋体" w:hAnsi="宋体" w:eastAsia="宋体" w:cs="宋体"/>
                <w:b/>
                <w:bCs/>
                <w:color w:val="auto"/>
                <w:kern w:val="0"/>
                <w:sz w:val="24"/>
                <w:szCs w:val="24"/>
                <w:lang w:val="en-US" w:eastAsia="zh-CN" w:bidi="ar"/>
              </w:rPr>
              <w:t>与鲁环发〔2019〕112号文符合性分析</w:t>
            </w:r>
          </w:p>
          <w:tbl>
            <w:tblPr>
              <w:tblStyle w:val="89"/>
              <w:tblW w:w="4996" w:type="pct"/>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0" w:type="dxa"/>
                <w:bottom w:w="0" w:type="dxa"/>
                <w:right w:w="0" w:type="dxa"/>
              </w:tblCellMar>
            </w:tblPr>
            <w:tblGrid>
              <w:gridCol w:w="630"/>
              <w:gridCol w:w="5798"/>
              <w:gridCol w:w="1221"/>
            </w:tblGrid>
            <w:tr w14:paraId="4E56462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77" w:hRule="atLeast"/>
              </w:trPr>
              <w:tc>
                <w:tcPr>
                  <w:tcW w:w="412" w:type="pct"/>
                  <w:vAlign w:val="center"/>
                </w:tcPr>
                <w:p w14:paraId="6F8E8461">
                  <w:pPr>
                    <w:pStyle w:val="90"/>
                    <w:keepNext w:val="0"/>
                    <w:keepLines w:val="0"/>
                    <w:pageBreakBefore/>
                    <w:widowControl/>
                    <w:kinsoku/>
                    <w:wordWrap w:val="0"/>
                    <w:overflowPunct/>
                    <w:topLinePunct w:val="0"/>
                    <w:autoSpaceDE/>
                    <w:autoSpaceDN/>
                    <w:bidi w:val="0"/>
                    <w:adjustRightInd/>
                    <w:snapToGrid/>
                    <w:spacing w:line="240" w:lineRule="auto"/>
                    <w:ind w:left="0" w:right="0" w:firstLine="0"/>
                    <w:jc w:val="center"/>
                    <w:textAlignment w:val="auto"/>
                    <w:rPr>
                      <w:b/>
                      <w:bCs/>
                      <w:color w:val="auto"/>
                      <w:spacing w:val="0"/>
                      <w:position w:val="0"/>
                      <w:sz w:val="21"/>
                      <w:szCs w:val="21"/>
                    </w:rPr>
                  </w:pPr>
                  <w:r>
                    <w:rPr>
                      <w:b/>
                      <w:bCs/>
                      <w:color w:val="auto"/>
                      <w:spacing w:val="0"/>
                      <w:position w:val="0"/>
                      <w:sz w:val="21"/>
                      <w:szCs w:val="21"/>
                    </w:rPr>
                    <w:t>分类</w:t>
                  </w:r>
                </w:p>
              </w:tc>
              <w:tc>
                <w:tcPr>
                  <w:tcW w:w="3789" w:type="pct"/>
                  <w:vAlign w:val="center"/>
                </w:tcPr>
                <w:p w14:paraId="0D50030B">
                  <w:pPr>
                    <w:pStyle w:val="90"/>
                    <w:keepNext w:val="0"/>
                    <w:keepLines w:val="0"/>
                    <w:pageBreakBefore/>
                    <w:widowControl/>
                    <w:kinsoku/>
                    <w:wordWrap w:val="0"/>
                    <w:overflowPunct/>
                    <w:topLinePunct w:val="0"/>
                    <w:autoSpaceDE/>
                    <w:autoSpaceDN/>
                    <w:bidi w:val="0"/>
                    <w:adjustRightInd/>
                    <w:snapToGrid/>
                    <w:spacing w:line="240" w:lineRule="auto"/>
                    <w:ind w:left="0" w:right="0" w:firstLine="0"/>
                    <w:jc w:val="center"/>
                    <w:textAlignment w:val="auto"/>
                    <w:rPr>
                      <w:b/>
                      <w:bCs/>
                      <w:color w:val="auto"/>
                      <w:spacing w:val="0"/>
                      <w:position w:val="0"/>
                      <w:sz w:val="21"/>
                      <w:szCs w:val="21"/>
                    </w:rPr>
                  </w:pPr>
                  <w:r>
                    <w:rPr>
                      <w:b/>
                      <w:bCs/>
                      <w:color w:val="auto"/>
                      <w:spacing w:val="0"/>
                      <w:position w:val="0"/>
                      <w:sz w:val="21"/>
                      <w:szCs w:val="21"/>
                    </w:rPr>
                    <w:t>文件要求</w:t>
                  </w:r>
                </w:p>
              </w:tc>
              <w:tc>
                <w:tcPr>
                  <w:tcW w:w="798" w:type="pct"/>
                  <w:vAlign w:val="center"/>
                </w:tcPr>
                <w:p w14:paraId="24469690">
                  <w:pPr>
                    <w:pStyle w:val="90"/>
                    <w:keepNext w:val="0"/>
                    <w:keepLines w:val="0"/>
                    <w:pageBreakBefore/>
                    <w:widowControl/>
                    <w:kinsoku/>
                    <w:wordWrap w:val="0"/>
                    <w:overflowPunct/>
                    <w:topLinePunct w:val="0"/>
                    <w:autoSpaceDE/>
                    <w:autoSpaceDN/>
                    <w:bidi w:val="0"/>
                    <w:adjustRightInd/>
                    <w:snapToGrid/>
                    <w:spacing w:line="240" w:lineRule="auto"/>
                    <w:ind w:left="0" w:right="0" w:firstLine="0"/>
                    <w:jc w:val="center"/>
                    <w:textAlignment w:val="auto"/>
                    <w:rPr>
                      <w:b/>
                      <w:bCs/>
                      <w:color w:val="auto"/>
                      <w:spacing w:val="0"/>
                      <w:position w:val="0"/>
                      <w:sz w:val="21"/>
                      <w:szCs w:val="21"/>
                    </w:rPr>
                  </w:pPr>
                  <w:r>
                    <w:rPr>
                      <w:b/>
                      <w:bCs/>
                      <w:color w:val="auto"/>
                      <w:spacing w:val="0"/>
                      <w:position w:val="0"/>
                      <w:sz w:val="21"/>
                      <w:szCs w:val="21"/>
                    </w:rPr>
                    <w:t>符合性分析</w:t>
                  </w:r>
                </w:p>
              </w:tc>
            </w:tr>
            <w:tr w14:paraId="5E4BDF2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65" w:hRule="atLeast"/>
              </w:trPr>
              <w:tc>
                <w:tcPr>
                  <w:tcW w:w="412" w:type="pct"/>
                  <w:vAlign w:val="center"/>
                </w:tcPr>
                <w:p w14:paraId="68A19DC7">
                  <w:pPr>
                    <w:pStyle w:val="90"/>
                    <w:keepNext w:val="0"/>
                    <w:keepLines w:val="0"/>
                    <w:pageBreakBefore/>
                    <w:widowControl/>
                    <w:kinsoku/>
                    <w:wordWrap w:val="0"/>
                    <w:overflowPunct/>
                    <w:topLinePunct w:val="0"/>
                    <w:autoSpaceDE/>
                    <w:autoSpaceDN/>
                    <w:bidi w:val="0"/>
                    <w:adjustRightInd/>
                    <w:snapToGrid/>
                    <w:spacing w:line="240" w:lineRule="auto"/>
                    <w:ind w:left="0" w:right="0" w:firstLine="0"/>
                    <w:jc w:val="center"/>
                    <w:textAlignment w:val="auto"/>
                    <w:rPr>
                      <w:color w:val="auto"/>
                      <w:spacing w:val="0"/>
                      <w:position w:val="0"/>
                      <w:sz w:val="21"/>
                      <w:szCs w:val="21"/>
                    </w:rPr>
                  </w:pPr>
                  <w:r>
                    <w:rPr>
                      <w:color w:val="auto"/>
                      <w:spacing w:val="0"/>
                      <w:position w:val="0"/>
                      <w:sz w:val="21"/>
                      <w:szCs w:val="21"/>
                    </w:rPr>
                    <w:t>工业</w:t>
                  </w:r>
                </w:p>
                <w:p w14:paraId="7FA9EC9C">
                  <w:pPr>
                    <w:pStyle w:val="90"/>
                    <w:keepNext w:val="0"/>
                    <w:keepLines w:val="0"/>
                    <w:pageBreakBefore/>
                    <w:widowControl/>
                    <w:kinsoku/>
                    <w:wordWrap w:val="0"/>
                    <w:overflowPunct/>
                    <w:topLinePunct w:val="0"/>
                    <w:autoSpaceDE/>
                    <w:autoSpaceDN/>
                    <w:bidi w:val="0"/>
                    <w:adjustRightInd/>
                    <w:snapToGrid/>
                    <w:spacing w:line="240" w:lineRule="auto"/>
                    <w:ind w:left="0" w:right="0" w:firstLine="0"/>
                    <w:jc w:val="center"/>
                    <w:textAlignment w:val="auto"/>
                    <w:rPr>
                      <w:color w:val="auto"/>
                      <w:spacing w:val="0"/>
                      <w:position w:val="0"/>
                      <w:sz w:val="21"/>
                      <w:szCs w:val="21"/>
                    </w:rPr>
                  </w:pPr>
                  <w:r>
                    <w:rPr>
                      <w:color w:val="auto"/>
                      <w:spacing w:val="0"/>
                      <w:position w:val="0"/>
                      <w:sz w:val="21"/>
                      <w:szCs w:val="21"/>
                    </w:rPr>
                    <w:t>企业</w:t>
                  </w:r>
                </w:p>
                <w:p w14:paraId="4E8B698A">
                  <w:pPr>
                    <w:pStyle w:val="90"/>
                    <w:keepNext w:val="0"/>
                    <w:keepLines w:val="0"/>
                    <w:pageBreakBefore/>
                    <w:widowControl/>
                    <w:kinsoku/>
                    <w:wordWrap w:val="0"/>
                    <w:overflowPunct/>
                    <w:topLinePunct w:val="0"/>
                    <w:autoSpaceDE/>
                    <w:autoSpaceDN/>
                    <w:bidi w:val="0"/>
                    <w:adjustRightInd/>
                    <w:snapToGrid/>
                    <w:spacing w:line="240" w:lineRule="auto"/>
                    <w:ind w:left="0" w:right="0" w:firstLine="0"/>
                    <w:jc w:val="center"/>
                    <w:textAlignment w:val="auto"/>
                    <w:rPr>
                      <w:color w:val="auto"/>
                      <w:spacing w:val="0"/>
                      <w:position w:val="0"/>
                      <w:sz w:val="21"/>
                      <w:szCs w:val="21"/>
                    </w:rPr>
                  </w:pPr>
                  <w:r>
                    <w:rPr>
                      <w:color w:val="auto"/>
                      <w:spacing w:val="0"/>
                      <w:position w:val="0"/>
                      <w:sz w:val="21"/>
                      <w:szCs w:val="21"/>
                    </w:rPr>
                    <w:t>无组</w:t>
                  </w:r>
                </w:p>
                <w:p w14:paraId="161D0400">
                  <w:pPr>
                    <w:pStyle w:val="90"/>
                    <w:keepNext w:val="0"/>
                    <w:keepLines w:val="0"/>
                    <w:pageBreakBefore/>
                    <w:widowControl/>
                    <w:kinsoku/>
                    <w:wordWrap w:val="0"/>
                    <w:overflowPunct/>
                    <w:topLinePunct w:val="0"/>
                    <w:autoSpaceDE/>
                    <w:autoSpaceDN/>
                    <w:bidi w:val="0"/>
                    <w:adjustRightInd/>
                    <w:snapToGrid/>
                    <w:spacing w:line="240" w:lineRule="auto"/>
                    <w:ind w:left="0" w:right="0" w:firstLine="0"/>
                    <w:jc w:val="center"/>
                    <w:textAlignment w:val="auto"/>
                    <w:rPr>
                      <w:color w:val="auto"/>
                      <w:spacing w:val="0"/>
                      <w:position w:val="0"/>
                      <w:sz w:val="21"/>
                      <w:szCs w:val="21"/>
                    </w:rPr>
                  </w:pPr>
                  <w:r>
                    <w:rPr>
                      <w:color w:val="auto"/>
                      <w:spacing w:val="0"/>
                      <w:position w:val="0"/>
                      <w:sz w:val="21"/>
                      <w:szCs w:val="21"/>
                    </w:rPr>
                    <w:t>织排</w:t>
                  </w:r>
                </w:p>
                <w:p w14:paraId="169860C3">
                  <w:pPr>
                    <w:pStyle w:val="90"/>
                    <w:keepNext w:val="0"/>
                    <w:keepLines w:val="0"/>
                    <w:pageBreakBefore/>
                    <w:widowControl/>
                    <w:kinsoku/>
                    <w:wordWrap w:val="0"/>
                    <w:overflowPunct/>
                    <w:topLinePunct w:val="0"/>
                    <w:autoSpaceDE/>
                    <w:autoSpaceDN/>
                    <w:bidi w:val="0"/>
                    <w:adjustRightInd/>
                    <w:snapToGrid/>
                    <w:spacing w:line="240" w:lineRule="auto"/>
                    <w:ind w:left="0" w:right="0" w:firstLine="0"/>
                    <w:jc w:val="center"/>
                    <w:textAlignment w:val="auto"/>
                    <w:rPr>
                      <w:color w:val="auto"/>
                      <w:spacing w:val="0"/>
                      <w:position w:val="0"/>
                      <w:sz w:val="21"/>
                      <w:szCs w:val="21"/>
                    </w:rPr>
                  </w:pPr>
                  <w:r>
                    <w:rPr>
                      <w:color w:val="auto"/>
                      <w:spacing w:val="0"/>
                      <w:position w:val="0"/>
                      <w:sz w:val="21"/>
                      <w:szCs w:val="21"/>
                    </w:rPr>
                    <w:t>放整</w:t>
                  </w:r>
                </w:p>
                <w:p w14:paraId="1A267A6B">
                  <w:pPr>
                    <w:pStyle w:val="90"/>
                    <w:keepNext w:val="0"/>
                    <w:keepLines w:val="0"/>
                    <w:pageBreakBefore/>
                    <w:widowControl/>
                    <w:kinsoku/>
                    <w:wordWrap w:val="0"/>
                    <w:overflowPunct/>
                    <w:topLinePunct w:val="0"/>
                    <w:autoSpaceDE/>
                    <w:autoSpaceDN/>
                    <w:bidi w:val="0"/>
                    <w:adjustRightInd/>
                    <w:snapToGrid/>
                    <w:spacing w:line="240" w:lineRule="auto"/>
                    <w:ind w:left="0" w:right="0" w:firstLine="0"/>
                    <w:jc w:val="center"/>
                    <w:textAlignment w:val="auto"/>
                    <w:rPr>
                      <w:color w:val="auto"/>
                      <w:spacing w:val="0"/>
                      <w:position w:val="0"/>
                      <w:sz w:val="21"/>
                      <w:szCs w:val="21"/>
                    </w:rPr>
                  </w:pPr>
                  <w:r>
                    <w:rPr>
                      <w:color w:val="auto"/>
                      <w:spacing w:val="0"/>
                      <w:position w:val="0"/>
                      <w:sz w:val="21"/>
                      <w:szCs w:val="21"/>
                    </w:rPr>
                    <w:t>治</w:t>
                  </w:r>
                </w:p>
              </w:tc>
              <w:tc>
                <w:tcPr>
                  <w:tcW w:w="3789" w:type="pct"/>
                  <w:vAlign w:val="center"/>
                </w:tcPr>
                <w:p w14:paraId="18D89103">
                  <w:pPr>
                    <w:pStyle w:val="90"/>
                    <w:keepNext w:val="0"/>
                    <w:keepLines w:val="0"/>
                    <w:pageBreakBefore/>
                    <w:widowControl/>
                    <w:kinsoku/>
                    <w:wordWrap w:val="0"/>
                    <w:overflowPunct/>
                    <w:topLinePunct w:val="0"/>
                    <w:autoSpaceDE/>
                    <w:autoSpaceDN/>
                    <w:bidi w:val="0"/>
                    <w:adjustRightInd/>
                    <w:snapToGrid/>
                    <w:spacing w:line="240" w:lineRule="auto"/>
                    <w:ind w:left="0" w:right="0" w:firstLine="0"/>
                    <w:jc w:val="center"/>
                    <w:textAlignment w:val="auto"/>
                    <w:rPr>
                      <w:color w:val="auto"/>
                      <w:spacing w:val="0"/>
                      <w:position w:val="0"/>
                      <w:sz w:val="21"/>
                      <w:szCs w:val="21"/>
                    </w:rPr>
                  </w:pPr>
                  <w:r>
                    <w:rPr>
                      <w:color w:val="auto"/>
                      <w:spacing w:val="0"/>
                      <w:position w:val="0"/>
                      <w:sz w:val="21"/>
                      <w:szCs w:val="21"/>
                    </w:rPr>
                    <w:t>开展钢铁、建材、有色、火电、焦化、铸造等重点行业及燃煤锅炉无组织排放排查，建立管理台账，对物料（含废渣）运输、装卸、储存、转移和工艺过程等无组织排放实施深度治理。物料运输应采用车厢密闭或者覆盖，防止沿途抛洒和飞扬。厂区出入口应配备车轮清洗装置或者采取其他控制措施。装卸过程中，应配备除尘设施，同时采取洒水喷淋措施。物料储存应采用入棚、入仓储存，棚内应设有喷淋装置。涉及锅炉物料（含废渣）企业，储煤场应采用封闭储存。</w:t>
                  </w:r>
                  <w:r>
                    <w:rPr>
                      <w:rFonts w:hint="eastAsia"/>
                      <w:color w:val="auto"/>
                      <w:spacing w:val="0"/>
                      <w:position w:val="0"/>
                      <w:sz w:val="21"/>
                      <w:szCs w:val="21"/>
                      <w:lang w:val="en-US" w:eastAsia="zh-CN"/>
                    </w:rPr>
                    <w:t>......</w:t>
                  </w:r>
                  <w:r>
                    <w:rPr>
                      <w:color w:val="auto"/>
                      <w:spacing w:val="0"/>
                      <w:position w:val="0"/>
                      <w:sz w:val="21"/>
                      <w:szCs w:val="21"/>
                    </w:rPr>
                    <w:t>能密闭的，应当设置不低于堆放物高度的严密围挡，并采取有效覆盖措施防治扬尘污染。工业企业生产过程中，上料系统应密闭运行，生产设备、废气收集、除尘收集系统应同步运行，确保废气有效收集。上料系统、生产设备、废气收集系统或者污染治理设施发生故障或者检修时，应停止运转对应的生产工艺设备，待检修完毕后投入使用。</w:t>
                  </w:r>
                </w:p>
              </w:tc>
              <w:tc>
                <w:tcPr>
                  <w:tcW w:w="798" w:type="pct"/>
                  <w:vAlign w:val="center"/>
                </w:tcPr>
                <w:p w14:paraId="4E6DDA58">
                  <w:pPr>
                    <w:pStyle w:val="90"/>
                    <w:keepNext w:val="0"/>
                    <w:keepLines w:val="0"/>
                    <w:pageBreakBefore/>
                    <w:widowControl/>
                    <w:kinsoku/>
                    <w:wordWrap w:val="0"/>
                    <w:overflowPunct/>
                    <w:topLinePunct w:val="0"/>
                    <w:autoSpaceDE/>
                    <w:autoSpaceDN/>
                    <w:bidi w:val="0"/>
                    <w:adjustRightInd/>
                    <w:snapToGrid/>
                    <w:spacing w:line="240" w:lineRule="auto"/>
                    <w:ind w:left="0" w:right="0" w:firstLine="0"/>
                    <w:jc w:val="center"/>
                    <w:textAlignment w:val="auto"/>
                    <w:rPr>
                      <w:rFonts w:hint="eastAsia"/>
                      <w:color w:val="auto"/>
                      <w:spacing w:val="0"/>
                      <w:position w:val="0"/>
                      <w:sz w:val="21"/>
                      <w:szCs w:val="21"/>
                      <w:lang w:val="en-US" w:eastAsia="zh-CN"/>
                    </w:rPr>
                  </w:pPr>
                  <w:r>
                    <w:rPr>
                      <w:rFonts w:hint="eastAsia"/>
                      <w:color w:val="auto"/>
                      <w:spacing w:val="0"/>
                      <w:position w:val="0"/>
                      <w:sz w:val="21"/>
                      <w:szCs w:val="21"/>
                      <w:lang w:val="en-US" w:eastAsia="zh-CN"/>
                    </w:rPr>
                    <w:t>本项目不属于左侧所列行业</w:t>
                  </w:r>
                  <w:r>
                    <w:rPr>
                      <w:rFonts w:hint="eastAsia"/>
                      <w:color w:val="auto"/>
                      <w:spacing w:val="0"/>
                      <w:position w:val="0"/>
                      <w:sz w:val="21"/>
                      <w:szCs w:val="21"/>
                      <w:lang w:eastAsia="zh-CN"/>
                    </w:rPr>
                    <w:t>。</w:t>
                  </w:r>
                  <w:r>
                    <w:rPr>
                      <w:color w:val="auto"/>
                      <w:spacing w:val="0"/>
                      <w:position w:val="0"/>
                      <w:sz w:val="21"/>
                      <w:szCs w:val="21"/>
                    </w:rPr>
                    <w:t>物料运输均采取密闭措施，物料均在仓库内存放，无露天堆存。</w:t>
                  </w:r>
                  <w:r>
                    <w:rPr>
                      <w:rFonts w:hint="eastAsia"/>
                      <w:color w:val="auto"/>
                      <w:spacing w:val="0"/>
                      <w:position w:val="0"/>
                      <w:sz w:val="21"/>
                      <w:szCs w:val="21"/>
                      <w:lang w:val="en-US" w:eastAsia="zh-CN"/>
                    </w:rPr>
                    <w:t>废气收集及治理设施同步运行，定期检修。</w:t>
                  </w:r>
                </w:p>
                <w:p w14:paraId="43D54D7E">
                  <w:pPr>
                    <w:pStyle w:val="90"/>
                    <w:keepNext w:val="0"/>
                    <w:keepLines w:val="0"/>
                    <w:pageBreakBefore/>
                    <w:widowControl/>
                    <w:kinsoku/>
                    <w:wordWrap w:val="0"/>
                    <w:overflowPunct/>
                    <w:topLinePunct w:val="0"/>
                    <w:autoSpaceDE/>
                    <w:autoSpaceDN/>
                    <w:bidi w:val="0"/>
                    <w:adjustRightInd/>
                    <w:snapToGrid/>
                    <w:spacing w:line="240" w:lineRule="auto"/>
                    <w:ind w:left="0" w:right="0" w:firstLine="0"/>
                    <w:jc w:val="center"/>
                    <w:textAlignment w:val="auto"/>
                    <w:rPr>
                      <w:color w:val="auto"/>
                      <w:spacing w:val="0"/>
                      <w:position w:val="0"/>
                      <w:sz w:val="21"/>
                      <w:szCs w:val="21"/>
                    </w:rPr>
                  </w:pPr>
                  <w:r>
                    <w:rPr>
                      <w:color w:val="auto"/>
                      <w:spacing w:val="0"/>
                      <w:position w:val="0"/>
                      <w:sz w:val="21"/>
                      <w:szCs w:val="21"/>
                    </w:rPr>
                    <w:t>符合</w:t>
                  </w:r>
                </w:p>
              </w:tc>
            </w:tr>
            <w:tr w14:paraId="7586F41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909" w:hRule="atLeast"/>
              </w:trPr>
              <w:tc>
                <w:tcPr>
                  <w:tcW w:w="412" w:type="pct"/>
                  <w:vAlign w:val="center"/>
                </w:tcPr>
                <w:p w14:paraId="01EB39DE">
                  <w:pPr>
                    <w:pStyle w:val="90"/>
                    <w:keepNext w:val="0"/>
                    <w:keepLines w:val="0"/>
                    <w:pageBreakBefore/>
                    <w:widowControl/>
                    <w:kinsoku/>
                    <w:wordWrap w:val="0"/>
                    <w:overflowPunct/>
                    <w:topLinePunct w:val="0"/>
                    <w:autoSpaceDE/>
                    <w:autoSpaceDN/>
                    <w:bidi w:val="0"/>
                    <w:adjustRightInd/>
                    <w:snapToGrid/>
                    <w:spacing w:line="240" w:lineRule="auto"/>
                    <w:ind w:left="0" w:right="0" w:firstLine="0"/>
                    <w:jc w:val="center"/>
                    <w:textAlignment w:val="auto"/>
                    <w:rPr>
                      <w:color w:val="auto"/>
                      <w:spacing w:val="0"/>
                      <w:position w:val="0"/>
                      <w:sz w:val="21"/>
                      <w:szCs w:val="21"/>
                    </w:rPr>
                  </w:pPr>
                  <w:r>
                    <w:rPr>
                      <w:color w:val="auto"/>
                      <w:spacing w:val="0"/>
                      <w:position w:val="0"/>
                      <w:sz w:val="21"/>
                      <w:szCs w:val="21"/>
                    </w:rPr>
                    <w:t>各类</w:t>
                  </w:r>
                </w:p>
                <w:p w14:paraId="7A10AC54">
                  <w:pPr>
                    <w:pStyle w:val="90"/>
                    <w:keepNext w:val="0"/>
                    <w:keepLines w:val="0"/>
                    <w:pageBreakBefore/>
                    <w:widowControl/>
                    <w:kinsoku/>
                    <w:wordWrap w:val="0"/>
                    <w:overflowPunct/>
                    <w:topLinePunct w:val="0"/>
                    <w:autoSpaceDE/>
                    <w:autoSpaceDN/>
                    <w:bidi w:val="0"/>
                    <w:adjustRightInd/>
                    <w:snapToGrid/>
                    <w:spacing w:line="240" w:lineRule="auto"/>
                    <w:ind w:left="0" w:right="0" w:firstLine="0"/>
                    <w:jc w:val="center"/>
                    <w:textAlignment w:val="auto"/>
                    <w:rPr>
                      <w:color w:val="auto"/>
                      <w:spacing w:val="0"/>
                      <w:position w:val="0"/>
                      <w:sz w:val="21"/>
                      <w:szCs w:val="21"/>
                    </w:rPr>
                  </w:pPr>
                  <w:r>
                    <w:rPr>
                      <w:color w:val="auto"/>
                      <w:spacing w:val="0"/>
                      <w:position w:val="0"/>
                      <w:sz w:val="21"/>
                      <w:szCs w:val="21"/>
                    </w:rPr>
                    <w:t>露天</w:t>
                  </w:r>
                </w:p>
                <w:p w14:paraId="388290A9">
                  <w:pPr>
                    <w:pStyle w:val="90"/>
                    <w:keepNext w:val="0"/>
                    <w:keepLines w:val="0"/>
                    <w:pageBreakBefore/>
                    <w:widowControl/>
                    <w:kinsoku/>
                    <w:wordWrap w:val="0"/>
                    <w:overflowPunct/>
                    <w:topLinePunct w:val="0"/>
                    <w:autoSpaceDE/>
                    <w:autoSpaceDN/>
                    <w:bidi w:val="0"/>
                    <w:adjustRightInd/>
                    <w:snapToGrid/>
                    <w:spacing w:line="240" w:lineRule="auto"/>
                    <w:ind w:left="0" w:right="0" w:firstLine="0"/>
                    <w:jc w:val="center"/>
                    <w:textAlignment w:val="auto"/>
                    <w:rPr>
                      <w:color w:val="auto"/>
                      <w:spacing w:val="0"/>
                      <w:position w:val="0"/>
                      <w:sz w:val="21"/>
                      <w:szCs w:val="21"/>
                    </w:rPr>
                  </w:pPr>
                  <w:r>
                    <w:rPr>
                      <w:color w:val="auto"/>
                      <w:spacing w:val="0"/>
                      <w:position w:val="0"/>
                      <w:sz w:val="21"/>
                      <w:szCs w:val="21"/>
                    </w:rPr>
                    <w:t>堆场</w:t>
                  </w:r>
                </w:p>
                <w:p w14:paraId="7D13C390">
                  <w:pPr>
                    <w:pStyle w:val="90"/>
                    <w:keepNext w:val="0"/>
                    <w:keepLines w:val="0"/>
                    <w:pageBreakBefore/>
                    <w:widowControl/>
                    <w:kinsoku/>
                    <w:wordWrap w:val="0"/>
                    <w:overflowPunct/>
                    <w:topLinePunct w:val="0"/>
                    <w:autoSpaceDE/>
                    <w:autoSpaceDN/>
                    <w:bidi w:val="0"/>
                    <w:adjustRightInd/>
                    <w:snapToGrid/>
                    <w:spacing w:line="240" w:lineRule="auto"/>
                    <w:ind w:left="0" w:right="0" w:firstLine="0"/>
                    <w:jc w:val="center"/>
                    <w:textAlignment w:val="auto"/>
                    <w:rPr>
                      <w:color w:val="auto"/>
                      <w:spacing w:val="0"/>
                      <w:position w:val="0"/>
                      <w:sz w:val="21"/>
                      <w:szCs w:val="21"/>
                    </w:rPr>
                  </w:pPr>
                  <w:r>
                    <w:rPr>
                      <w:color w:val="auto"/>
                      <w:spacing w:val="0"/>
                      <w:position w:val="0"/>
                      <w:sz w:val="21"/>
                      <w:szCs w:val="21"/>
                    </w:rPr>
                    <w:t>扬尘</w:t>
                  </w:r>
                </w:p>
                <w:p w14:paraId="53359C8A">
                  <w:pPr>
                    <w:pStyle w:val="90"/>
                    <w:keepNext w:val="0"/>
                    <w:keepLines w:val="0"/>
                    <w:pageBreakBefore/>
                    <w:widowControl/>
                    <w:kinsoku/>
                    <w:wordWrap w:val="0"/>
                    <w:overflowPunct/>
                    <w:topLinePunct w:val="0"/>
                    <w:autoSpaceDE/>
                    <w:autoSpaceDN/>
                    <w:bidi w:val="0"/>
                    <w:adjustRightInd/>
                    <w:snapToGrid/>
                    <w:spacing w:line="240" w:lineRule="auto"/>
                    <w:ind w:left="0" w:right="0" w:firstLine="0"/>
                    <w:jc w:val="center"/>
                    <w:textAlignment w:val="auto"/>
                    <w:rPr>
                      <w:color w:val="auto"/>
                      <w:spacing w:val="0"/>
                      <w:position w:val="0"/>
                      <w:sz w:val="21"/>
                      <w:szCs w:val="21"/>
                    </w:rPr>
                  </w:pPr>
                  <w:r>
                    <w:rPr>
                      <w:color w:val="auto"/>
                      <w:spacing w:val="0"/>
                      <w:position w:val="0"/>
                      <w:sz w:val="21"/>
                      <w:szCs w:val="21"/>
                    </w:rPr>
                    <w:t>污染</w:t>
                  </w:r>
                </w:p>
                <w:p w14:paraId="483C2BF0">
                  <w:pPr>
                    <w:pStyle w:val="90"/>
                    <w:keepNext w:val="0"/>
                    <w:keepLines w:val="0"/>
                    <w:pageBreakBefore/>
                    <w:widowControl/>
                    <w:kinsoku/>
                    <w:wordWrap w:val="0"/>
                    <w:overflowPunct/>
                    <w:topLinePunct w:val="0"/>
                    <w:autoSpaceDE/>
                    <w:autoSpaceDN/>
                    <w:bidi w:val="0"/>
                    <w:adjustRightInd/>
                    <w:snapToGrid/>
                    <w:spacing w:line="240" w:lineRule="auto"/>
                    <w:ind w:left="0" w:right="0" w:firstLine="0"/>
                    <w:jc w:val="center"/>
                    <w:textAlignment w:val="auto"/>
                    <w:rPr>
                      <w:color w:val="auto"/>
                      <w:spacing w:val="0"/>
                      <w:position w:val="0"/>
                      <w:sz w:val="21"/>
                      <w:szCs w:val="21"/>
                    </w:rPr>
                  </w:pPr>
                  <w:r>
                    <w:rPr>
                      <w:color w:val="auto"/>
                      <w:spacing w:val="0"/>
                      <w:position w:val="0"/>
                      <w:sz w:val="21"/>
                      <w:szCs w:val="21"/>
                    </w:rPr>
                    <w:t>整治</w:t>
                  </w:r>
                </w:p>
              </w:tc>
              <w:tc>
                <w:tcPr>
                  <w:tcW w:w="3789" w:type="pct"/>
                  <w:vAlign w:val="center"/>
                </w:tcPr>
                <w:p w14:paraId="163216B7">
                  <w:pPr>
                    <w:pStyle w:val="90"/>
                    <w:keepNext w:val="0"/>
                    <w:keepLines w:val="0"/>
                    <w:pageBreakBefore/>
                    <w:widowControl/>
                    <w:kinsoku/>
                    <w:wordWrap w:val="0"/>
                    <w:overflowPunct/>
                    <w:topLinePunct w:val="0"/>
                    <w:autoSpaceDE/>
                    <w:autoSpaceDN/>
                    <w:bidi w:val="0"/>
                    <w:adjustRightInd/>
                    <w:snapToGrid/>
                    <w:spacing w:line="240" w:lineRule="auto"/>
                    <w:ind w:left="0" w:right="0" w:firstLine="0"/>
                    <w:jc w:val="center"/>
                    <w:textAlignment w:val="auto"/>
                    <w:rPr>
                      <w:color w:val="auto"/>
                      <w:spacing w:val="0"/>
                      <w:position w:val="0"/>
                      <w:sz w:val="21"/>
                      <w:szCs w:val="21"/>
                    </w:rPr>
                  </w:pPr>
                  <w:r>
                    <w:rPr>
                      <w:color w:val="auto"/>
                      <w:spacing w:val="0"/>
                      <w:position w:val="0"/>
                      <w:sz w:val="21"/>
                      <w:szCs w:val="21"/>
                    </w:rPr>
                    <w:t>工业企业堆场料场，应按照“空中防扬散、地面防流失、底下防渗漏”的标准控制扬尘污染，安装在线监测设施，厂区路面硬化，采用防风抑尘网或者封闭料场（仓、棚、库），并采取喷淋等抑尘措施。港口、码头、露天矿山、垃圾填埋场、建筑垃圾消纳场等应采取苫盖、喷淋、道路硬化等防治扬尘污染措施，安装在线监测设施，设置车辆清洗设施。重污染天气应急期间，按要求严格落实各项应急减排措施。</w:t>
                  </w:r>
                </w:p>
              </w:tc>
              <w:tc>
                <w:tcPr>
                  <w:tcW w:w="798" w:type="pct"/>
                  <w:vAlign w:val="center"/>
                </w:tcPr>
                <w:p w14:paraId="3F57ACE2">
                  <w:pPr>
                    <w:pStyle w:val="90"/>
                    <w:keepNext w:val="0"/>
                    <w:keepLines w:val="0"/>
                    <w:pageBreakBefore/>
                    <w:widowControl/>
                    <w:kinsoku/>
                    <w:wordWrap w:val="0"/>
                    <w:overflowPunct/>
                    <w:topLinePunct w:val="0"/>
                    <w:autoSpaceDE/>
                    <w:autoSpaceDN/>
                    <w:bidi w:val="0"/>
                    <w:adjustRightInd/>
                    <w:snapToGrid/>
                    <w:spacing w:line="240" w:lineRule="auto"/>
                    <w:ind w:left="0" w:right="0" w:firstLine="0"/>
                    <w:jc w:val="center"/>
                    <w:textAlignment w:val="auto"/>
                    <w:rPr>
                      <w:color w:val="auto"/>
                      <w:spacing w:val="0"/>
                      <w:position w:val="0"/>
                      <w:sz w:val="21"/>
                      <w:szCs w:val="21"/>
                    </w:rPr>
                  </w:pPr>
                  <w:r>
                    <w:rPr>
                      <w:rFonts w:hint="eastAsia"/>
                      <w:color w:val="auto"/>
                      <w:spacing w:val="0"/>
                      <w:position w:val="0"/>
                      <w:sz w:val="21"/>
                      <w:szCs w:val="21"/>
                      <w:lang w:val="en-US" w:eastAsia="zh-CN"/>
                    </w:rPr>
                    <w:t>本项目危废均在仓库内密封贮存，不涉及露天堆场</w:t>
                  </w:r>
                  <w:r>
                    <w:rPr>
                      <w:color w:val="auto"/>
                      <w:spacing w:val="0"/>
                      <w:position w:val="0"/>
                      <w:sz w:val="21"/>
                      <w:szCs w:val="21"/>
                    </w:rPr>
                    <w:t>。符合</w:t>
                  </w:r>
                </w:p>
              </w:tc>
            </w:tr>
          </w:tbl>
          <w:p w14:paraId="39DDD7F0">
            <w:pPr>
              <w:keepNext w:val="0"/>
              <w:keepLines w:val="0"/>
              <w:pageBreakBefore w:val="0"/>
              <w:widowControl w:val="0"/>
              <w:numPr>
                <w:ilvl w:val="0"/>
                <w:numId w:val="8"/>
              </w:numPr>
              <w:kinsoku/>
              <w:wordWrap/>
              <w:overflowPunct/>
              <w:topLinePunct w:val="0"/>
              <w:autoSpaceDE/>
              <w:autoSpaceDN/>
              <w:bidi w:val="0"/>
              <w:adjustRightInd/>
              <w:snapToGrid/>
              <w:spacing w:line="360" w:lineRule="auto"/>
              <w:ind w:left="0" w:leftChars="0" w:firstLine="425" w:firstLineChars="0"/>
              <w:textAlignment w:val="auto"/>
              <w:rPr>
                <w:rFonts w:hint="eastAsia"/>
                <w:color w:val="auto"/>
                <w:sz w:val="24"/>
                <w:highlight w:val="none"/>
                <w:lang w:val="en-US" w:eastAsia="zh-CN"/>
              </w:rPr>
            </w:pPr>
            <w:r>
              <w:rPr>
                <w:rFonts w:hint="eastAsia"/>
                <w:color w:val="auto"/>
                <w:sz w:val="24"/>
                <w:highlight w:val="none"/>
                <w:lang w:val="en-US" w:eastAsia="zh-CN"/>
              </w:rPr>
              <w:t>与《山东省扬尘污染整治专项行动方案》符合性分析</w:t>
            </w:r>
          </w:p>
          <w:p w14:paraId="6B57BE10">
            <w:pPr>
              <w:keepNext w:val="0"/>
              <w:keepLines w:val="0"/>
              <w:pageBreakBefore w:val="0"/>
              <w:widowControl w:val="0"/>
              <w:numPr>
                <w:ilvl w:val="0"/>
                <w:numId w:val="9"/>
              </w:numPr>
              <w:kinsoku/>
              <w:wordWrap/>
              <w:overflowPunct/>
              <w:topLinePunct w:val="0"/>
              <w:autoSpaceDE w:val="0"/>
              <w:autoSpaceDN w:val="0"/>
              <w:bidi w:val="0"/>
              <w:adjustRightInd w:val="0"/>
              <w:snapToGrid/>
              <w:spacing w:line="360" w:lineRule="auto"/>
              <w:ind w:left="3150" w:leftChars="0" w:hanging="3110" w:firstLineChars="0"/>
              <w:jc w:val="center"/>
              <w:textAlignment w:val="auto"/>
              <w:rPr>
                <w:rFonts w:hint="eastAsia" w:ascii="宋体" w:hAnsi="宋体" w:eastAsia="宋体" w:cs="宋体"/>
                <w:b/>
                <w:bCs/>
                <w:color w:val="auto"/>
                <w:kern w:val="0"/>
                <w:sz w:val="24"/>
                <w:szCs w:val="24"/>
                <w:lang w:val="en-US" w:eastAsia="zh-CN" w:bidi="ar"/>
              </w:rPr>
            </w:pPr>
            <w:r>
              <w:rPr>
                <w:rFonts w:hint="eastAsia" w:ascii="宋体" w:hAnsi="宋体" w:eastAsia="宋体" w:cs="宋体"/>
                <w:b/>
                <w:bCs/>
                <w:color w:val="auto"/>
                <w:kern w:val="0"/>
                <w:sz w:val="24"/>
                <w:szCs w:val="24"/>
                <w:lang w:val="en-US" w:eastAsia="zh-CN" w:bidi="ar"/>
              </w:rPr>
              <w:t>与《山东省扬尘污染整治专项行动方案》符合性分析</w:t>
            </w:r>
          </w:p>
          <w:tbl>
            <w:tblPr>
              <w:tblStyle w:val="89"/>
              <w:tblW w:w="4994" w:type="pct"/>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0" w:type="dxa"/>
                <w:bottom w:w="0" w:type="dxa"/>
                <w:right w:w="0" w:type="dxa"/>
              </w:tblCellMar>
            </w:tblPr>
            <w:tblGrid>
              <w:gridCol w:w="627"/>
              <w:gridCol w:w="5748"/>
              <w:gridCol w:w="1271"/>
            </w:tblGrid>
            <w:tr w14:paraId="0D2F4F5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78" w:hRule="atLeast"/>
              </w:trPr>
              <w:tc>
                <w:tcPr>
                  <w:tcW w:w="410" w:type="pct"/>
                  <w:vAlign w:val="top"/>
                </w:tcPr>
                <w:p w14:paraId="6BFD9CFA">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b/>
                      <w:bCs/>
                      <w:color w:val="auto"/>
                      <w:spacing w:val="0"/>
                      <w:position w:val="0"/>
                      <w:sz w:val="21"/>
                      <w:szCs w:val="21"/>
                    </w:rPr>
                  </w:pPr>
                  <w:r>
                    <w:rPr>
                      <w:rFonts w:ascii="宋体" w:hAnsi="宋体" w:eastAsia="宋体" w:cs="宋体"/>
                      <w:b/>
                      <w:bCs/>
                      <w:color w:val="auto"/>
                      <w:spacing w:val="0"/>
                      <w:position w:val="0"/>
                      <w:sz w:val="21"/>
                      <w:szCs w:val="21"/>
                    </w:rPr>
                    <w:t>分类</w:t>
                  </w:r>
                </w:p>
              </w:tc>
              <w:tc>
                <w:tcPr>
                  <w:tcW w:w="3758" w:type="pct"/>
                  <w:vAlign w:val="top"/>
                </w:tcPr>
                <w:p w14:paraId="7CD0F7FC">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b/>
                      <w:bCs/>
                      <w:color w:val="auto"/>
                      <w:spacing w:val="0"/>
                      <w:position w:val="0"/>
                      <w:sz w:val="21"/>
                      <w:szCs w:val="21"/>
                    </w:rPr>
                  </w:pPr>
                  <w:r>
                    <w:rPr>
                      <w:rFonts w:ascii="宋体" w:hAnsi="宋体" w:eastAsia="宋体" w:cs="宋体"/>
                      <w:b/>
                      <w:bCs/>
                      <w:color w:val="auto"/>
                      <w:spacing w:val="0"/>
                      <w:position w:val="0"/>
                      <w:sz w:val="21"/>
                      <w:szCs w:val="21"/>
                    </w:rPr>
                    <w:t>文件要求</w:t>
                  </w:r>
                </w:p>
              </w:tc>
              <w:tc>
                <w:tcPr>
                  <w:tcW w:w="831" w:type="pct"/>
                  <w:vAlign w:val="top"/>
                </w:tcPr>
                <w:p w14:paraId="6BB9AC5E">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b/>
                      <w:bCs/>
                      <w:color w:val="auto"/>
                      <w:spacing w:val="0"/>
                      <w:position w:val="0"/>
                      <w:sz w:val="21"/>
                      <w:szCs w:val="21"/>
                    </w:rPr>
                  </w:pPr>
                  <w:r>
                    <w:rPr>
                      <w:rFonts w:ascii="宋体" w:hAnsi="宋体" w:eastAsia="宋体" w:cs="宋体"/>
                      <w:b/>
                      <w:bCs/>
                      <w:color w:val="auto"/>
                      <w:spacing w:val="0"/>
                      <w:position w:val="0"/>
                      <w:sz w:val="21"/>
                      <w:szCs w:val="21"/>
                    </w:rPr>
                    <w:t>符合性分析</w:t>
                  </w:r>
                </w:p>
              </w:tc>
            </w:tr>
            <w:tr w14:paraId="702D826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13" w:hRule="atLeast"/>
              </w:trPr>
              <w:tc>
                <w:tcPr>
                  <w:tcW w:w="410" w:type="pct"/>
                  <w:vMerge w:val="restart"/>
                  <w:vAlign w:val="center"/>
                </w:tcPr>
                <w:p w14:paraId="08C81151">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pacing w:val="0"/>
                      <w:position w:val="0"/>
                      <w:sz w:val="21"/>
                      <w:szCs w:val="21"/>
                    </w:rPr>
                  </w:pPr>
                  <w:r>
                    <w:rPr>
                      <w:rFonts w:ascii="宋体" w:hAnsi="宋体" w:eastAsia="宋体" w:cs="宋体"/>
                      <w:color w:val="auto"/>
                      <w:spacing w:val="0"/>
                      <w:position w:val="0"/>
                      <w:sz w:val="21"/>
                      <w:szCs w:val="21"/>
                    </w:rPr>
                    <w:t>整治</w:t>
                  </w:r>
                </w:p>
                <w:p w14:paraId="4D7207F5">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pacing w:val="0"/>
                      <w:position w:val="0"/>
                      <w:sz w:val="21"/>
                      <w:szCs w:val="21"/>
                    </w:rPr>
                  </w:pPr>
                  <w:r>
                    <w:rPr>
                      <w:rFonts w:ascii="宋体" w:hAnsi="宋体" w:eastAsia="宋体" w:cs="宋体"/>
                      <w:color w:val="auto"/>
                      <w:spacing w:val="0"/>
                      <w:position w:val="0"/>
                      <w:sz w:val="21"/>
                      <w:szCs w:val="21"/>
                    </w:rPr>
                    <w:t>要求</w:t>
                  </w:r>
                </w:p>
              </w:tc>
              <w:tc>
                <w:tcPr>
                  <w:tcW w:w="3758" w:type="pct"/>
                  <w:vAlign w:val="top"/>
                </w:tcPr>
                <w:p w14:paraId="3E2778E1">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pacing w:val="-6"/>
                      <w:position w:val="0"/>
                      <w:sz w:val="21"/>
                      <w:szCs w:val="21"/>
                    </w:rPr>
                  </w:pPr>
                  <w:r>
                    <w:rPr>
                      <w:rFonts w:ascii="宋体" w:hAnsi="宋体" w:eastAsia="宋体" w:cs="宋体"/>
                      <w:color w:val="auto"/>
                      <w:spacing w:val="-6"/>
                      <w:position w:val="0"/>
                      <w:sz w:val="21"/>
                      <w:szCs w:val="21"/>
                    </w:rPr>
                    <w:t>非重污染天气应急期间，对照《山东省扬尘污染综合整治方案》和国家、省针对各类扬尘源出台的标准、文件要求，坚持边排查、边整治、边见效的原则，组织对扬尘污染源开展拉网式排查。对排查发现的扬尘污染问题及时督促整改，并持续加强督导，确保扬尘污染问题不出现反弹。重污染天气应急期间，对扬尘污染源实行分类管控，加大督导检查力度，确保纳入应急减排清单的扬尘源严格落实应急减排措施、纳入保障清单的施工工地严格落实扬尘污染管控要求。</w:t>
                  </w:r>
                </w:p>
              </w:tc>
              <w:tc>
                <w:tcPr>
                  <w:tcW w:w="831" w:type="pct"/>
                  <w:vMerge w:val="restart"/>
                  <w:vAlign w:val="center"/>
                </w:tcPr>
                <w:p w14:paraId="10DA34C4">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pacing w:val="0"/>
                      <w:position w:val="0"/>
                      <w:sz w:val="21"/>
                      <w:szCs w:val="21"/>
                    </w:rPr>
                  </w:pPr>
                  <w:r>
                    <w:rPr>
                      <w:rFonts w:ascii="宋体" w:hAnsi="宋体" w:eastAsia="宋体" w:cs="宋体"/>
                      <w:color w:val="auto"/>
                      <w:spacing w:val="0"/>
                      <w:position w:val="0"/>
                      <w:sz w:val="21"/>
                      <w:szCs w:val="21"/>
                    </w:rPr>
                    <w:t>项目运输车辆均按照要求采取密闭措施，按照规定的路线、时间行驶，</w:t>
                  </w:r>
                  <w:r>
                    <w:rPr>
                      <w:rFonts w:hint="eastAsia" w:cs="宋体"/>
                      <w:color w:val="auto"/>
                      <w:spacing w:val="0"/>
                      <w:position w:val="0"/>
                      <w:sz w:val="21"/>
                      <w:szCs w:val="21"/>
                      <w:lang w:val="en-US" w:eastAsia="zh-CN"/>
                    </w:rPr>
                    <w:t>施工</w:t>
                  </w:r>
                  <w:r>
                    <w:rPr>
                      <w:rFonts w:ascii="宋体" w:hAnsi="宋体" w:eastAsia="宋体" w:cs="宋体"/>
                      <w:color w:val="auto"/>
                      <w:spacing w:val="0"/>
                      <w:position w:val="0"/>
                      <w:sz w:val="21"/>
                      <w:szCs w:val="21"/>
                    </w:rPr>
                    <w:t>物料均</w:t>
                  </w:r>
                  <w:r>
                    <w:rPr>
                      <w:rFonts w:hint="eastAsia" w:cs="宋体"/>
                      <w:color w:val="auto"/>
                      <w:spacing w:val="0"/>
                      <w:position w:val="0"/>
                      <w:sz w:val="21"/>
                      <w:szCs w:val="21"/>
                      <w:lang w:val="en-US" w:eastAsia="zh-CN"/>
                    </w:rPr>
                    <w:t>进行苫盖，定期洒水</w:t>
                  </w:r>
                  <w:r>
                    <w:rPr>
                      <w:rFonts w:ascii="宋体" w:hAnsi="宋体" w:eastAsia="宋体" w:cs="宋体"/>
                      <w:color w:val="auto"/>
                      <w:spacing w:val="0"/>
                      <w:position w:val="0"/>
                      <w:sz w:val="21"/>
                      <w:szCs w:val="21"/>
                    </w:rPr>
                    <w:t>，厂区内道路均</w:t>
                  </w:r>
                  <w:r>
                    <w:rPr>
                      <w:rFonts w:hint="eastAsia" w:cs="宋体"/>
                      <w:color w:val="auto"/>
                      <w:spacing w:val="0"/>
                      <w:position w:val="0"/>
                      <w:sz w:val="21"/>
                      <w:szCs w:val="21"/>
                      <w:lang w:val="en-US" w:eastAsia="zh-CN"/>
                    </w:rPr>
                    <w:t>按要求</w:t>
                  </w:r>
                  <w:r>
                    <w:rPr>
                      <w:rFonts w:ascii="宋体" w:hAnsi="宋体" w:eastAsia="宋体" w:cs="宋体"/>
                      <w:color w:val="auto"/>
                      <w:spacing w:val="0"/>
                      <w:position w:val="0"/>
                      <w:sz w:val="21"/>
                      <w:szCs w:val="21"/>
                    </w:rPr>
                    <w:t>硬化。符合</w:t>
                  </w:r>
                </w:p>
              </w:tc>
            </w:tr>
            <w:tr w14:paraId="6BE4060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18" w:hRule="atLeast"/>
              </w:trPr>
              <w:tc>
                <w:tcPr>
                  <w:tcW w:w="410" w:type="pct"/>
                  <w:vMerge w:val="continue"/>
                  <w:vAlign w:val="top"/>
                </w:tcPr>
                <w:p w14:paraId="2C8B1ACD">
                  <w:pPr>
                    <w:pStyle w:val="90"/>
                    <w:spacing w:line="229" w:lineRule="auto"/>
                    <w:ind w:left="142"/>
                    <w:rPr>
                      <w:color w:val="FF0000"/>
                      <w:spacing w:val="4"/>
                      <w:sz w:val="21"/>
                      <w:szCs w:val="21"/>
                    </w:rPr>
                  </w:pPr>
                </w:p>
              </w:tc>
              <w:tc>
                <w:tcPr>
                  <w:tcW w:w="3758" w:type="pct"/>
                  <w:vAlign w:val="top"/>
                </w:tcPr>
                <w:p w14:paraId="6587446C">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pacing w:val="-6"/>
                      <w:position w:val="0"/>
                      <w:sz w:val="21"/>
                      <w:szCs w:val="21"/>
                    </w:rPr>
                  </w:pPr>
                  <w:r>
                    <w:rPr>
                      <w:rFonts w:ascii="宋体" w:hAnsi="宋体" w:eastAsia="宋体" w:cs="宋体"/>
                      <w:color w:val="auto"/>
                      <w:spacing w:val="-6"/>
                      <w:position w:val="0"/>
                      <w:sz w:val="21"/>
                      <w:szCs w:val="21"/>
                    </w:rPr>
                    <w:t>建筑、拆除工地以有渣土车出入的工地为整治重点</w:t>
                  </w:r>
                  <w:r>
                    <w:rPr>
                      <w:rFonts w:hint="eastAsia" w:ascii="宋体" w:hAnsi="宋体" w:eastAsia="宋体" w:cs="宋体"/>
                      <w:color w:val="auto"/>
                      <w:spacing w:val="-6"/>
                      <w:position w:val="0"/>
                      <w:sz w:val="21"/>
                      <w:szCs w:val="21"/>
                      <w:lang w:eastAsia="zh-CN"/>
                    </w:rPr>
                    <w:t>；</w:t>
                  </w:r>
                  <w:r>
                    <w:rPr>
                      <w:rFonts w:ascii="宋体" w:hAnsi="宋体" w:eastAsia="宋体" w:cs="宋体"/>
                      <w:color w:val="auto"/>
                      <w:spacing w:val="-6"/>
                      <w:position w:val="0"/>
                      <w:sz w:val="21"/>
                      <w:szCs w:val="21"/>
                    </w:rPr>
                    <w:t>道路以渣土车经过路段为整治重点</w:t>
                  </w:r>
                  <w:r>
                    <w:rPr>
                      <w:rFonts w:hint="eastAsia" w:ascii="宋体" w:hAnsi="宋体" w:eastAsia="宋体" w:cs="宋体"/>
                      <w:color w:val="auto"/>
                      <w:spacing w:val="-6"/>
                      <w:position w:val="0"/>
                      <w:sz w:val="21"/>
                      <w:szCs w:val="21"/>
                      <w:lang w:eastAsia="zh-CN"/>
                    </w:rPr>
                    <w:t>；</w:t>
                  </w:r>
                  <w:r>
                    <w:rPr>
                      <w:rFonts w:ascii="宋体" w:hAnsi="宋体" w:eastAsia="宋体" w:cs="宋体"/>
                      <w:color w:val="auto"/>
                      <w:spacing w:val="-6"/>
                      <w:position w:val="0"/>
                      <w:sz w:val="21"/>
                      <w:szCs w:val="21"/>
                    </w:rPr>
                    <w:t>市政、公路、水利等线性工地和露天矿山、港口码头、工业企业料场堆场应尽可能减少作业面，并加强苫盖</w:t>
                  </w:r>
                  <w:r>
                    <w:rPr>
                      <w:rFonts w:hint="eastAsia" w:ascii="宋体" w:hAnsi="宋体" w:eastAsia="宋体" w:cs="宋体"/>
                      <w:color w:val="auto"/>
                      <w:spacing w:val="-6"/>
                      <w:position w:val="0"/>
                      <w:sz w:val="21"/>
                      <w:szCs w:val="21"/>
                      <w:lang w:eastAsia="zh-CN"/>
                    </w:rPr>
                    <w:t>；</w:t>
                  </w:r>
                  <w:r>
                    <w:rPr>
                      <w:rFonts w:ascii="宋体" w:hAnsi="宋体" w:eastAsia="宋体" w:cs="宋体"/>
                      <w:color w:val="auto"/>
                      <w:spacing w:val="-6"/>
                      <w:position w:val="0"/>
                      <w:sz w:val="21"/>
                      <w:szCs w:val="21"/>
                    </w:rPr>
                    <w:t>石料加工企业应提高烟粉尘收集除尘效率，确保加工过程中无可见烟粉尘。</w:t>
                  </w:r>
                </w:p>
              </w:tc>
              <w:tc>
                <w:tcPr>
                  <w:tcW w:w="831" w:type="pct"/>
                  <w:vMerge w:val="continue"/>
                  <w:vAlign w:val="top"/>
                </w:tcPr>
                <w:p w14:paraId="718EA0D5">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pacing w:val="0"/>
                      <w:position w:val="0"/>
                      <w:sz w:val="21"/>
                      <w:szCs w:val="21"/>
                    </w:rPr>
                  </w:pPr>
                </w:p>
              </w:tc>
            </w:tr>
          </w:tbl>
          <w:p w14:paraId="7A1EB732">
            <w:pPr>
              <w:keepNext w:val="0"/>
              <w:keepLines w:val="0"/>
              <w:pageBreakBefore w:val="0"/>
              <w:widowControl w:val="0"/>
              <w:numPr>
                <w:ilvl w:val="0"/>
                <w:numId w:val="8"/>
              </w:numPr>
              <w:kinsoku/>
              <w:wordWrap/>
              <w:overflowPunct/>
              <w:topLinePunct w:val="0"/>
              <w:autoSpaceDE/>
              <w:autoSpaceDN/>
              <w:bidi w:val="0"/>
              <w:adjustRightInd/>
              <w:snapToGrid/>
              <w:spacing w:line="360" w:lineRule="auto"/>
              <w:ind w:left="0" w:leftChars="0" w:firstLine="425" w:firstLineChars="0"/>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与《山东省人民政府关于印发&lt; 山东省空气质量持续改善暨第三轮“四减四增”行动实施方案&gt;的通知》（鲁政字[2024]102号）符合性分析</w:t>
            </w:r>
          </w:p>
          <w:p w14:paraId="0BEC53C9">
            <w:pPr>
              <w:keepNext w:val="0"/>
              <w:keepLines w:val="0"/>
              <w:pageBreakBefore w:val="0"/>
              <w:widowControl w:val="0"/>
              <w:numPr>
                <w:ilvl w:val="0"/>
                <w:numId w:val="9"/>
              </w:numPr>
              <w:kinsoku/>
              <w:wordWrap/>
              <w:overflowPunct/>
              <w:topLinePunct w:val="0"/>
              <w:autoSpaceDE w:val="0"/>
              <w:autoSpaceDN w:val="0"/>
              <w:bidi w:val="0"/>
              <w:adjustRightInd w:val="0"/>
              <w:snapToGrid/>
              <w:spacing w:line="360" w:lineRule="auto"/>
              <w:ind w:left="3150" w:leftChars="0" w:hanging="3110" w:firstLineChars="0"/>
              <w:jc w:val="center"/>
              <w:textAlignment w:val="auto"/>
              <w:rPr>
                <w:rFonts w:hint="eastAsia" w:ascii="宋体" w:hAnsi="宋体" w:eastAsia="宋体" w:cs="宋体"/>
                <w:b/>
                <w:bCs/>
                <w:color w:val="auto"/>
                <w:kern w:val="0"/>
                <w:sz w:val="24"/>
                <w:szCs w:val="24"/>
                <w:lang w:val="en-US" w:eastAsia="zh-CN" w:bidi="ar"/>
              </w:rPr>
            </w:pPr>
            <w:r>
              <w:rPr>
                <w:rFonts w:hint="eastAsia" w:ascii="宋体" w:hAnsi="宋体" w:eastAsia="宋体" w:cs="宋体"/>
                <w:b/>
                <w:bCs/>
                <w:color w:val="auto"/>
                <w:kern w:val="0"/>
                <w:sz w:val="24"/>
                <w:szCs w:val="24"/>
                <w:lang w:val="en-US" w:eastAsia="zh-CN" w:bidi="ar"/>
              </w:rPr>
              <w:t>与鲁政字[2024]102号符合性分析</w:t>
            </w:r>
          </w:p>
          <w:tbl>
            <w:tblPr>
              <w:tblStyle w:val="89"/>
              <w:tblW w:w="4999"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494"/>
              <w:gridCol w:w="5237"/>
              <w:gridCol w:w="1932"/>
            </w:tblGrid>
            <w:tr w14:paraId="11DE264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1" w:hRule="atLeast"/>
              </w:trPr>
              <w:tc>
                <w:tcPr>
                  <w:tcW w:w="322" w:type="pct"/>
                  <w:vAlign w:val="top"/>
                </w:tcPr>
                <w:p w14:paraId="51599FEF">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pacing w:val="0"/>
                      <w:position w:val="0"/>
                      <w:sz w:val="21"/>
                      <w:szCs w:val="21"/>
                    </w:rPr>
                  </w:pPr>
                  <w:r>
                    <w:rPr>
                      <w:rFonts w:ascii="宋体" w:hAnsi="宋体" w:eastAsia="宋体" w:cs="宋体"/>
                      <w:color w:val="auto"/>
                      <w:spacing w:val="0"/>
                      <w:position w:val="0"/>
                      <w:sz w:val="21"/>
                      <w:szCs w:val="21"/>
                    </w:rPr>
                    <w:t>分类</w:t>
                  </w:r>
                </w:p>
              </w:tc>
              <w:tc>
                <w:tcPr>
                  <w:tcW w:w="3416" w:type="pct"/>
                  <w:vAlign w:val="top"/>
                </w:tcPr>
                <w:p w14:paraId="200D878B">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pacing w:val="0"/>
                      <w:position w:val="0"/>
                      <w:sz w:val="21"/>
                      <w:szCs w:val="21"/>
                    </w:rPr>
                  </w:pPr>
                  <w:r>
                    <w:rPr>
                      <w:rFonts w:ascii="宋体" w:hAnsi="宋体" w:eastAsia="宋体" w:cs="宋体"/>
                      <w:color w:val="auto"/>
                      <w:spacing w:val="0"/>
                      <w:position w:val="0"/>
                      <w:sz w:val="21"/>
                      <w:szCs w:val="21"/>
                    </w:rPr>
                    <w:t>文件要求</w:t>
                  </w:r>
                </w:p>
              </w:tc>
              <w:tc>
                <w:tcPr>
                  <w:tcW w:w="1260" w:type="pct"/>
                  <w:vAlign w:val="top"/>
                </w:tcPr>
                <w:p w14:paraId="40076DF6">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pacing w:val="0"/>
                      <w:position w:val="0"/>
                      <w:sz w:val="21"/>
                      <w:szCs w:val="21"/>
                    </w:rPr>
                  </w:pPr>
                  <w:r>
                    <w:rPr>
                      <w:rFonts w:ascii="宋体" w:hAnsi="宋体" w:eastAsia="宋体" w:cs="宋体"/>
                      <w:color w:val="auto"/>
                      <w:spacing w:val="0"/>
                      <w:position w:val="0"/>
                      <w:sz w:val="21"/>
                      <w:szCs w:val="21"/>
                    </w:rPr>
                    <w:t>符合性分析</w:t>
                  </w:r>
                </w:p>
              </w:tc>
            </w:tr>
            <w:tr w14:paraId="778A25B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37" w:hRule="atLeast"/>
              </w:trPr>
              <w:tc>
                <w:tcPr>
                  <w:tcW w:w="322" w:type="pct"/>
                  <w:vMerge w:val="restart"/>
                  <w:tcBorders>
                    <w:bottom w:val="nil"/>
                  </w:tcBorders>
                  <w:vAlign w:val="center"/>
                </w:tcPr>
                <w:p w14:paraId="22FA9001">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pacing w:val="0"/>
                      <w:position w:val="0"/>
                      <w:sz w:val="21"/>
                      <w:szCs w:val="21"/>
                    </w:rPr>
                  </w:pPr>
                  <w:r>
                    <w:rPr>
                      <w:rFonts w:ascii="宋体" w:hAnsi="宋体" w:eastAsia="宋体" w:cs="宋体"/>
                      <w:color w:val="auto"/>
                      <w:spacing w:val="0"/>
                      <w:position w:val="0"/>
                      <w:sz w:val="21"/>
                      <w:szCs w:val="21"/>
                    </w:rPr>
                    <w:t>产业结构</w:t>
                  </w:r>
                </w:p>
                <w:p w14:paraId="5B3D2EAE">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pacing w:val="0"/>
                      <w:position w:val="0"/>
                      <w:sz w:val="21"/>
                      <w:szCs w:val="21"/>
                    </w:rPr>
                  </w:pPr>
                  <w:r>
                    <w:rPr>
                      <w:rFonts w:ascii="宋体" w:hAnsi="宋体" w:eastAsia="宋体" w:cs="宋体"/>
                      <w:color w:val="auto"/>
                      <w:spacing w:val="0"/>
                      <w:position w:val="0"/>
                      <w:sz w:val="21"/>
                      <w:szCs w:val="21"/>
                    </w:rPr>
                    <w:t>绿色升级</w:t>
                  </w:r>
                </w:p>
                <w:p w14:paraId="48B38C71">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pacing w:val="0"/>
                      <w:position w:val="0"/>
                      <w:sz w:val="21"/>
                      <w:szCs w:val="21"/>
                    </w:rPr>
                  </w:pPr>
                  <w:r>
                    <w:rPr>
                      <w:rFonts w:ascii="宋体" w:hAnsi="宋体" w:eastAsia="宋体" w:cs="宋体"/>
                      <w:color w:val="auto"/>
                      <w:spacing w:val="0"/>
                      <w:position w:val="0"/>
                      <w:sz w:val="21"/>
                      <w:szCs w:val="21"/>
                    </w:rPr>
                    <w:t>行动</w:t>
                  </w:r>
                </w:p>
              </w:tc>
              <w:tc>
                <w:tcPr>
                  <w:tcW w:w="3416" w:type="pct"/>
                  <w:vAlign w:val="top"/>
                </w:tcPr>
                <w:p w14:paraId="63A9BEB1">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pacing w:val="0"/>
                      <w:position w:val="0"/>
                      <w:sz w:val="21"/>
                      <w:szCs w:val="21"/>
                    </w:rPr>
                  </w:pPr>
                  <w:r>
                    <w:rPr>
                      <w:rFonts w:ascii="宋体" w:hAnsi="宋体" w:eastAsia="宋体" w:cs="宋体"/>
                      <w:color w:val="auto"/>
                      <w:spacing w:val="0"/>
                      <w:position w:val="0"/>
                      <w:sz w:val="21"/>
                      <w:szCs w:val="21"/>
                    </w:rPr>
                    <w:t>（一）严格环境准入。坚决遏制高耗能、高排放、低水平项目盲目上马，新、改、扩建项目严格落实国家和省产业规划、产业政策、生态环境分区管控方案、规划环评、项目环评、规划水土保持审查、节能审查、产能置换、重点污染物总量控制、污染物排放区域削减、碳排放达峰目标等相关要求，原则上采用清洁运输方式。涉及产能置换的项目，被置换产能及其配套设施关停后，新建项目方可投产。</w:t>
                  </w:r>
                </w:p>
              </w:tc>
              <w:tc>
                <w:tcPr>
                  <w:tcW w:w="1260" w:type="pct"/>
                  <w:vAlign w:val="center"/>
                </w:tcPr>
                <w:p w14:paraId="302A2821">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pacing w:val="0"/>
                      <w:position w:val="0"/>
                      <w:sz w:val="21"/>
                      <w:szCs w:val="21"/>
                    </w:rPr>
                  </w:pPr>
                  <w:r>
                    <w:rPr>
                      <w:rFonts w:ascii="宋体" w:hAnsi="宋体" w:eastAsia="宋体" w:cs="宋体"/>
                      <w:color w:val="auto"/>
                      <w:spacing w:val="0"/>
                      <w:position w:val="0"/>
                      <w:sz w:val="21"/>
                      <w:szCs w:val="21"/>
                    </w:rPr>
                    <w:t>本项目不属于高耗能、高排放、低水平项目，不涉及产能置换。项目将严格落实相关要求。</w:t>
                  </w:r>
                </w:p>
                <w:p w14:paraId="5DB3CAB9">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pacing w:val="0"/>
                      <w:position w:val="0"/>
                      <w:sz w:val="21"/>
                      <w:szCs w:val="21"/>
                    </w:rPr>
                  </w:pPr>
                  <w:r>
                    <w:rPr>
                      <w:rFonts w:ascii="宋体" w:hAnsi="宋体" w:eastAsia="宋体" w:cs="宋体"/>
                      <w:color w:val="auto"/>
                      <w:spacing w:val="0"/>
                      <w:position w:val="0"/>
                      <w:sz w:val="21"/>
                      <w:szCs w:val="21"/>
                    </w:rPr>
                    <w:t>符合</w:t>
                  </w:r>
                </w:p>
              </w:tc>
            </w:tr>
            <w:tr w14:paraId="2775779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477" w:hRule="atLeast"/>
              </w:trPr>
              <w:tc>
                <w:tcPr>
                  <w:tcW w:w="322" w:type="pct"/>
                  <w:vMerge w:val="continue"/>
                  <w:tcBorders>
                    <w:top w:val="nil"/>
                    <w:bottom w:val="nil"/>
                  </w:tcBorders>
                  <w:vAlign w:val="top"/>
                </w:tcPr>
                <w:p w14:paraId="78A0C0D8">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pacing w:val="0"/>
                      <w:position w:val="0"/>
                      <w:sz w:val="21"/>
                      <w:szCs w:val="21"/>
                    </w:rPr>
                  </w:pPr>
                </w:p>
              </w:tc>
              <w:tc>
                <w:tcPr>
                  <w:tcW w:w="3416" w:type="pct"/>
                  <w:vAlign w:val="top"/>
                </w:tcPr>
                <w:p w14:paraId="19469E7A">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pacing w:val="0"/>
                      <w:position w:val="0"/>
                      <w:sz w:val="21"/>
                      <w:szCs w:val="21"/>
                    </w:rPr>
                  </w:pPr>
                  <w:r>
                    <w:rPr>
                      <w:rFonts w:ascii="宋体" w:hAnsi="宋体" w:eastAsia="宋体" w:cs="宋体"/>
                      <w:color w:val="auto"/>
                      <w:spacing w:val="0"/>
                      <w:position w:val="0"/>
                      <w:sz w:val="21"/>
                      <w:szCs w:val="21"/>
                    </w:rPr>
                    <w:t>（二）优化调整重点行业结构。重点区域进一步提高落后产能能耗、环保、质量、安全、技术等要求，逐步退出限制类涉气行业工艺和装备；逐步淘汰步进式烧结机和球团竖炉以及半封闭式硅锰合金、镍铁、高碳铬铁、高碳锰铁电炉。引导钢铁、水泥、焦化、电解铝等产业有序调整优化。到2025年，2500吨/日水泥熟料生产线（特种水泥熟料和化工配套水泥熟料生产线除外）全部整合退出。2024年年底前，济宁、滨州、菏泽3市完成焦化退出装置关停；2025年6月底前，济南、枣庄、潍坊、泰安、日照、德州6市完成焦化退出装置关停，全省焦化装置产能压减至3300 万吨左右。</w:t>
                  </w:r>
                </w:p>
              </w:tc>
              <w:tc>
                <w:tcPr>
                  <w:tcW w:w="1260" w:type="pct"/>
                  <w:vAlign w:val="center"/>
                </w:tcPr>
                <w:p w14:paraId="22FE5B42">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pacing w:val="0"/>
                      <w:position w:val="0"/>
                      <w:sz w:val="21"/>
                      <w:szCs w:val="21"/>
                    </w:rPr>
                  </w:pPr>
                  <w:r>
                    <w:rPr>
                      <w:rFonts w:ascii="宋体" w:hAnsi="宋体" w:eastAsia="宋体" w:cs="宋体"/>
                      <w:color w:val="auto"/>
                      <w:spacing w:val="0"/>
                      <w:position w:val="0"/>
                      <w:sz w:val="21"/>
                      <w:szCs w:val="21"/>
                    </w:rPr>
                    <w:t>本项目不属于限制类涉气行业。</w:t>
                  </w:r>
                </w:p>
                <w:p w14:paraId="1AAE5A7F">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pacing w:val="0"/>
                      <w:position w:val="0"/>
                      <w:sz w:val="21"/>
                      <w:szCs w:val="21"/>
                    </w:rPr>
                  </w:pPr>
                  <w:r>
                    <w:rPr>
                      <w:rFonts w:ascii="宋体" w:hAnsi="宋体" w:eastAsia="宋体" w:cs="宋体"/>
                      <w:color w:val="auto"/>
                      <w:spacing w:val="0"/>
                      <w:position w:val="0"/>
                      <w:sz w:val="21"/>
                      <w:szCs w:val="21"/>
                    </w:rPr>
                    <w:t>不属于左侧所列行业。</w:t>
                  </w:r>
                </w:p>
                <w:p w14:paraId="183CB458">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pacing w:val="0"/>
                      <w:position w:val="0"/>
                      <w:sz w:val="21"/>
                      <w:szCs w:val="21"/>
                    </w:rPr>
                  </w:pPr>
                  <w:r>
                    <w:rPr>
                      <w:rFonts w:ascii="宋体" w:hAnsi="宋体" w:eastAsia="宋体" w:cs="宋体"/>
                      <w:color w:val="auto"/>
                      <w:spacing w:val="0"/>
                      <w:position w:val="0"/>
                      <w:sz w:val="21"/>
                      <w:szCs w:val="21"/>
                    </w:rPr>
                    <w:t>符合</w:t>
                  </w:r>
                </w:p>
              </w:tc>
            </w:tr>
            <w:tr w14:paraId="16B34A1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20" w:hRule="atLeast"/>
              </w:trPr>
              <w:tc>
                <w:tcPr>
                  <w:tcW w:w="322" w:type="pct"/>
                  <w:vMerge w:val="continue"/>
                  <w:tcBorders>
                    <w:top w:val="nil"/>
                    <w:bottom w:val="nil"/>
                  </w:tcBorders>
                  <w:vAlign w:val="top"/>
                </w:tcPr>
                <w:p w14:paraId="649F0DCD">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pacing w:val="0"/>
                      <w:position w:val="0"/>
                      <w:sz w:val="21"/>
                      <w:szCs w:val="21"/>
                    </w:rPr>
                  </w:pPr>
                </w:p>
              </w:tc>
              <w:tc>
                <w:tcPr>
                  <w:tcW w:w="3416" w:type="pct"/>
                  <w:vAlign w:val="top"/>
                </w:tcPr>
                <w:p w14:paraId="2685E926">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pacing w:val="0"/>
                      <w:position w:val="0"/>
                      <w:sz w:val="21"/>
                      <w:szCs w:val="21"/>
                    </w:rPr>
                  </w:pPr>
                  <w:r>
                    <w:rPr>
                      <w:rFonts w:ascii="宋体" w:hAnsi="宋体" w:eastAsia="宋体" w:cs="宋体"/>
                      <w:color w:val="auto"/>
                      <w:spacing w:val="0"/>
                      <w:position w:val="0"/>
                      <w:sz w:val="21"/>
                      <w:szCs w:val="21"/>
                    </w:rPr>
                    <w:t>（三）开展传统产业集群升级改造。中小型传统制造企业集中的市要制定涉气产业集群发展规划，严格项目审批，严防污染下乡。针对现有产业集群制定专项整治方案，依法淘汰关停一批、搬迁入园一批、就地改造一批、做优做强一批。各市要结合产业集群特点，因地制宜建设集中供热中心、集中喷涂中心、有机溶剂集中回收处置中心、活性炭集中再生中心。</w:t>
                  </w:r>
                </w:p>
              </w:tc>
              <w:tc>
                <w:tcPr>
                  <w:tcW w:w="1260" w:type="pct"/>
                  <w:vAlign w:val="center"/>
                </w:tcPr>
                <w:p w14:paraId="0721EC6D">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pacing w:val="0"/>
                      <w:position w:val="0"/>
                      <w:sz w:val="21"/>
                      <w:szCs w:val="21"/>
                    </w:rPr>
                  </w:pPr>
                  <w:r>
                    <w:rPr>
                      <w:rFonts w:ascii="宋体" w:hAnsi="宋体" w:eastAsia="宋体" w:cs="宋体"/>
                      <w:color w:val="auto"/>
                      <w:spacing w:val="0"/>
                      <w:position w:val="0"/>
                      <w:sz w:val="21"/>
                      <w:szCs w:val="21"/>
                    </w:rPr>
                    <w:t>本项目位于淄博市</w:t>
                  </w:r>
                  <w:r>
                    <w:rPr>
                      <w:rFonts w:hint="eastAsia" w:ascii="宋体" w:hAnsi="宋体" w:eastAsia="宋体" w:cs="宋体"/>
                      <w:color w:val="auto"/>
                      <w:spacing w:val="0"/>
                      <w:position w:val="0"/>
                      <w:sz w:val="21"/>
                      <w:szCs w:val="21"/>
                      <w:lang w:val="en-US" w:eastAsia="zh-CN"/>
                    </w:rPr>
                    <w:t>罗村镇</w:t>
                  </w:r>
                  <w:r>
                    <w:rPr>
                      <w:rFonts w:ascii="宋体" w:hAnsi="宋体" w:eastAsia="宋体" w:cs="宋体"/>
                      <w:color w:val="auto"/>
                      <w:spacing w:val="0"/>
                      <w:position w:val="0"/>
                      <w:sz w:val="21"/>
                      <w:szCs w:val="21"/>
                    </w:rPr>
                    <w:t>，周围均为工厂企业。</w:t>
                  </w:r>
                </w:p>
                <w:p w14:paraId="6327FCED">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pacing w:val="0"/>
                      <w:position w:val="0"/>
                      <w:sz w:val="21"/>
                      <w:szCs w:val="21"/>
                    </w:rPr>
                  </w:pPr>
                  <w:r>
                    <w:rPr>
                      <w:rFonts w:ascii="宋体" w:hAnsi="宋体" w:eastAsia="宋体" w:cs="宋体"/>
                      <w:color w:val="auto"/>
                      <w:spacing w:val="0"/>
                      <w:position w:val="0"/>
                      <w:sz w:val="21"/>
                      <w:szCs w:val="21"/>
                    </w:rPr>
                    <w:t>符合</w:t>
                  </w:r>
                </w:p>
              </w:tc>
            </w:tr>
            <w:tr w14:paraId="32CC4ED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1" w:hRule="atLeast"/>
              </w:trPr>
              <w:tc>
                <w:tcPr>
                  <w:tcW w:w="322" w:type="pct"/>
                  <w:vMerge w:val="continue"/>
                  <w:tcBorders>
                    <w:top w:val="nil"/>
                  </w:tcBorders>
                  <w:vAlign w:val="top"/>
                </w:tcPr>
                <w:p w14:paraId="488335FA">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pacing w:val="0"/>
                      <w:position w:val="0"/>
                      <w:sz w:val="21"/>
                      <w:szCs w:val="21"/>
                    </w:rPr>
                  </w:pPr>
                </w:p>
              </w:tc>
              <w:tc>
                <w:tcPr>
                  <w:tcW w:w="3416" w:type="pct"/>
                  <w:vAlign w:val="top"/>
                </w:tcPr>
                <w:p w14:paraId="1E4D85E3">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pacing w:val="0"/>
                      <w:position w:val="0"/>
                      <w:sz w:val="21"/>
                      <w:szCs w:val="21"/>
                    </w:rPr>
                  </w:pPr>
                  <w:r>
                    <w:rPr>
                      <w:rFonts w:ascii="宋体" w:hAnsi="宋体" w:eastAsia="宋体" w:cs="宋体"/>
                      <w:color w:val="auto"/>
                      <w:spacing w:val="0"/>
                      <w:position w:val="0"/>
                      <w:sz w:val="21"/>
                      <w:szCs w:val="21"/>
                    </w:rPr>
                    <w:t>（四）优化含VOCs原辅材料和产品结构。严格控制生产和使用高 VOCs含量涂料、油墨、胶粘剂、清洗剂等建设项目，提高低（无）VOCs含量产品比重。实施源头替代工程，加大工业涂装、包装印刷和电子行业低（无）VOCs含量原辅材料替代力度。指导企业积极申报VOCs末端治理豁免。在生产、销售、进口、使用等环节严格执行VOCs含量限值标准。</w:t>
                  </w:r>
                </w:p>
              </w:tc>
              <w:tc>
                <w:tcPr>
                  <w:tcW w:w="1260" w:type="pct"/>
                  <w:vAlign w:val="center"/>
                </w:tcPr>
                <w:p w14:paraId="5CA98F5A">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pacing w:val="0"/>
                      <w:position w:val="0"/>
                      <w:sz w:val="21"/>
                      <w:szCs w:val="21"/>
                    </w:rPr>
                  </w:pPr>
                  <w:r>
                    <w:rPr>
                      <w:rFonts w:ascii="宋体" w:hAnsi="宋体" w:eastAsia="宋体" w:cs="宋体"/>
                      <w:color w:val="auto"/>
                      <w:spacing w:val="0"/>
                      <w:position w:val="0"/>
                      <w:sz w:val="21"/>
                      <w:szCs w:val="21"/>
                    </w:rPr>
                    <w:t>本项目不生产和使用高VOCs含量涂料、油墨、胶粘剂、清洗剂。</w:t>
                  </w:r>
                </w:p>
                <w:p w14:paraId="790952C1">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pacing w:val="0"/>
                      <w:position w:val="0"/>
                      <w:sz w:val="21"/>
                      <w:szCs w:val="21"/>
                    </w:rPr>
                  </w:pPr>
                  <w:r>
                    <w:rPr>
                      <w:rFonts w:ascii="宋体" w:hAnsi="宋体" w:eastAsia="宋体" w:cs="宋体"/>
                      <w:color w:val="auto"/>
                      <w:spacing w:val="0"/>
                      <w:position w:val="0"/>
                      <w:sz w:val="21"/>
                      <w:szCs w:val="21"/>
                    </w:rPr>
                    <w:t>符合</w:t>
                  </w:r>
                </w:p>
              </w:tc>
            </w:tr>
          </w:tbl>
          <w:p w14:paraId="491EFB71">
            <w:pPr>
              <w:keepNext w:val="0"/>
              <w:keepLines w:val="0"/>
              <w:pageBreakBefore w:val="0"/>
              <w:widowControl w:val="0"/>
              <w:numPr>
                <w:ilvl w:val="0"/>
                <w:numId w:val="8"/>
              </w:numPr>
              <w:kinsoku/>
              <w:wordWrap/>
              <w:overflowPunct/>
              <w:topLinePunct w:val="0"/>
              <w:autoSpaceDE/>
              <w:autoSpaceDN/>
              <w:bidi w:val="0"/>
              <w:adjustRightInd/>
              <w:snapToGrid/>
              <w:spacing w:line="360" w:lineRule="auto"/>
              <w:ind w:left="0" w:leftChars="0" w:firstLine="425" w:firstLineChars="0"/>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与《</w:t>
            </w:r>
            <w:r>
              <w:rPr>
                <w:rFonts w:hint="eastAsia" w:ascii="Times New Roman" w:hAnsi="Times New Roman" w:eastAsia="宋体" w:cs="Times New Roman"/>
                <w:bCs/>
                <w:color w:val="auto"/>
                <w:sz w:val="24"/>
              </w:rPr>
              <w:t>山东省“两高”项目管理目录（202</w:t>
            </w:r>
            <w:r>
              <w:rPr>
                <w:rFonts w:hint="eastAsia" w:cs="Times New Roman"/>
                <w:bCs/>
                <w:color w:val="auto"/>
                <w:sz w:val="24"/>
                <w:lang w:val="en-US" w:eastAsia="zh-CN"/>
              </w:rPr>
              <w:t>5</w:t>
            </w:r>
            <w:r>
              <w:rPr>
                <w:rFonts w:hint="eastAsia" w:ascii="Times New Roman" w:hAnsi="Times New Roman" w:eastAsia="宋体" w:cs="Times New Roman"/>
                <w:bCs/>
                <w:color w:val="auto"/>
                <w:sz w:val="24"/>
              </w:rPr>
              <w:t>年版）</w:t>
            </w:r>
            <w:r>
              <w:rPr>
                <w:rFonts w:hint="eastAsia" w:ascii="Times New Roman" w:hAnsi="Times New Roman" w:eastAsia="宋体" w:cs="Times New Roman"/>
                <w:color w:val="auto"/>
                <w:sz w:val="24"/>
                <w:highlight w:val="none"/>
                <w:lang w:val="en-US" w:eastAsia="zh-CN"/>
              </w:rPr>
              <w:t>》的符合性</w:t>
            </w:r>
          </w:p>
          <w:p w14:paraId="50E3BAD6">
            <w:pPr>
              <w:pStyle w:val="26"/>
              <w:spacing w:after="0" w:line="360" w:lineRule="auto"/>
              <w:ind w:left="0" w:leftChars="0" w:firstLine="48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对照《山东省“两高”项目管理目录(2025年版)》（山东省发展和改革委员会，2025年8月26日），本项目为危险废物仓储类项目，不属于目录中所列20项产业分类，符合文件要求。</w:t>
            </w:r>
          </w:p>
          <w:p w14:paraId="7B0A2EB0">
            <w:pPr>
              <w:keepNext w:val="0"/>
              <w:keepLines w:val="0"/>
              <w:pageBreakBefore w:val="0"/>
              <w:widowControl w:val="0"/>
              <w:numPr>
                <w:ilvl w:val="0"/>
                <w:numId w:val="8"/>
              </w:numPr>
              <w:kinsoku/>
              <w:wordWrap/>
              <w:overflowPunct/>
              <w:topLinePunct w:val="0"/>
              <w:autoSpaceDE/>
              <w:autoSpaceDN/>
              <w:bidi w:val="0"/>
              <w:adjustRightInd/>
              <w:snapToGrid/>
              <w:spacing w:line="360" w:lineRule="auto"/>
              <w:ind w:left="0" w:leftChars="0" w:firstLine="425" w:firstLineChars="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与《山东省环境保护条例》符合性分析</w:t>
            </w:r>
          </w:p>
          <w:p w14:paraId="65525269">
            <w:pPr>
              <w:keepNext w:val="0"/>
              <w:keepLines w:val="0"/>
              <w:pageBreakBefore w:val="0"/>
              <w:widowControl w:val="0"/>
              <w:numPr>
                <w:ilvl w:val="0"/>
                <w:numId w:val="9"/>
              </w:numPr>
              <w:kinsoku/>
              <w:wordWrap/>
              <w:overflowPunct/>
              <w:topLinePunct w:val="0"/>
              <w:autoSpaceDE w:val="0"/>
              <w:autoSpaceDN w:val="0"/>
              <w:bidi w:val="0"/>
              <w:adjustRightInd w:val="0"/>
              <w:snapToGrid/>
              <w:spacing w:line="360" w:lineRule="auto"/>
              <w:ind w:left="3150" w:leftChars="0" w:hanging="3110" w:firstLineChars="0"/>
              <w:jc w:val="center"/>
              <w:textAlignment w:val="auto"/>
              <w:rPr>
                <w:rFonts w:hint="default" w:ascii="宋体" w:hAnsi="宋体" w:eastAsia="宋体" w:cs="宋体"/>
                <w:b/>
                <w:bCs/>
                <w:color w:val="auto"/>
                <w:kern w:val="0"/>
                <w:sz w:val="24"/>
                <w:szCs w:val="24"/>
                <w:lang w:val="en-US" w:eastAsia="zh-CN" w:bidi="ar"/>
              </w:rPr>
            </w:pPr>
            <w:r>
              <w:rPr>
                <w:rFonts w:hint="default" w:ascii="宋体" w:hAnsi="宋体" w:eastAsia="宋体" w:cs="宋体"/>
                <w:b/>
                <w:bCs/>
                <w:color w:val="auto"/>
                <w:kern w:val="0"/>
                <w:sz w:val="24"/>
                <w:szCs w:val="24"/>
                <w:lang w:val="en-US" w:eastAsia="zh-CN" w:bidi="ar"/>
              </w:rPr>
              <w:t>与《山东省环境保护条例》符合性分析一览表</w:t>
            </w:r>
          </w:p>
          <w:tbl>
            <w:tblPr>
              <w:tblStyle w:val="27"/>
              <w:tblW w:w="499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31"/>
              <w:gridCol w:w="4597"/>
              <w:gridCol w:w="1723"/>
              <w:gridCol w:w="798"/>
            </w:tblGrid>
            <w:tr w14:paraId="5C3C46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3351" w:type="pct"/>
                  <w:gridSpan w:val="2"/>
                  <w:noWrap w:val="0"/>
                  <w:vAlign w:val="center"/>
                </w:tcPr>
                <w:p w14:paraId="4B49D1DC">
                  <w:pPr>
                    <w:widowControl/>
                    <w:jc w:val="center"/>
                    <w:rPr>
                      <w:rFonts w:hint="default" w:ascii="Times New Roman" w:hAnsi="Times New Roman" w:eastAsia="宋体" w:cs="Times New Roman"/>
                      <w:b/>
                      <w:bCs w:val="0"/>
                      <w:color w:val="auto"/>
                      <w:sz w:val="21"/>
                      <w:szCs w:val="21"/>
                      <w:highlight w:val="none"/>
                    </w:rPr>
                  </w:pPr>
                  <w:r>
                    <w:rPr>
                      <w:rFonts w:hint="default" w:ascii="Times New Roman" w:hAnsi="Times New Roman" w:eastAsia="宋体" w:cs="Times New Roman"/>
                      <w:b/>
                      <w:bCs w:val="0"/>
                      <w:color w:val="auto"/>
                      <w:sz w:val="21"/>
                      <w:szCs w:val="21"/>
                      <w:highlight w:val="none"/>
                    </w:rPr>
                    <w:t>文件要求</w:t>
                  </w:r>
                </w:p>
              </w:tc>
              <w:tc>
                <w:tcPr>
                  <w:tcW w:w="1126" w:type="pct"/>
                  <w:noWrap w:val="0"/>
                  <w:vAlign w:val="center"/>
                </w:tcPr>
                <w:p w14:paraId="609EEED9">
                  <w:pPr>
                    <w:widowControl/>
                    <w:jc w:val="center"/>
                    <w:rPr>
                      <w:rFonts w:hint="default" w:ascii="Times New Roman" w:hAnsi="Times New Roman" w:eastAsia="宋体" w:cs="Times New Roman"/>
                      <w:b/>
                      <w:bCs w:val="0"/>
                      <w:color w:val="auto"/>
                      <w:sz w:val="21"/>
                      <w:szCs w:val="21"/>
                      <w:highlight w:val="none"/>
                    </w:rPr>
                  </w:pPr>
                  <w:r>
                    <w:rPr>
                      <w:rFonts w:hint="default" w:ascii="Times New Roman" w:hAnsi="Times New Roman" w:eastAsia="宋体" w:cs="Times New Roman"/>
                      <w:b/>
                      <w:bCs w:val="0"/>
                      <w:color w:val="auto"/>
                      <w:sz w:val="21"/>
                      <w:szCs w:val="21"/>
                      <w:highlight w:val="none"/>
                    </w:rPr>
                    <w:t>项目情况</w:t>
                  </w:r>
                </w:p>
              </w:tc>
              <w:tc>
                <w:tcPr>
                  <w:tcW w:w="521" w:type="pct"/>
                  <w:noWrap w:val="0"/>
                  <w:vAlign w:val="center"/>
                </w:tcPr>
                <w:p w14:paraId="7B725D75">
                  <w:pPr>
                    <w:widowControl/>
                    <w:jc w:val="center"/>
                    <w:rPr>
                      <w:rFonts w:hint="default" w:ascii="Times New Roman" w:hAnsi="Times New Roman" w:eastAsia="宋体" w:cs="Times New Roman"/>
                      <w:b/>
                      <w:bCs w:val="0"/>
                      <w:color w:val="auto"/>
                      <w:sz w:val="21"/>
                      <w:szCs w:val="21"/>
                      <w:highlight w:val="none"/>
                    </w:rPr>
                  </w:pPr>
                  <w:r>
                    <w:rPr>
                      <w:rFonts w:hint="default" w:ascii="Times New Roman" w:hAnsi="Times New Roman" w:eastAsia="宋体" w:cs="Times New Roman"/>
                      <w:b/>
                      <w:bCs w:val="0"/>
                      <w:color w:val="auto"/>
                      <w:sz w:val="21"/>
                      <w:szCs w:val="21"/>
                      <w:highlight w:val="none"/>
                    </w:rPr>
                    <w:t>符合性</w:t>
                  </w:r>
                </w:p>
              </w:tc>
            </w:tr>
            <w:tr w14:paraId="738F7A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7" w:hRule="atLeast"/>
                <w:jc w:val="center"/>
              </w:trPr>
              <w:tc>
                <w:tcPr>
                  <w:tcW w:w="347" w:type="pct"/>
                  <w:vMerge w:val="restart"/>
                  <w:noWrap w:val="0"/>
                  <w:vAlign w:val="center"/>
                </w:tcPr>
                <w:p w14:paraId="46F7A7FE">
                  <w:pPr>
                    <w:widowControl/>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监督管理</w:t>
                  </w:r>
                </w:p>
              </w:tc>
              <w:tc>
                <w:tcPr>
                  <w:tcW w:w="3004" w:type="pct"/>
                  <w:noWrap w:val="0"/>
                  <w:vAlign w:val="center"/>
                </w:tcPr>
                <w:p w14:paraId="742D3D91">
                  <w:pPr>
                    <w:widowControl/>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第十五条</w:t>
                  </w:r>
                  <w:r>
                    <w:rPr>
                      <w:rFonts w:hint="eastAsia" w:cs="Times New Roman"/>
                      <w:bCs/>
                      <w:color w:val="auto"/>
                      <w:sz w:val="21"/>
                      <w:szCs w:val="21"/>
                      <w:highlight w:val="none"/>
                      <w:lang w:val="en-US" w:eastAsia="zh-CN"/>
                    </w:rPr>
                    <w:t xml:space="preserve"> </w:t>
                  </w:r>
                  <w:r>
                    <w:rPr>
                      <w:rFonts w:hint="default" w:ascii="Times New Roman" w:hAnsi="Times New Roman" w:eastAsia="宋体" w:cs="Times New Roman"/>
                      <w:bCs/>
                      <w:color w:val="auto"/>
                      <w:sz w:val="21"/>
                      <w:szCs w:val="21"/>
                      <w:highlight w:val="none"/>
                    </w:rPr>
                    <w:t>禁止建设不符合国家和省产业政策的小型造纸、制革、印染、染料、炼焦、炼硫、炼砷、炼汞、炼油、电镀、农药、石棉、水泥、玻璃、钢铁、火电以及其他严重污染环境的生产项目。已经建设的，由所在地的县级以上人民政府责令拆除或者关闭。</w:t>
                  </w:r>
                </w:p>
              </w:tc>
              <w:tc>
                <w:tcPr>
                  <w:tcW w:w="1126" w:type="pct"/>
                  <w:noWrap w:val="0"/>
                  <w:vAlign w:val="center"/>
                </w:tcPr>
                <w:p w14:paraId="4884EADD">
                  <w:pPr>
                    <w:widowControl/>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本项目符合国家产业政策，不在</w:t>
                  </w:r>
                  <w:r>
                    <w:rPr>
                      <w:rFonts w:hint="eastAsia" w:cs="Times New Roman"/>
                      <w:bCs/>
                      <w:color w:val="auto"/>
                      <w:sz w:val="21"/>
                      <w:szCs w:val="21"/>
                      <w:highlight w:val="none"/>
                      <w:lang w:val="en-US" w:eastAsia="zh-CN"/>
                    </w:rPr>
                    <w:t>左侧所列</w:t>
                  </w:r>
                  <w:r>
                    <w:rPr>
                      <w:rFonts w:hint="default" w:ascii="Times New Roman" w:hAnsi="Times New Roman" w:eastAsia="宋体" w:cs="Times New Roman"/>
                      <w:bCs/>
                      <w:color w:val="auto"/>
                      <w:sz w:val="21"/>
                      <w:szCs w:val="21"/>
                      <w:highlight w:val="none"/>
                    </w:rPr>
                    <w:t>禁止建设项目范围内。</w:t>
                  </w:r>
                </w:p>
              </w:tc>
              <w:tc>
                <w:tcPr>
                  <w:tcW w:w="521" w:type="pct"/>
                  <w:noWrap w:val="0"/>
                  <w:vAlign w:val="center"/>
                </w:tcPr>
                <w:p w14:paraId="3C256BD6">
                  <w:pPr>
                    <w:widowControl/>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符合</w:t>
                  </w:r>
                </w:p>
              </w:tc>
            </w:tr>
            <w:tr w14:paraId="4E54CB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7" w:hRule="atLeast"/>
                <w:jc w:val="center"/>
              </w:trPr>
              <w:tc>
                <w:tcPr>
                  <w:tcW w:w="347" w:type="pct"/>
                  <w:vMerge w:val="continue"/>
                  <w:noWrap w:val="0"/>
                  <w:vAlign w:val="center"/>
                </w:tcPr>
                <w:p w14:paraId="4376880D">
                  <w:pPr>
                    <w:widowControl/>
                    <w:jc w:val="center"/>
                    <w:rPr>
                      <w:rFonts w:hint="default" w:ascii="Times New Roman" w:hAnsi="Times New Roman" w:eastAsia="宋体" w:cs="Times New Roman"/>
                      <w:bCs/>
                      <w:color w:val="FF0000"/>
                      <w:sz w:val="21"/>
                      <w:szCs w:val="21"/>
                      <w:highlight w:val="none"/>
                    </w:rPr>
                  </w:pPr>
                </w:p>
              </w:tc>
              <w:tc>
                <w:tcPr>
                  <w:tcW w:w="3004" w:type="pct"/>
                  <w:noWrap w:val="0"/>
                  <w:vAlign w:val="center"/>
                </w:tcPr>
                <w:p w14:paraId="31C1D020">
                  <w:pPr>
                    <w:widowControl/>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第十六条</w:t>
                  </w:r>
                  <w:r>
                    <w:rPr>
                      <w:rFonts w:hint="eastAsia" w:cs="Times New Roman"/>
                      <w:bCs/>
                      <w:color w:val="auto"/>
                      <w:sz w:val="21"/>
                      <w:szCs w:val="21"/>
                      <w:highlight w:val="none"/>
                      <w:lang w:val="en-US" w:eastAsia="zh-CN"/>
                    </w:rPr>
                    <w:t xml:space="preserve"> </w:t>
                  </w:r>
                  <w:r>
                    <w:rPr>
                      <w:rFonts w:hint="eastAsia" w:ascii="Times New Roman" w:hAnsi="Times New Roman" w:eastAsia="宋体" w:cs="Times New Roman"/>
                      <w:bCs/>
                      <w:color w:val="auto"/>
                      <w:sz w:val="21"/>
                      <w:szCs w:val="21"/>
                      <w:highlight w:val="none"/>
                    </w:rPr>
                    <w:t>实行重点污染物排放总量控制制度。县级以上人民政府生态环境主管部门根据本行政区域重点污染物排放总量控制指标、排污单位现有排放量和改善环境质量的需要，核定排污单位的重点污染物排放总量控制指标。</w:t>
                  </w:r>
                </w:p>
              </w:tc>
              <w:tc>
                <w:tcPr>
                  <w:tcW w:w="1126" w:type="pct"/>
                  <w:noWrap w:val="0"/>
                  <w:vAlign w:val="center"/>
                </w:tcPr>
                <w:p w14:paraId="4E7B2C6C">
                  <w:pPr>
                    <w:widowControl/>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企业无许可排放量</w:t>
                  </w:r>
                </w:p>
              </w:tc>
              <w:tc>
                <w:tcPr>
                  <w:tcW w:w="521" w:type="pct"/>
                  <w:noWrap w:val="0"/>
                  <w:vAlign w:val="center"/>
                </w:tcPr>
                <w:p w14:paraId="33BFF421">
                  <w:pPr>
                    <w:widowControl/>
                    <w:jc w:val="center"/>
                    <w:rPr>
                      <w:rFonts w:hint="eastAsia"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符合</w:t>
                  </w:r>
                </w:p>
              </w:tc>
            </w:tr>
            <w:tr w14:paraId="4D86F1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7" w:hRule="atLeast"/>
                <w:jc w:val="center"/>
              </w:trPr>
              <w:tc>
                <w:tcPr>
                  <w:tcW w:w="347" w:type="pct"/>
                  <w:vMerge w:val="continue"/>
                  <w:noWrap w:val="0"/>
                  <w:vAlign w:val="center"/>
                </w:tcPr>
                <w:p w14:paraId="1AD139BA">
                  <w:pPr>
                    <w:widowControl/>
                    <w:jc w:val="center"/>
                    <w:rPr>
                      <w:rFonts w:hint="default" w:ascii="Times New Roman" w:hAnsi="Times New Roman" w:eastAsia="宋体" w:cs="Times New Roman"/>
                      <w:bCs/>
                      <w:color w:val="FF0000"/>
                      <w:sz w:val="21"/>
                      <w:szCs w:val="21"/>
                      <w:highlight w:val="none"/>
                    </w:rPr>
                  </w:pPr>
                </w:p>
              </w:tc>
              <w:tc>
                <w:tcPr>
                  <w:tcW w:w="3004" w:type="pct"/>
                  <w:noWrap w:val="0"/>
                  <w:vAlign w:val="center"/>
                </w:tcPr>
                <w:p w14:paraId="489ED200">
                  <w:pPr>
                    <w:widowControl/>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第十七条</w:t>
                  </w:r>
                  <w:r>
                    <w:rPr>
                      <w:rFonts w:hint="eastAsia" w:cs="Times New Roman"/>
                      <w:bCs/>
                      <w:color w:val="auto"/>
                      <w:sz w:val="21"/>
                      <w:szCs w:val="21"/>
                      <w:highlight w:val="none"/>
                      <w:lang w:val="en-US" w:eastAsia="zh-CN"/>
                    </w:rPr>
                    <w:t xml:space="preserve"> </w:t>
                  </w:r>
                  <w:r>
                    <w:rPr>
                      <w:rFonts w:hint="default" w:ascii="Times New Roman" w:hAnsi="Times New Roman" w:eastAsia="宋体" w:cs="Times New Roman"/>
                      <w:bCs/>
                      <w:color w:val="auto"/>
                      <w:sz w:val="21"/>
                      <w:szCs w:val="21"/>
                      <w:highlight w:val="none"/>
                    </w:rPr>
                    <w:t>实行排污许可管理制度。纳入排污许可管理目录的排污单位，应当依法申请领取排污许可证。未取得排污许可证的，不得排放污染物。</w:t>
                  </w:r>
                </w:p>
              </w:tc>
              <w:tc>
                <w:tcPr>
                  <w:tcW w:w="1126" w:type="pct"/>
                  <w:noWrap w:val="0"/>
                  <w:vAlign w:val="center"/>
                </w:tcPr>
                <w:p w14:paraId="59855740">
                  <w:pPr>
                    <w:widowControl/>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企业已依法取得排污许可证，</w:t>
                  </w:r>
                  <w:r>
                    <w:rPr>
                      <w:rFonts w:hint="eastAsia" w:ascii="Times New Roman" w:hAnsi="Times New Roman" w:eastAsia="宋体" w:cs="Times New Roman"/>
                      <w:bCs/>
                      <w:color w:val="auto"/>
                      <w:sz w:val="21"/>
                      <w:szCs w:val="21"/>
                      <w:highlight w:val="none"/>
                      <w:lang w:val="en-US" w:eastAsia="zh-CN"/>
                    </w:rPr>
                    <w:t>项目建成后将依法办理排污许可</w:t>
                  </w:r>
                  <w:r>
                    <w:rPr>
                      <w:rFonts w:hint="eastAsia" w:cs="Times New Roman"/>
                      <w:bCs/>
                      <w:color w:val="auto"/>
                      <w:sz w:val="21"/>
                      <w:szCs w:val="21"/>
                      <w:highlight w:val="none"/>
                      <w:lang w:val="en-US" w:eastAsia="zh-CN"/>
                    </w:rPr>
                    <w:t>重新申请</w:t>
                  </w:r>
                </w:p>
              </w:tc>
              <w:tc>
                <w:tcPr>
                  <w:tcW w:w="521" w:type="pct"/>
                  <w:noWrap w:val="0"/>
                  <w:vAlign w:val="center"/>
                </w:tcPr>
                <w:p w14:paraId="5C1B2657">
                  <w:pPr>
                    <w:widowControl/>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符合</w:t>
                  </w:r>
                </w:p>
              </w:tc>
            </w:tr>
            <w:tr w14:paraId="6378BE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47" w:type="pct"/>
                  <w:vMerge w:val="continue"/>
                  <w:noWrap w:val="0"/>
                  <w:vAlign w:val="center"/>
                </w:tcPr>
                <w:p w14:paraId="547D3914">
                  <w:pPr>
                    <w:widowControl/>
                    <w:jc w:val="center"/>
                    <w:rPr>
                      <w:rFonts w:hint="default" w:ascii="Times New Roman" w:hAnsi="Times New Roman" w:eastAsia="宋体" w:cs="Times New Roman"/>
                      <w:bCs/>
                      <w:color w:val="FF0000"/>
                      <w:sz w:val="21"/>
                      <w:szCs w:val="21"/>
                      <w:highlight w:val="none"/>
                    </w:rPr>
                  </w:pPr>
                </w:p>
              </w:tc>
              <w:tc>
                <w:tcPr>
                  <w:tcW w:w="3004" w:type="pct"/>
                  <w:noWrap w:val="0"/>
                  <w:vAlign w:val="center"/>
                </w:tcPr>
                <w:p w14:paraId="58E1374A">
                  <w:pPr>
                    <w:widowControl/>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第十八条</w:t>
                  </w:r>
                  <w:r>
                    <w:rPr>
                      <w:rFonts w:hint="eastAsia" w:cs="Times New Roman"/>
                      <w:bCs/>
                      <w:color w:val="auto"/>
                      <w:sz w:val="21"/>
                      <w:szCs w:val="21"/>
                      <w:highlight w:val="none"/>
                      <w:lang w:val="en-US" w:eastAsia="zh-CN"/>
                    </w:rPr>
                    <w:t xml:space="preserve"> </w:t>
                  </w:r>
                  <w:r>
                    <w:rPr>
                      <w:rFonts w:hint="default" w:ascii="Times New Roman" w:hAnsi="Times New Roman" w:eastAsia="宋体" w:cs="Times New Roman"/>
                      <w:bCs/>
                      <w:color w:val="auto"/>
                      <w:sz w:val="21"/>
                      <w:szCs w:val="21"/>
                      <w:highlight w:val="none"/>
                    </w:rPr>
                    <w:t>新建、改建、扩建建设项目，应当依法进行环境影响评价。建设项目可能对相邻地区造成重大环境影响的，生态环境主管部门在审批其环境影响评价文件时，应当征求相邻地区同级生态环境主管部门的意见；意见不一致的，由共同的上一级人民政府生态环境主管部门作出处理。</w:t>
                  </w:r>
                </w:p>
              </w:tc>
              <w:tc>
                <w:tcPr>
                  <w:tcW w:w="1126" w:type="pct"/>
                  <w:noWrap w:val="0"/>
                  <w:vAlign w:val="center"/>
                </w:tcPr>
                <w:p w14:paraId="5D4D472E">
                  <w:pPr>
                    <w:widowControl/>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pacing w:val="-6"/>
                      <w:sz w:val="21"/>
                      <w:szCs w:val="21"/>
                      <w:highlight w:val="none"/>
                    </w:rPr>
                    <w:t>本项目</w:t>
                  </w:r>
                  <w:r>
                    <w:rPr>
                      <w:rFonts w:hint="default" w:ascii="Times New Roman" w:hAnsi="Times New Roman" w:eastAsia="宋体" w:cs="Times New Roman"/>
                      <w:color w:val="auto"/>
                      <w:spacing w:val="-6"/>
                      <w:sz w:val="21"/>
                      <w:szCs w:val="21"/>
                      <w:highlight w:val="none"/>
                    </w:rPr>
                    <w:t>正在依法进行环境影响评价工作</w:t>
                  </w:r>
                  <w:r>
                    <w:rPr>
                      <w:rFonts w:hint="default" w:ascii="Times New Roman" w:hAnsi="Times New Roman" w:eastAsia="宋体" w:cs="Times New Roman"/>
                      <w:bCs/>
                      <w:color w:val="auto"/>
                      <w:spacing w:val="-6"/>
                      <w:sz w:val="21"/>
                      <w:szCs w:val="21"/>
                      <w:highlight w:val="none"/>
                    </w:rPr>
                    <w:t>；本项目环境影响较小，基本不会对相邻地区造成重大环境影响。</w:t>
                  </w:r>
                </w:p>
              </w:tc>
              <w:tc>
                <w:tcPr>
                  <w:tcW w:w="521" w:type="pct"/>
                  <w:noWrap w:val="0"/>
                  <w:vAlign w:val="center"/>
                </w:tcPr>
                <w:p w14:paraId="7F439293">
                  <w:pPr>
                    <w:widowControl/>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符合</w:t>
                  </w:r>
                </w:p>
              </w:tc>
            </w:tr>
            <w:tr w14:paraId="5ECEA9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38" w:hRule="atLeast"/>
                <w:jc w:val="center"/>
              </w:trPr>
              <w:tc>
                <w:tcPr>
                  <w:tcW w:w="347" w:type="pct"/>
                  <w:vMerge w:val="continue"/>
                  <w:noWrap w:val="0"/>
                  <w:vAlign w:val="center"/>
                </w:tcPr>
                <w:p w14:paraId="6B65417F">
                  <w:pPr>
                    <w:widowControl/>
                    <w:jc w:val="center"/>
                    <w:rPr>
                      <w:rFonts w:hint="default" w:ascii="Times New Roman" w:hAnsi="Times New Roman" w:eastAsia="宋体" w:cs="Times New Roman"/>
                      <w:bCs/>
                      <w:color w:val="FF0000"/>
                      <w:sz w:val="21"/>
                      <w:szCs w:val="21"/>
                      <w:highlight w:val="none"/>
                    </w:rPr>
                  </w:pPr>
                </w:p>
              </w:tc>
              <w:tc>
                <w:tcPr>
                  <w:tcW w:w="3004" w:type="pct"/>
                  <w:noWrap w:val="0"/>
                  <w:vAlign w:val="center"/>
                </w:tcPr>
                <w:p w14:paraId="7E244466">
                  <w:pPr>
                    <w:widowControl/>
                    <w:jc w:val="left"/>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第十九条有下列情形之一的，省、设区的市人民政府生态环境主管部门应当暂停审批该区域新增重点污染物排放总量的建设项目的环境影响评价文件：</w:t>
                  </w:r>
                </w:p>
                <w:p w14:paraId="4E681FC3">
                  <w:pPr>
                    <w:widowControl/>
                    <w:jc w:val="left"/>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（一）重点污染物排放量超过总量控制指标，或者未完成国家确定的重点重金属污染物排放量控制目标的；</w:t>
                  </w:r>
                </w:p>
                <w:p w14:paraId="6248C24D">
                  <w:pPr>
                    <w:widowControl/>
                    <w:jc w:val="left"/>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（二）未完成淘汰严重污染环境的生产工艺、设备和产品任务的；</w:t>
                  </w:r>
                </w:p>
                <w:p w14:paraId="75E40D1B">
                  <w:pPr>
                    <w:widowControl/>
                    <w:jc w:val="left"/>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（三）生态破坏严重，未完成污染治理任务或者生态恢复任务的；</w:t>
                  </w:r>
                </w:p>
                <w:p w14:paraId="477DDFBB">
                  <w:pPr>
                    <w:widowControl/>
                    <w:jc w:val="left"/>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（四）未完成环境质量改善目标的；</w:t>
                  </w:r>
                </w:p>
                <w:p w14:paraId="44DE38DC">
                  <w:pPr>
                    <w:widowControl/>
                    <w:jc w:val="left"/>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（五）产业园区配套的环境基础设施不完备的；</w:t>
                  </w:r>
                </w:p>
                <w:p w14:paraId="554EE180">
                  <w:pPr>
                    <w:widowControl/>
                    <w:jc w:val="left"/>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（六）法律、法规和国家规定的其他情形。</w:t>
                  </w:r>
                </w:p>
                <w:p w14:paraId="2DCF7C1E">
                  <w:pPr>
                    <w:widowControl/>
                    <w:jc w:val="left"/>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符合生态环境保护规划且涉及民生的重大基础设施项目和环境污染治理项目，不受前款规定的限制。</w:t>
                  </w:r>
                </w:p>
              </w:tc>
              <w:tc>
                <w:tcPr>
                  <w:tcW w:w="1126" w:type="pct"/>
                  <w:noWrap w:val="0"/>
                  <w:vAlign w:val="center"/>
                </w:tcPr>
                <w:p w14:paraId="65ECB632">
                  <w:pPr>
                    <w:widowControl/>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项目所在区域不存在上述所列情形。</w:t>
                  </w:r>
                </w:p>
              </w:tc>
              <w:tc>
                <w:tcPr>
                  <w:tcW w:w="521" w:type="pct"/>
                  <w:noWrap w:val="0"/>
                  <w:vAlign w:val="center"/>
                </w:tcPr>
                <w:p w14:paraId="2DE19675">
                  <w:pPr>
                    <w:widowControl/>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符合</w:t>
                  </w:r>
                </w:p>
              </w:tc>
            </w:tr>
            <w:tr w14:paraId="3A46F9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00" w:hRule="atLeast"/>
                <w:jc w:val="center"/>
              </w:trPr>
              <w:tc>
                <w:tcPr>
                  <w:tcW w:w="347" w:type="pct"/>
                  <w:vMerge w:val="restart"/>
                  <w:noWrap w:val="0"/>
                  <w:vAlign w:val="center"/>
                </w:tcPr>
                <w:p w14:paraId="34B74B80">
                  <w:pPr>
                    <w:widowControl/>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保护和改善环境</w:t>
                  </w:r>
                </w:p>
              </w:tc>
              <w:tc>
                <w:tcPr>
                  <w:tcW w:w="3004" w:type="pct"/>
                  <w:noWrap w:val="0"/>
                  <w:vAlign w:val="center"/>
                </w:tcPr>
                <w:p w14:paraId="253F98C6">
                  <w:pPr>
                    <w:widowControl/>
                    <w:jc w:val="left"/>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第三十五条省人民政府应当根据生态环境状况，在重点生态功能区、生态敏感区和脆弱区等区域划定生态保护红线，明确禁止、限制开发的区域和活动，制定严格的环境保护措施。</w:t>
                  </w:r>
                </w:p>
              </w:tc>
              <w:tc>
                <w:tcPr>
                  <w:tcW w:w="1126" w:type="pct"/>
                  <w:noWrap w:val="0"/>
                  <w:vAlign w:val="center"/>
                </w:tcPr>
                <w:p w14:paraId="1C0AAB6E">
                  <w:pPr>
                    <w:widowControl/>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本项目不在划定的生态保护红线范围内。</w:t>
                  </w:r>
                </w:p>
              </w:tc>
              <w:tc>
                <w:tcPr>
                  <w:tcW w:w="521" w:type="pct"/>
                  <w:noWrap w:val="0"/>
                  <w:vAlign w:val="center"/>
                </w:tcPr>
                <w:p w14:paraId="693F5547">
                  <w:pPr>
                    <w:widowControl/>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符合</w:t>
                  </w:r>
                </w:p>
              </w:tc>
            </w:tr>
            <w:tr w14:paraId="12FC5A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63" w:hRule="atLeast"/>
                <w:jc w:val="center"/>
              </w:trPr>
              <w:tc>
                <w:tcPr>
                  <w:tcW w:w="347" w:type="pct"/>
                  <w:vMerge w:val="continue"/>
                  <w:noWrap w:val="0"/>
                  <w:vAlign w:val="center"/>
                </w:tcPr>
                <w:p w14:paraId="46623366">
                  <w:pPr>
                    <w:widowControl/>
                    <w:jc w:val="center"/>
                    <w:rPr>
                      <w:rFonts w:hint="default" w:ascii="Times New Roman" w:hAnsi="Times New Roman" w:eastAsia="宋体" w:cs="Times New Roman"/>
                      <w:bCs/>
                      <w:color w:val="auto"/>
                      <w:sz w:val="21"/>
                      <w:szCs w:val="21"/>
                      <w:highlight w:val="none"/>
                    </w:rPr>
                  </w:pPr>
                </w:p>
              </w:tc>
              <w:tc>
                <w:tcPr>
                  <w:tcW w:w="3004" w:type="pct"/>
                  <w:noWrap w:val="0"/>
                  <w:vAlign w:val="center"/>
                </w:tcPr>
                <w:p w14:paraId="6AC30F93">
                  <w:pPr>
                    <w:widowControl/>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第三十七条对具有代表性的自然生态系统区域、野生动植物自然分布区域、重要水源涵养区域、自然资源和人文景观集中区域以及其他需要特殊保护的区域，应当通过划定自然保护区、风景名胜区、森林公园、地质公园、重要水源地、重要湿地等予以严格保护。</w:t>
                  </w:r>
                </w:p>
              </w:tc>
              <w:tc>
                <w:tcPr>
                  <w:tcW w:w="1126" w:type="pct"/>
                  <w:noWrap w:val="0"/>
                  <w:vAlign w:val="center"/>
                </w:tcPr>
                <w:p w14:paraId="248179F1">
                  <w:pPr>
                    <w:widowControl/>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pacing w:val="-6"/>
                      <w:sz w:val="21"/>
                      <w:szCs w:val="21"/>
                      <w:highlight w:val="none"/>
                    </w:rPr>
                    <w:t>本项目不在自然保护区、风景名胜区、森林公园、地质公园、重要水源地、重要湿地等范围内。</w:t>
                  </w:r>
                </w:p>
              </w:tc>
              <w:tc>
                <w:tcPr>
                  <w:tcW w:w="521" w:type="pct"/>
                  <w:noWrap w:val="0"/>
                  <w:vAlign w:val="center"/>
                </w:tcPr>
                <w:p w14:paraId="5C0426DD">
                  <w:pPr>
                    <w:widowControl/>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符合</w:t>
                  </w:r>
                </w:p>
              </w:tc>
            </w:tr>
            <w:tr w14:paraId="02A1C7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9" w:hRule="atLeast"/>
                <w:jc w:val="center"/>
              </w:trPr>
              <w:tc>
                <w:tcPr>
                  <w:tcW w:w="347" w:type="pct"/>
                  <w:vMerge w:val="continue"/>
                  <w:noWrap w:val="0"/>
                  <w:vAlign w:val="center"/>
                </w:tcPr>
                <w:p w14:paraId="073942BC">
                  <w:pPr>
                    <w:widowControl/>
                    <w:jc w:val="center"/>
                    <w:rPr>
                      <w:rFonts w:hint="default" w:ascii="Times New Roman" w:hAnsi="Times New Roman" w:eastAsia="宋体" w:cs="Times New Roman"/>
                      <w:bCs/>
                      <w:color w:val="FF0000"/>
                      <w:sz w:val="21"/>
                      <w:szCs w:val="21"/>
                      <w:highlight w:val="none"/>
                    </w:rPr>
                  </w:pPr>
                </w:p>
              </w:tc>
              <w:tc>
                <w:tcPr>
                  <w:tcW w:w="3004" w:type="pct"/>
                  <w:noWrap w:val="0"/>
                  <w:vAlign w:val="center"/>
                </w:tcPr>
                <w:p w14:paraId="0C628874">
                  <w:pPr>
                    <w:widowControl/>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pacing w:val="-6"/>
                      <w:sz w:val="21"/>
                      <w:szCs w:val="21"/>
                      <w:highlight w:val="none"/>
                    </w:rPr>
                    <w:t>第三十九条对存在非法围海填海、采矿塌陷地、露天尾矿库、工业废渣堆场等突出环境问题的地区，有关人民政府应当采取恢复原状、复垦整理、建设人工湿地等综合整治措施，督促有关治理责任主体限期完成生态修复。整治措施及结果应当向社会公开。</w:t>
                  </w:r>
                </w:p>
              </w:tc>
              <w:tc>
                <w:tcPr>
                  <w:tcW w:w="1126" w:type="pct"/>
                  <w:noWrap w:val="0"/>
                  <w:vAlign w:val="center"/>
                </w:tcPr>
                <w:p w14:paraId="2D309DD9">
                  <w:pPr>
                    <w:widowControl/>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项目所在区域不存在上述突出环境问题。</w:t>
                  </w:r>
                </w:p>
              </w:tc>
              <w:tc>
                <w:tcPr>
                  <w:tcW w:w="521" w:type="pct"/>
                  <w:noWrap w:val="0"/>
                  <w:vAlign w:val="center"/>
                </w:tcPr>
                <w:p w14:paraId="2435C824">
                  <w:pPr>
                    <w:widowControl/>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符合</w:t>
                  </w:r>
                </w:p>
              </w:tc>
            </w:tr>
            <w:tr w14:paraId="0A6A01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30" w:hRule="atLeast"/>
                <w:jc w:val="center"/>
              </w:trPr>
              <w:tc>
                <w:tcPr>
                  <w:tcW w:w="347" w:type="pct"/>
                  <w:vMerge w:val="restart"/>
                  <w:noWrap w:val="0"/>
                  <w:vAlign w:val="center"/>
                </w:tcPr>
                <w:p w14:paraId="4FD2C67D">
                  <w:pPr>
                    <w:widowControl/>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防治污染和其他公害</w:t>
                  </w:r>
                </w:p>
              </w:tc>
              <w:tc>
                <w:tcPr>
                  <w:tcW w:w="3004" w:type="pct"/>
                  <w:noWrap w:val="0"/>
                  <w:vAlign w:val="center"/>
                </w:tcPr>
                <w:p w14:paraId="56E102B6">
                  <w:pPr>
                    <w:widowControl/>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第四十六条新建、改建、扩建建设项目，应当根据环境影响评价文件以及生态环境主管部门审批决定的要求建设环境保护设施、落实环境保护措施。环境保护设施应当与主体工程同时设计、同时施工、同时投产使用。</w:t>
                  </w:r>
                </w:p>
              </w:tc>
              <w:tc>
                <w:tcPr>
                  <w:tcW w:w="1126" w:type="pct"/>
                  <w:noWrap w:val="0"/>
                  <w:vAlign w:val="center"/>
                </w:tcPr>
                <w:p w14:paraId="7363954B">
                  <w:pPr>
                    <w:widowControl/>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pacing w:val="-6"/>
                      <w:sz w:val="21"/>
                      <w:szCs w:val="21"/>
                      <w:highlight w:val="none"/>
                    </w:rPr>
                    <w:t>本项目将严格按照环评及批复要求建设环境保护设施、落实环境保护措施。</w:t>
                  </w:r>
                </w:p>
              </w:tc>
              <w:tc>
                <w:tcPr>
                  <w:tcW w:w="521" w:type="pct"/>
                  <w:noWrap w:val="0"/>
                  <w:vAlign w:val="center"/>
                </w:tcPr>
                <w:p w14:paraId="78FF8965">
                  <w:pPr>
                    <w:widowControl/>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符合</w:t>
                  </w:r>
                </w:p>
              </w:tc>
            </w:tr>
            <w:tr w14:paraId="6DE8D8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47" w:type="pct"/>
                  <w:vMerge w:val="continue"/>
                  <w:noWrap w:val="0"/>
                  <w:vAlign w:val="center"/>
                </w:tcPr>
                <w:p w14:paraId="77C0C458">
                  <w:pPr>
                    <w:widowControl/>
                    <w:jc w:val="center"/>
                    <w:rPr>
                      <w:rFonts w:hint="default" w:ascii="Times New Roman" w:hAnsi="Times New Roman" w:eastAsia="宋体" w:cs="Times New Roman"/>
                      <w:bCs/>
                      <w:color w:val="auto"/>
                      <w:sz w:val="21"/>
                      <w:szCs w:val="21"/>
                      <w:highlight w:val="none"/>
                    </w:rPr>
                  </w:pPr>
                </w:p>
              </w:tc>
              <w:tc>
                <w:tcPr>
                  <w:tcW w:w="3004" w:type="pct"/>
                  <w:noWrap w:val="0"/>
                  <w:vAlign w:val="center"/>
                </w:tcPr>
                <w:p w14:paraId="5A14D4C3">
                  <w:pPr>
                    <w:widowControl/>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pacing w:val="-6"/>
                      <w:sz w:val="21"/>
                      <w:szCs w:val="21"/>
                      <w:highlight w:val="none"/>
                    </w:rPr>
                    <w:t>第四十七条排污单位应当按照环境保护设施的设计要求和排污许可证规定的排放要求，制定完善环境保护管理制度和操作规程，并保障环境保护设施正常运行。排污单位应当根据生产经营和污染防治的需要，建设应急环境保护设施。鼓励排污单位建设污染防治备用设施，在必要时投入使用。</w:t>
                  </w:r>
                </w:p>
              </w:tc>
              <w:tc>
                <w:tcPr>
                  <w:tcW w:w="1126" w:type="pct"/>
                  <w:noWrap w:val="0"/>
                  <w:vAlign w:val="center"/>
                </w:tcPr>
                <w:p w14:paraId="7D554112">
                  <w:pPr>
                    <w:widowControl/>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rPr>
                    <w:t>本项目将制定完善的环保管理制度和操作规程</w:t>
                  </w:r>
                  <w:r>
                    <w:rPr>
                      <w:rFonts w:hint="eastAsia" w:cs="Times New Roman"/>
                      <w:bCs/>
                      <w:color w:val="auto"/>
                      <w:sz w:val="21"/>
                      <w:szCs w:val="21"/>
                      <w:highlight w:val="none"/>
                      <w:lang w:eastAsia="zh-CN"/>
                    </w:rPr>
                    <w:t>，</w:t>
                  </w:r>
                  <w:r>
                    <w:rPr>
                      <w:rFonts w:hint="eastAsia" w:cs="Times New Roman"/>
                      <w:bCs/>
                      <w:color w:val="auto"/>
                      <w:sz w:val="21"/>
                      <w:szCs w:val="21"/>
                      <w:highlight w:val="none"/>
                      <w:lang w:val="en-US" w:eastAsia="zh-CN"/>
                    </w:rPr>
                    <w:t>保障环保设施正常运行</w:t>
                  </w:r>
                </w:p>
              </w:tc>
              <w:tc>
                <w:tcPr>
                  <w:tcW w:w="521" w:type="pct"/>
                  <w:noWrap w:val="0"/>
                  <w:vAlign w:val="center"/>
                </w:tcPr>
                <w:p w14:paraId="2659947E">
                  <w:pPr>
                    <w:widowControl/>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符合</w:t>
                  </w:r>
                </w:p>
              </w:tc>
            </w:tr>
            <w:tr w14:paraId="0E1628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4" w:hRule="atLeast"/>
                <w:jc w:val="center"/>
              </w:trPr>
              <w:tc>
                <w:tcPr>
                  <w:tcW w:w="347" w:type="pct"/>
                  <w:vMerge w:val="continue"/>
                  <w:noWrap w:val="0"/>
                  <w:vAlign w:val="center"/>
                </w:tcPr>
                <w:p w14:paraId="57C4E37F">
                  <w:pPr>
                    <w:widowControl/>
                    <w:jc w:val="center"/>
                    <w:rPr>
                      <w:rFonts w:hint="default" w:ascii="Times New Roman" w:hAnsi="Times New Roman" w:eastAsia="宋体" w:cs="Times New Roman"/>
                      <w:bCs/>
                      <w:color w:val="auto"/>
                      <w:sz w:val="21"/>
                      <w:szCs w:val="21"/>
                      <w:highlight w:val="none"/>
                    </w:rPr>
                  </w:pPr>
                </w:p>
              </w:tc>
              <w:tc>
                <w:tcPr>
                  <w:tcW w:w="3004" w:type="pct"/>
                  <w:noWrap w:val="0"/>
                  <w:vAlign w:val="center"/>
                </w:tcPr>
                <w:p w14:paraId="79E0A2C5">
                  <w:pPr>
                    <w:widowControl/>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第四十九条重点排污单位应当按照规定安装污染物排放自动监测设备，并保障其正常运行，不得擅自拆除、停用、改变或者损毁。自动监测设备应当与生态环境主管部门的监控设备联网。重点排污单位由设区的市生态环境主管部门确定，并向社会公布。对未实行自动监测的污染物，排污单位应当按照国家和省的规定进行人工监测，并保存原始监测记录。</w:t>
                  </w:r>
                </w:p>
              </w:tc>
              <w:tc>
                <w:tcPr>
                  <w:tcW w:w="1126" w:type="pct"/>
                  <w:noWrap w:val="0"/>
                  <w:vAlign w:val="center"/>
                </w:tcPr>
                <w:p w14:paraId="6F4C1D95">
                  <w:pPr>
                    <w:widowControl/>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本项目不属于</w:t>
                  </w:r>
                  <w:r>
                    <w:rPr>
                      <w:rFonts w:hint="eastAsia" w:cs="Times New Roman"/>
                      <w:bCs/>
                      <w:color w:val="auto"/>
                      <w:sz w:val="21"/>
                      <w:szCs w:val="21"/>
                      <w:highlight w:val="none"/>
                      <w:lang w:val="en-US" w:eastAsia="zh-CN"/>
                    </w:rPr>
                    <w:t>大气环境重点排污单位</w:t>
                  </w:r>
                  <w:r>
                    <w:rPr>
                      <w:rFonts w:hint="default" w:ascii="Times New Roman" w:hAnsi="Times New Roman" w:eastAsia="宋体" w:cs="Times New Roman"/>
                      <w:bCs/>
                      <w:color w:val="auto"/>
                      <w:sz w:val="21"/>
                      <w:szCs w:val="21"/>
                      <w:highlight w:val="none"/>
                    </w:rPr>
                    <w:t>。</w:t>
                  </w:r>
                </w:p>
              </w:tc>
              <w:tc>
                <w:tcPr>
                  <w:tcW w:w="521" w:type="pct"/>
                  <w:noWrap w:val="0"/>
                  <w:vAlign w:val="center"/>
                </w:tcPr>
                <w:p w14:paraId="02087D4C">
                  <w:pPr>
                    <w:widowControl/>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符合</w:t>
                  </w:r>
                </w:p>
              </w:tc>
            </w:tr>
            <w:tr w14:paraId="762001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02" w:hRule="atLeast"/>
                <w:jc w:val="center"/>
              </w:trPr>
              <w:tc>
                <w:tcPr>
                  <w:tcW w:w="347" w:type="pct"/>
                  <w:vMerge w:val="continue"/>
                  <w:noWrap w:val="0"/>
                  <w:vAlign w:val="center"/>
                </w:tcPr>
                <w:p w14:paraId="596B5084">
                  <w:pPr>
                    <w:widowControl/>
                    <w:jc w:val="center"/>
                    <w:rPr>
                      <w:rFonts w:hint="default" w:ascii="Times New Roman" w:hAnsi="Times New Roman" w:eastAsia="宋体" w:cs="Times New Roman"/>
                      <w:bCs/>
                      <w:color w:val="auto"/>
                      <w:sz w:val="21"/>
                      <w:szCs w:val="21"/>
                      <w:highlight w:val="none"/>
                    </w:rPr>
                  </w:pPr>
                </w:p>
              </w:tc>
              <w:tc>
                <w:tcPr>
                  <w:tcW w:w="3004" w:type="pct"/>
                  <w:noWrap w:val="0"/>
                  <w:vAlign w:val="top"/>
                </w:tcPr>
                <w:p w14:paraId="1ACDE507">
                  <w:pPr>
                    <w:pStyle w:val="90"/>
                    <w:spacing w:before="22" w:line="233" w:lineRule="auto"/>
                    <w:ind w:left="3" w:leftChars="0" w:firstLine="1"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snapToGrid/>
                      <w:color w:val="auto"/>
                      <w:spacing w:val="-6"/>
                      <w:kern w:val="2"/>
                      <w:sz w:val="21"/>
                      <w:szCs w:val="21"/>
                      <w:highlight w:val="none"/>
                      <w:lang w:val="en-US" w:eastAsia="zh-CN" w:bidi="ar-SA"/>
                    </w:rPr>
                    <w:t>第五十条排污单位应当按照国家和省有关规定建立环境管理台账，记录污染治理设施运行管理、危险废物产生与处置情况、监测记录以及其他环境管理等信息，并对台账的真实性和完整性负责。台账的保存期限不得少于三年，法律、法规另有规定的除外。</w:t>
                  </w:r>
                </w:p>
              </w:tc>
              <w:tc>
                <w:tcPr>
                  <w:tcW w:w="1126" w:type="pct"/>
                  <w:noWrap w:val="0"/>
                  <w:vAlign w:val="top"/>
                </w:tcPr>
                <w:p w14:paraId="0C026D37">
                  <w:pPr>
                    <w:pStyle w:val="90"/>
                    <w:spacing w:before="256" w:line="237" w:lineRule="auto"/>
                    <w:ind w:left="11" w:leftChars="0" w:firstLine="1"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snapToGrid/>
                      <w:color w:val="auto"/>
                      <w:kern w:val="2"/>
                      <w:sz w:val="21"/>
                      <w:szCs w:val="21"/>
                      <w:highlight w:val="none"/>
                      <w:lang w:val="en-US" w:eastAsia="zh-CN" w:bidi="ar-SA"/>
                    </w:rPr>
                    <w:t>建设单位按照规定建立环境管理台账并保存。</w:t>
                  </w:r>
                </w:p>
              </w:tc>
              <w:tc>
                <w:tcPr>
                  <w:tcW w:w="521" w:type="pct"/>
                  <w:noWrap w:val="0"/>
                  <w:vAlign w:val="center"/>
                </w:tcPr>
                <w:p w14:paraId="3E9A2494">
                  <w:pPr>
                    <w:widowControl/>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符合</w:t>
                  </w:r>
                </w:p>
              </w:tc>
            </w:tr>
            <w:tr w14:paraId="50693B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47" w:type="pct"/>
                  <w:vMerge w:val="restart"/>
                  <w:noWrap w:val="0"/>
                  <w:vAlign w:val="center"/>
                </w:tcPr>
                <w:p w14:paraId="61D72A84">
                  <w:pPr>
                    <w:widowControl/>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信息公开和公众参与</w:t>
                  </w:r>
                </w:p>
              </w:tc>
              <w:tc>
                <w:tcPr>
                  <w:tcW w:w="3004" w:type="pct"/>
                  <w:noWrap w:val="0"/>
                  <w:vAlign w:val="center"/>
                </w:tcPr>
                <w:p w14:paraId="24739ACF">
                  <w:pPr>
                    <w:widowControl/>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第六十二条</w:t>
                  </w:r>
                  <w:r>
                    <w:rPr>
                      <w:rFonts w:hint="default" w:ascii="Times New Roman" w:hAnsi="Times New Roman" w:eastAsia="宋体" w:cs="Times New Roman"/>
                      <w:bCs/>
                      <w:color w:val="auto"/>
                      <w:sz w:val="21"/>
                      <w:szCs w:val="21"/>
                      <w:highlight w:val="none"/>
                    </w:rPr>
                    <w:tab/>
                  </w:r>
                  <w:r>
                    <w:rPr>
                      <w:rFonts w:hint="default" w:ascii="Times New Roman" w:hAnsi="Times New Roman" w:eastAsia="宋体" w:cs="Times New Roman"/>
                      <w:bCs/>
                      <w:color w:val="auto"/>
                      <w:sz w:val="21"/>
                      <w:szCs w:val="21"/>
                      <w:highlight w:val="none"/>
                    </w:rPr>
                    <w:t>对依法应当编制环境影响评价报告书的建设项目，建设单位应当按照规定在报批前向社会公开环境影响评价文件，征求公众意见。生态环境主管部门受理环境影响评价文件后，除涉及国家秘密、商业秘密或者个人隐私的内容外，应当向社会公开。建设单位应当在项目建设过程中向社会公示采取的环境保护措施。</w:t>
                  </w:r>
                </w:p>
              </w:tc>
              <w:tc>
                <w:tcPr>
                  <w:tcW w:w="1126" w:type="pct"/>
                  <w:noWrap w:val="0"/>
                  <w:vAlign w:val="center"/>
                </w:tcPr>
                <w:p w14:paraId="01D75575">
                  <w:pPr>
                    <w:widowControl/>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rPr>
                    <w:t>本项目为编制环境影响报告表项目</w:t>
                  </w:r>
                  <w:r>
                    <w:rPr>
                      <w:rFonts w:hint="default" w:ascii="Times New Roman" w:hAnsi="Times New Roman" w:eastAsia="宋体" w:cs="Times New Roman"/>
                      <w:bCs/>
                      <w:color w:val="auto"/>
                      <w:sz w:val="21"/>
                      <w:szCs w:val="21"/>
                      <w:highlight w:val="none"/>
                      <w:lang w:val="en-US" w:eastAsia="zh-CN"/>
                    </w:rPr>
                    <w:t>。</w:t>
                  </w:r>
                </w:p>
              </w:tc>
              <w:tc>
                <w:tcPr>
                  <w:tcW w:w="521" w:type="pct"/>
                  <w:noWrap w:val="0"/>
                  <w:vAlign w:val="center"/>
                </w:tcPr>
                <w:p w14:paraId="2B628B1A">
                  <w:pPr>
                    <w:widowControl/>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符合</w:t>
                  </w:r>
                </w:p>
              </w:tc>
            </w:tr>
            <w:tr w14:paraId="4FA854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63" w:hRule="atLeast"/>
                <w:jc w:val="center"/>
              </w:trPr>
              <w:tc>
                <w:tcPr>
                  <w:tcW w:w="347" w:type="pct"/>
                  <w:vMerge w:val="continue"/>
                  <w:noWrap w:val="0"/>
                  <w:vAlign w:val="center"/>
                </w:tcPr>
                <w:p w14:paraId="7B19B4DE">
                  <w:pPr>
                    <w:widowControl/>
                    <w:jc w:val="center"/>
                    <w:rPr>
                      <w:rFonts w:hint="default" w:ascii="Times New Roman" w:hAnsi="Times New Roman" w:eastAsia="宋体" w:cs="Times New Roman"/>
                      <w:bCs/>
                      <w:color w:val="FF0000"/>
                      <w:sz w:val="21"/>
                      <w:szCs w:val="21"/>
                      <w:highlight w:val="none"/>
                    </w:rPr>
                  </w:pPr>
                </w:p>
              </w:tc>
              <w:tc>
                <w:tcPr>
                  <w:tcW w:w="3004" w:type="pct"/>
                  <w:noWrap w:val="0"/>
                  <w:vAlign w:val="center"/>
                </w:tcPr>
                <w:p w14:paraId="6B11D0DC">
                  <w:pPr>
                    <w:widowControl/>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第六十三条重点排污单位应当向社会如实公开其主要污染物的名称、排放方式、排放浓度和总量、超标排放情况以及防治污染设施的建设和运行情况等环境信息。鼓励、支持其他排污单位自愿公开有关环境信息。</w:t>
                  </w:r>
                </w:p>
              </w:tc>
              <w:tc>
                <w:tcPr>
                  <w:tcW w:w="1126" w:type="pct"/>
                  <w:noWrap w:val="0"/>
                  <w:vAlign w:val="center"/>
                </w:tcPr>
                <w:p w14:paraId="44B14681">
                  <w:pPr>
                    <w:widowControl/>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企业按要求进行信息公开</w:t>
                  </w:r>
                  <w:r>
                    <w:rPr>
                      <w:rFonts w:hint="default" w:ascii="Times New Roman" w:hAnsi="Times New Roman" w:eastAsia="宋体" w:cs="Times New Roman"/>
                      <w:bCs/>
                      <w:color w:val="auto"/>
                      <w:sz w:val="21"/>
                      <w:szCs w:val="21"/>
                      <w:highlight w:val="none"/>
                    </w:rPr>
                    <w:t>。</w:t>
                  </w:r>
                </w:p>
              </w:tc>
              <w:tc>
                <w:tcPr>
                  <w:tcW w:w="521" w:type="pct"/>
                  <w:noWrap w:val="0"/>
                  <w:vAlign w:val="center"/>
                </w:tcPr>
                <w:p w14:paraId="78201F79">
                  <w:pPr>
                    <w:widowControl/>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符合</w:t>
                  </w:r>
                </w:p>
              </w:tc>
            </w:tr>
          </w:tbl>
          <w:p w14:paraId="3FFC41AE">
            <w:pPr>
              <w:keepNext w:val="0"/>
              <w:keepLines w:val="0"/>
              <w:pageBreakBefore w:val="0"/>
              <w:widowControl w:val="0"/>
              <w:numPr>
                <w:ilvl w:val="0"/>
                <w:numId w:val="8"/>
              </w:numPr>
              <w:kinsoku/>
              <w:wordWrap/>
              <w:overflowPunct/>
              <w:topLinePunct w:val="0"/>
              <w:autoSpaceDE/>
              <w:autoSpaceDN/>
              <w:bidi w:val="0"/>
              <w:adjustRightInd/>
              <w:snapToGrid/>
              <w:spacing w:line="360" w:lineRule="auto"/>
              <w:ind w:left="0" w:leftChars="0" w:firstLine="425" w:firstLineChars="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与《</w:t>
            </w:r>
            <w:r>
              <w:rPr>
                <w:rFonts w:hint="eastAsia" w:ascii="Times New Roman" w:hAnsi="Times New Roman" w:eastAsia="宋体" w:cs="Times New Roman"/>
                <w:color w:val="auto"/>
                <w:sz w:val="24"/>
                <w:highlight w:val="none"/>
                <w:lang w:val="en-US" w:eastAsia="zh-CN"/>
              </w:rPr>
              <w:t>山东省危险废物利用处置设施投资建设引导性公告</w:t>
            </w:r>
            <w:r>
              <w:rPr>
                <w:rFonts w:hint="eastAsia" w:cs="Times New Roman"/>
                <w:color w:val="auto"/>
                <w:sz w:val="24"/>
                <w:highlight w:val="none"/>
                <w:lang w:val="en-US" w:eastAsia="zh-CN"/>
              </w:rPr>
              <w:t>（2025年）</w:t>
            </w:r>
            <w:r>
              <w:rPr>
                <w:rFonts w:hint="default" w:ascii="Times New Roman" w:hAnsi="Times New Roman" w:eastAsia="宋体" w:cs="Times New Roman"/>
                <w:color w:val="auto"/>
                <w:sz w:val="24"/>
                <w:highlight w:val="none"/>
                <w:lang w:val="en-US" w:eastAsia="zh-CN"/>
              </w:rPr>
              <w:t>》符合性分析</w:t>
            </w:r>
          </w:p>
          <w:p w14:paraId="40665393">
            <w:pPr>
              <w:keepNext w:val="0"/>
              <w:keepLines w:val="0"/>
              <w:pageBreakBefore w:val="0"/>
              <w:widowControl w:val="0"/>
              <w:numPr>
                <w:ilvl w:val="0"/>
                <w:numId w:val="9"/>
              </w:numPr>
              <w:kinsoku/>
              <w:wordWrap/>
              <w:overflowPunct/>
              <w:topLinePunct w:val="0"/>
              <w:autoSpaceDE w:val="0"/>
              <w:autoSpaceDN w:val="0"/>
              <w:bidi w:val="0"/>
              <w:adjustRightInd w:val="0"/>
              <w:snapToGrid/>
              <w:spacing w:line="360" w:lineRule="auto"/>
              <w:ind w:left="0" w:leftChars="0" w:firstLine="0" w:firstLineChars="0"/>
              <w:jc w:val="center"/>
              <w:textAlignment w:val="auto"/>
              <w:rPr>
                <w:rFonts w:hint="default" w:ascii="宋体" w:hAnsi="宋体" w:eastAsia="宋体" w:cs="宋体"/>
                <w:b/>
                <w:bCs/>
                <w:color w:val="auto"/>
                <w:kern w:val="0"/>
                <w:sz w:val="24"/>
                <w:szCs w:val="24"/>
                <w:lang w:val="en-US" w:eastAsia="zh-CN" w:bidi="ar"/>
              </w:rPr>
            </w:pPr>
            <w:r>
              <w:rPr>
                <w:rFonts w:hint="default" w:ascii="宋体" w:hAnsi="宋体" w:eastAsia="宋体" w:cs="宋体"/>
                <w:b/>
                <w:bCs/>
                <w:color w:val="auto"/>
                <w:kern w:val="0"/>
                <w:sz w:val="24"/>
                <w:szCs w:val="24"/>
                <w:lang w:val="en-US" w:eastAsia="zh-CN" w:bidi="ar"/>
              </w:rPr>
              <w:t>与</w:t>
            </w:r>
            <w:r>
              <w:rPr>
                <w:rFonts w:hint="eastAsia" w:ascii="宋体" w:hAnsi="宋体" w:eastAsia="宋体" w:cs="宋体"/>
                <w:b/>
                <w:bCs/>
                <w:color w:val="auto"/>
                <w:kern w:val="0"/>
                <w:sz w:val="24"/>
                <w:szCs w:val="24"/>
                <w:lang w:val="en-US" w:eastAsia="zh-CN" w:bidi="ar"/>
              </w:rPr>
              <w:t>《山东省危险废物利用处置设施投资建设引导性公告（202</w:t>
            </w:r>
            <w:r>
              <w:rPr>
                <w:rFonts w:hint="eastAsia" w:ascii="宋体" w:hAnsi="宋体" w:cs="宋体"/>
                <w:b/>
                <w:bCs/>
                <w:color w:val="auto"/>
                <w:kern w:val="0"/>
                <w:sz w:val="24"/>
                <w:szCs w:val="24"/>
                <w:lang w:val="en-US" w:eastAsia="zh-CN" w:bidi="ar"/>
              </w:rPr>
              <w:t>5</w:t>
            </w:r>
            <w:r>
              <w:rPr>
                <w:rFonts w:hint="eastAsia" w:ascii="宋体" w:hAnsi="宋体" w:eastAsia="宋体" w:cs="宋体"/>
                <w:b/>
                <w:bCs/>
                <w:color w:val="auto"/>
                <w:kern w:val="0"/>
                <w:sz w:val="24"/>
                <w:szCs w:val="24"/>
                <w:lang w:val="en-US" w:eastAsia="zh-CN" w:bidi="ar"/>
              </w:rPr>
              <w:t>年）》</w:t>
            </w:r>
            <w:r>
              <w:rPr>
                <w:rFonts w:hint="default" w:ascii="宋体" w:hAnsi="宋体" w:eastAsia="宋体" w:cs="宋体"/>
                <w:b/>
                <w:bCs/>
                <w:color w:val="auto"/>
                <w:kern w:val="0"/>
                <w:sz w:val="24"/>
                <w:szCs w:val="24"/>
                <w:lang w:val="en-US" w:eastAsia="zh-CN" w:bidi="ar"/>
              </w:rPr>
              <w:t>符合性分析一览表</w:t>
            </w:r>
          </w:p>
          <w:tbl>
            <w:tblPr>
              <w:tblStyle w:val="27"/>
              <w:tblW w:w="499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127"/>
              <w:gridCol w:w="1524"/>
              <w:gridCol w:w="998"/>
            </w:tblGrid>
            <w:tr w14:paraId="352F69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3351" w:type="pct"/>
                  <w:noWrap w:val="0"/>
                  <w:vAlign w:val="center"/>
                </w:tcPr>
                <w:p w14:paraId="2E1BC7F3">
                  <w:pPr>
                    <w:widowControl/>
                    <w:jc w:val="center"/>
                    <w:rPr>
                      <w:rFonts w:hint="default" w:ascii="Times New Roman" w:hAnsi="Times New Roman" w:eastAsia="宋体" w:cs="Times New Roman"/>
                      <w:b/>
                      <w:bCs w:val="0"/>
                      <w:color w:val="auto"/>
                      <w:sz w:val="21"/>
                      <w:szCs w:val="21"/>
                      <w:highlight w:val="none"/>
                    </w:rPr>
                  </w:pPr>
                  <w:r>
                    <w:rPr>
                      <w:rFonts w:hint="default" w:ascii="Times New Roman" w:hAnsi="Times New Roman" w:eastAsia="宋体" w:cs="Times New Roman"/>
                      <w:b/>
                      <w:bCs w:val="0"/>
                      <w:color w:val="auto"/>
                      <w:sz w:val="21"/>
                      <w:szCs w:val="21"/>
                      <w:highlight w:val="none"/>
                    </w:rPr>
                    <w:t>文件要求</w:t>
                  </w:r>
                </w:p>
              </w:tc>
              <w:tc>
                <w:tcPr>
                  <w:tcW w:w="996" w:type="pct"/>
                  <w:noWrap w:val="0"/>
                  <w:vAlign w:val="center"/>
                </w:tcPr>
                <w:p w14:paraId="2B50E708">
                  <w:pPr>
                    <w:widowControl/>
                    <w:jc w:val="center"/>
                    <w:rPr>
                      <w:rFonts w:hint="default" w:ascii="Times New Roman" w:hAnsi="Times New Roman" w:eastAsia="宋体" w:cs="Times New Roman"/>
                      <w:b/>
                      <w:bCs w:val="0"/>
                      <w:color w:val="auto"/>
                      <w:sz w:val="21"/>
                      <w:szCs w:val="21"/>
                      <w:highlight w:val="none"/>
                    </w:rPr>
                  </w:pPr>
                  <w:r>
                    <w:rPr>
                      <w:rFonts w:hint="default" w:ascii="Times New Roman" w:hAnsi="Times New Roman" w:eastAsia="宋体" w:cs="Times New Roman"/>
                      <w:b/>
                      <w:bCs w:val="0"/>
                      <w:color w:val="auto"/>
                      <w:sz w:val="21"/>
                      <w:szCs w:val="21"/>
                      <w:highlight w:val="none"/>
                    </w:rPr>
                    <w:t>项目情况</w:t>
                  </w:r>
                </w:p>
              </w:tc>
              <w:tc>
                <w:tcPr>
                  <w:tcW w:w="652" w:type="pct"/>
                  <w:noWrap w:val="0"/>
                  <w:vAlign w:val="center"/>
                </w:tcPr>
                <w:p w14:paraId="72929259">
                  <w:pPr>
                    <w:widowControl/>
                    <w:jc w:val="center"/>
                    <w:rPr>
                      <w:rFonts w:hint="default" w:ascii="Times New Roman" w:hAnsi="Times New Roman" w:eastAsia="宋体" w:cs="Times New Roman"/>
                      <w:b/>
                      <w:bCs w:val="0"/>
                      <w:color w:val="auto"/>
                      <w:sz w:val="21"/>
                      <w:szCs w:val="21"/>
                      <w:highlight w:val="none"/>
                    </w:rPr>
                  </w:pPr>
                  <w:r>
                    <w:rPr>
                      <w:rFonts w:hint="default" w:ascii="Times New Roman" w:hAnsi="Times New Roman" w:eastAsia="宋体" w:cs="Times New Roman"/>
                      <w:b/>
                      <w:bCs w:val="0"/>
                      <w:color w:val="auto"/>
                      <w:sz w:val="21"/>
                      <w:szCs w:val="21"/>
                      <w:highlight w:val="none"/>
                    </w:rPr>
                    <w:t>符合性</w:t>
                  </w:r>
                </w:p>
              </w:tc>
            </w:tr>
            <w:tr w14:paraId="2EFBA8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3351" w:type="pct"/>
                  <w:noWrap w:val="0"/>
                  <w:vAlign w:val="center"/>
                </w:tcPr>
                <w:p w14:paraId="2B3D9E42">
                  <w:pPr>
                    <w:widowControl/>
                    <w:jc w:val="center"/>
                    <w:rPr>
                      <w:rFonts w:hint="default" w:ascii="Times New Roman" w:hAnsi="Times New Roman" w:eastAsia="宋体" w:cs="Times New Roman"/>
                      <w:b/>
                      <w:bCs w:val="0"/>
                      <w:color w:val="auto"/>
                      <w:sz w:val="21"/>
                      <w:szCs w:val="21"/>
                      <w:highlight w:val="none"/>
                    </w:rPr>
                  </w:pPr>
                  <w:r>
                    <w:rPr>
                      <w:rFonts w:hint="eastAsia" w:cs="Times New Roman"/>
                      <w:bCs/>
                      <w:color w:val="auto"/>
                      <w:sz w:val="21"/>
                      <w:szCs w:val="21"/>
                      <w:highlight w:val="none"/>
                      <w:lang w:val="en-US" w:eastAsia="zh-CN"/>
                    </w:rPr>
                    <w:t>（一）不建议建设类。危险废物综合处置项目，包括焚烧、填埋、物化、水泥窑协同等处置类项目；能力明显过剩的危险废物利用类项目，重点为废矿物油、铁质废包装桶、非贵金属废催化剂、废活性炭、铝灰、煤焦油等类别危险废物利用项目；危险废物小微单位集中收集转运项目。</w:t>
                  </w:r>
                </w:p>
              </w:tc>
              <w:tc>
                <w:tcPr>
                  <w:tcW w:w="996" w:type="pct"/>
                  <w:noWrap w:val="0"/>
                  <w:vAlign w:val="center"/>
                </w:tcPr>
                <w:p w14:paraId="7B515424">
                  <w:pPr>
                    <w:widowControl/>
                    <w:jc w:val="center"/>
                    <w:rPr>
                      <w:rFonts w:hint="default"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本项目为搬迁项目，</w:t>
                  </w:r>
                  <w:r>
                    <w:rPr>
                      <w:rFonts w:hint="eastAsia" w:cs="Times New Roman"/>
                      <w:bCs/>
                      <w:color w:val="auto"/>
                      <w:sz w:val="21"/>
                      <w:szCs w:val="21"/>
                      <w:highlight w:val="none"/>
                      <w:lang w:val="en-US" w:eastAsia="zh-CN"/>
                    </w:rPr>
                    <w:t>不属于新投资项目。</w:t>
                  </w:r>
                  <w:r>
                    <w:rPr>
                      <w:rFonts w:hint="eastAsia" w:ascii="Times New Roman" w:hAnsi="Times New Roman" w:eastAsia="宋体" w:cs="Times New Roman"/>
                      <w:bCs/>
                      <w:color w:val="auto"/>
                      <w:sz w:val="21"/>
                      <w:szCs w:val="21"/>
                      <w:highlight w:val="none"/>
                      <w:lang w:val="en-US" w:eastAsia="zh-CN"/>
                    </w:rPr>
                    <w:t>现有项目已取得</w:t>
                  </w:r>
                  <w:r>
                    <w:rPr>
                      <w:rFonts w:hint="eastAsia" w:cs="Times New Roman"/>
                      <w:bCs/>
                      <w:color w:val="auto"/>
                      <w:sz w:val="21"/>
                      <w:szCs w:val="21"/>
                      <w:highlight w:val="none"/>
                      <w:lang w:val="en-US" w:eastAsia="zh-CN"/>
                    </w:rPr>
                    <w:t>《危险废物经营许可证》。</w:t>
                  </w:r>
                </w:p>
              </w:tc>
              <w:tc>
                <w:tcPr>
                  <w:tcW w:w="652" w:type="pct"/>
                  <w:noWrap w:val="0"/>
                  <w:vAlign w:val="center"/>
                </w:tcPr>
                <w:p w14:paraId="00B5F38B">
                  <w:pPr>
                    <w:widowControl/>
                    <w:jc w:val="center"/>
                    <w:rPr>
                      <w:rFonts w:hint="eastAsia" w:ascii="Times New Roman" w:hAnsi="Times New Roman" w:eastAsia="宋体" w:cs="Times New Roman"/>
                      <w:b/>
                      <w:bCs w:val="0"/>
                      <w:color w:val="FF0000"/>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符合</w:t>
                  </w:r>
                </w:p>
              </w:tc>
            </w:tr>
            <w:tr w14:paraId="3E10CF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3351" w:type="pct"/>
                  <w:noWrap w:val="0"/>
                  <w:vAlign w:val="center"/>
                </w:tcPr>
                <w:p w14:paraId="3228E285">
                  <w:pPr>
                    <w:widowControl/>
                    <w:jc w:val="center"/>
                    <w:rPr>
                      <w:rFonts w:hint="eastAsia" w:ascii="Times New Roman" w:hAnsi="Times New Roman" w:eastAsia="宋体" w:cs="Times New Roman"/>
                      <w:bCs/>
                      <w:color w:val="FF0000"/>
                      <w:sz w:val="21"/>
                      <w:szCs w:val="21"/>
                      <w:highlight w:val="none"/>
                    </w:rPr>
                  </w:pPr>
                  <w:r>
                    <w:rPr>
                      <w:rFonts w:hint="eastAsia" w:cs="Times New Roman"/>
                      <w:bCs/>
                      <w:color w:val="auto"/>
                      <w:sz w:val="21"/>
                      <w:szCs w:val="21"/>
                      <w:highlight w:val="none"/>
                      <w:lang w:val="en-US" w:eastAsia="zh-CN"/>
                    </w:rPr>
                    <w:t>（二）谨慎建设类。全省危险废物利用处置能力完全满足产废企业危险废物处理需求，且处理价格整体不高，建议危险废物产生单位谨慎新建自行利用处置设施。</w:t>
                  </w:r>
                </w:p>
              </w:tc>
              <w:tc>
                <w:tcPr>
                  <w:tcW w:w="996" w:type="pct"/>
                  <w:noWrap w:val="0"/>
                  <w:vAlign w:val="center"/>
                </w:tcPr>
                <w:p w14:paraId="3D82C4A4">
                  <w:pPr>
                    <w:widowControl/>
                    <w:jc w:val="center"/>
                    <w:rPr>
                      <w:rFonts w:hint="default" w:cs="Times New Roman"/>
                      <w:bCs/>
                      <w:color w:val="auto"/>
                      <w:sz w:val="21"/>
                      <w:szCs w:val="21"/>
                      <w:highlight w:val="none"/>
                      <w:lang w:val="en-US" w:eastAsia="zh-CN"/>
                    </w:rPr>
                  </w:pPr>
                  <w:r>
                    <w:rPr>
                      <w:rFonts w:hint="eastAsia" w:cs="Times New Roman"/>
                      <w:bCs/>
                      <w:color w:val="auto"/>
                      <w:sz w:val="21"/>
                      <w:szCs w:val="21"/>
                      <w:highlight w:val="none"/>
                      <w:lang w:val="en-US" w:eastAsia="zh-CN"/>
                    </w:rPr>
                    <w:t>不属于处置企业及产生单位</w:t>
                  </w:r>
                </w:p>
              </w:tc>
              <w:tc>
                <w:tcPr>
                  <w:tcW w:w="652" w:type="pct"/>
                  <w:noWrap w:val="0"/>
                  <w:vAlign w:val="center"/>
                </w:tcPr>
                <w:p w14:paraId="53545510">
                  <w:pPr>
                    <w:widowControl/>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符合</w:t>
                  </w:r>
                </w:p>
              </w:tc>
            </w:tr>
            <w:tr w14:paraId="2BBD7C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3351" w:type="pct"/>
                  <w:noWrap w:val="0"/>
                  <w:vAlign w:val="center"/>
                </w:tcPr>
                <w:p w14:paraId="6C421D66">
                  <w:pPr>
                    <w:widowControl/>
                    <w:jc w:val="center"/>
                    <w:rPr>
                      <w:rFonts w:hint="eastAsia" w:ascii="Times New Roman" w:hAnsi="Times New Roman" w:eastAsia="宋体" w:cs="Times New Roman"/>
                      <w:bCs/>
                      <w:color w:val="FF0000"/>
                      <w:sz w:val="21"/>
                      <w:szCs w:val="21"/>
                      <w:highlight w:val="none"/>
                    </w:rPr>
                  </w:pPr>
                  <w:r>
                    <w:rPr>
                      <w:rFonts w:hint="eastAsia" w:cs="Times New Roman"/>
                      <w:bCs/>
                      <w:color w:val="auto"/>
                      <w:sz w:val="21"/>
                      <w:szCs w:val="21"/>
                      <w:highlight w:val="none"/>
                      <w:lang w:val="en-US" w:eastAsia="zh-CN"/>
                    </w:rPr>
                    <w:t>（三）鼓励建设类。针对高硅尾渣、焚烧灰渣（含生活垃圾焚烧飞灰）、杂盐、污泥等大量贮存或以填埋为主的危险废物，建设工艺成熟、运行稳定的高标准利用项目；现有危险废物持证利用处置企业通过兼并重组、提标改造等方式，规模化发展、专业化运营，建设全省危险废物利用处置示范性企业，推动提升全省危险废物规范管理及利用处置水平。</w:t>
                  </w:r>
                </w:p>
              </w:tc>
              <w:tc>
                <w:tcPr>
                  <w:tcW w:w="996" w:type="pct"/>
                  <w:noWrap w:val="0"/>
                  <w:vAlign w:val="center"/>
                </w:tcPr>
                <w:p w14:paraId="092F5388">
                  <w:pPr>
                    <w:widowControl/>
                    <w:jc w:val="center"/>
                    <w:rPr>
                      <w:rFonts w:hint="default" w:cs="Times New Roman"/>
                      <w:bCs/>
                      <w:color w:val="auto"/>
                      <w:sz w:val="21"/>
                      <w:szCs w:val="21"/>
                      <w:highlight w:val="none"/>
                      <w:lang w:val="en-US" w:eastAsia="zh-CN"/>
                    </w:rPr>
                  </w:pPr>
                  <w:r>
                    <w:rPr>
                      <w:rFonts w:hint="eastAsia" w:cs="Times New Roman"/>
                      <w:bCs/>
                      <w:color w:val="auto"/>
                      <w:sz w:val="21"/>
                      <w:szCs w:val="21"/>
                      <w:highlight w:val="none"/>
                      <w:lang w:val="en-US" w:eastAsia="zh-CN"/>
                    </w:rPr>
                    <w:t>不属于利用、处置企业</w:t>
                  </w:r>
                </w:p>
              </w:tc>
              <w:tc>
                <w:tcPr>
                  <w:tcW w:w="652" w:type="pct"/>
                  <w:noWrap w:val="0"/>
                  <w:vAlign w:val="center"/>
                </w:tcPr>
                <w:p w14:paraId="2DBCFE01">
                  <w:pPr>
                    <w:widowControl/>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符合</w:t>
                  </w:r>
                </w:p>
              </w:tc>
            </w:tr>
          </w:tbl>
          <w:p w14:paraId="60D022E5">
            <w:pPr>
              <w:keepNext w:val="0"/>
              <w:keepLines w:val="0"/>
              <w:pageBreakBefore w:val="0"/>
              <w:widowControl w:val="0"/>
              <w:numPr>
                <w:ilvl w:val="0"/>
                <w:numId w:val="8"/>
              </w:numPr>
              <w:kinsoku/>
              <w:wordWrap/>
              <w:overflowPunct/>
              <w:topLinePunct w:val="0"/>
              <w:autoSpaceDE/>
              <w:autoSpaceDN/>
              <w:bidi w:val="0"/>
              <w:adjustRightInd/>
              <w:snapToGrid/>
              <w:spacing w:line="360" w:lineRule="auto"/>
              <w:ind w:left="0" w:leftChars="0" w:firstLine="425" w:firstLineChars="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与《</w:t>
            </w:r>
            <w:r>
              <w:rPr>
                <w:rFonts w:hint="default" w:ascii="Times New Roman" w:hAnsi="Times New Roman" w:cs="Times New Roman"/>
                <w:color w:val="auto"/>
                <w:sz w:val="24"/>
                <w:highlight w:val="none"/>
                <w:lang w:val="en-US" w:eastAsia="zh-CN"/>
              </w:rPr>
              <w:t>淄博市2025年</w:t>
            </w:r>
            <w:r>
              <w:rPr>
                <w:rFonts w:hint="default" w:ascii="Times New Roman" w:hAnsi="Times New Roman" w:eastAsia="宋体" w:cs="Times New Roman"/>
                <w:color w:val="auto"/>
                <w:sz w:val="24"/>
                <w:highlight w:val="none"/>
                <w:lang w:val="en-US" w:eastAsia="zh-CN"/>
              </w:rPr>
              <w:t>危险废物利用处置设施</w:t>
            </w:r>
            <w:r>
              <w:rPr>
                <w:rFonts w:hint="default" w:ascii="Times New Roman" w:hAnsi="Times New Roman" w:cs="Times New Roman"/>
                <w:color w:val="auto"/>
                <w:sz w:val="24"/>
                <w:highlight w:val="none"/>
                <w:lang w:val="en-US" w:eastAsia="zh-CN"/>
              </w:rPr>
              <w:t>建设</w:t>
            </w:r>
            <w:r>
              <w:rPr>
                <w:rFonts w:hint="default" w:ascii="Times New Roman" w:hAnsi="Times New Roman" w:eastAsia="宋体" w:cs="Times New Roman"/>
                <w:color w:val="auto"/>
                <w:sz w:val="24"/>
                <w:highlight w:val="none"/>
                <w:lang w:val="en-US" w:eastAsia="zh-CN"/>
              </w:rPr>
              <w:t>投资引导性公告》符合性分析</w:t>
            </w:r>
          </w:p>
          <w:p w14:paraId="766D4A71">
            <w:pPr>
              <w:keepNext w:val="0"/>
              <w:keepLines w:val="0"/>
              <w:pageBreakBefore w:val="0"/>
              <w:widowControl w:val="0"/>
              <w:numPr>
                <w:ilvl w:val="0"/>
                <w:numId w:val="9"/>
              </w:numPr>
              <w:kinsoku/>
              <w:wordWrap/>
              <w:overflowPunct/>
              <w:topLinePunct w:val="0"/>
              <w:autoSpaceDE w:val="0"/>
              <w:autoSpaceDN w:val="0"/>
              <w:bidi w:val="0"/>
              <w:adjustRightInd w:val="0"/>
              <w:snapToGrid/>
              <w:spacing w:line="360" w:lineRule="auto"/>
              <w:ind w:left="0" w:leftChars="0" w:firstLine="0" w:firstLineChars="0"/>
              <w:jc w:val="center"/>
              <w:textAlignment w:val="auto"/>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b/>
                <w:bCs/>
                <w:color w:val="auto"/>
                <w:kern w:val="0"/>
                <w:sz w:val="24"/>
                <w:szCs w:val="24"/>
                <w:lang w:val="en-US" w:eastAsia="zh-CN" w:bidi="ar"/>
              </w:rPr>
              <w:t>与《淄博市2025年危险废物利用处置设施建设投资引导性公告》符合性分析一览表</w:t>
            </w:r>
          </w:p>
          <w:tbl>
            <w:tblPr>
              <w:tblStyle w:val="27"/>
              <w:tblW w:w="499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128"/>
              <w:gridCol w:w="1523"/>
              <w:gridCol w:w="998"/>
            </w:tblGrid>
            <w:tr w14:paraId="229568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3351" w:type="pct"/>
                  <w:noWrap w:val="0"/>
                  <w:vAlign w:val="center"/>
                </w:tcPr>
                <w:p w14:paraId="05729E04">
                  <w:pPr>
                    <w:widowControl/>
                    <w:jc w:val="center"/>
                    <w:rPr>
                      <w:rFonts w:hint="default" w:ascii="Times New Roman" w:hAnsi="Times New Roman" w:eastAsia="宋体" w:cs="Times New Roman"/>
                      <w:b/>
                      <w:bCs w:val="0"/>
                      <w:color w:val="auto"/>
                      <w:sz w:val="21"/>
                      <w:szCs w:val="21"/>
                      <w:highlight w:val="none"/>
                    </w:rPr>
                  </w:pPr>
                  <w:r>
                    <w:rPr>
                      <w:rFonts w:hint="default" w:ascii="Times New Roman" w:hAnsi="Times New Roman" w:eastAsia="宋体" w:cs="Times New Roman"/>
                      <w:b/>
                      <w:bCs w:val="0"/>
                      <w:color w:val="auto"/>
                      <w:sz w:val="21"/>
                      <w:szCs w:val="21"/>
                      <w:highlight w:val="none"/>
                    </w:rPr>
                    <w:t>文件要求</w:t>
                  </w:r>
                </w:p>
              </w:tc>
              <w:tc>
                <w:tcPr>
                  <w:tcW w:w="995" w:type="pct"/>
                  <w:noWrap w:val="0"/>
                  <w:vAlign w:val="center"/>
                </w:tcPr>
                <w:p w14:paraId="7A87B113">
                  <w:pPr>
                    <w:widowControl/>
                    <w:jc w:val="center"/>
                    <w:rPr>
                      <w:rFonts w:hint="default" w:ascii="Times New Roman" w:hAnsi="Times New Roman" w:eastAsia="宋体" w:cs="Times New Roman"/>
                      <w:b/>
                      <w:bCs w:val="0"/>
                      <w:color w:val="auto"/>
                      <w:sz w:val="21"/>
                      <w:szCs w:val="21"/>
                      <w:highlight w:val="none"/>
                    </w:rPr>
                  </w:pPr>
                  <w:r>
                    <w:rPr>
                      <w:rFonts w:hint="default" w:ascii="Times New Roman" w:hAnsi="Times New Roman" w:eastAsia="宋体" w:cs="Times New Roman"/>
                      <w:b/>
                      <w:bCs w:val="0"/>
                      <w:color w:val="auto"/>
                      <w:sz w:val="21"/>
                      <w:szCs w:val="21"/>
                      <w:highlight w:val="none"/>
                    </w:rPr>
                    <w:t>项目情况</w:t>
                  </w:r>
                </w:p>
              </w:tc>
              <w:tc>
                <w:tcPr>
                  <w:tcW w:w="652" w:type="pct"/>
                  <w:noWrap w:val="0"/>
                  <w:vAlign w:val="center"/>
                </w:tcPr>
                <w:p w14:paraId="3A59610B">
                  <w:pPr>
                    <w:widowControl/>
                    <w:jc w:val="center"/>
                    <w:rPr>
                      <w:rFonts w:hint="default" w:ascii="Times New Roman" w:hAnsi="Times New Roman" w:eastAsia="宋体" w:cs="Times New Roman"/>
                      <w:b/>
                      <w:bCs w:val="0"/>
                      <w:color w:val="auto"/>
                      <w:sz w:val="21"/>
                      <w:szCs w:val="21"/>
                      <w:highlight w:val="none"/>
                    </w:rPr>
                  </w:pPr>
                  <w:r>
                    <w:rPr>
                      <w:rFonts w:hint="default" w:ascii="Times New Roman" w:hAnsi="Times New Roman" w:eastAsia="宋体" w:cs="Times New Roman"/>
                      <w:b/>
                      <w:bCs w:val="0"/>
                      <w:color w:val="auto"/>
                      <w:sz w:val="21"/>
                      <w:szCs w:val="21"/>
                      <w:highlight w:val="none"/>
                    </w:rPr>
                    <w:t>符合性</w:t>
                  </w:r>
                </w:p>
              </w:tc>
            </w:tr>
            <w:tr w14:paraId="1E2A48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3351" w:type="pct"/>
                  <w:noWrap w:val="0"/>
                  <w:vAlign w:val="center"/>
                </w:tcPr>
                <w:p w14:paraId="12489449">
                  <w:pPr>
                    <w:widowControl/>
                    <w:jc w:val="center"/>
                    <w:rPr>
                      <w:rFonts w:hint="default" w:ascii="Times New Roman" w:hAnsi="Times New Roman" w:eastAsia="宋体" w:cs="Times New Roman"/>
                      <w:b/>
                      <w:bCs w:val="0"/>
                      <w:color w:val="auto"/>
                      <w:sz w:val="21"/>
                      <w:szCs w:val="21"/>
                      <w:highlight w:val="none"/>
                    </w:rPr>
                  </w:pPr>
                  <w:r>
                    <w:rPr>
                      <w:rFonts w:hint="default" w:cs="Times New Roman"/>
                      <w:bCs/>
                      <w:color w:val="auto"/>
                      <w:sz w:val="21"/>
                      <w:szCs w:val="21"/>
                      <w:highlight w:val="none"/>
                      <w:lang w:val="en-US" w:eastAsia="zh-CN"/>
                    </w:rPr>
                    <w:t>（四）不建议投资危险废物（含医疗废物）综合处置类项目，包括焚烧、填埋、物化、水泥窑协同处置等。</w:t>
                  </w:r>
                </w:p>
              </w:tc>
              <w:tc>
                <w:tcPr>
                  <w:tcW w:w="995" w:type="pct"/>
                  <w:vMerge w:val="restart"/>
                  <w:noWrap w:val="0"/>
                  <w:vAlign w:val="center"/>
                </w:tcPr>
                <w:p w14:paraId="317D783B">
                  <w:pPr>
                    <w:widowControl/>
                    <w:jc w:val="center"/>
                    <w:rPr>
                      <w:rFonts w:hint="default"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本项目为搬迁项目，</w:t>
                  </w:r>
                  <w:r>
                    <w:rPr>
                      <w:rFonts w:hint="eastAsia" w:cs="Times New Roman"/>
                      <w:bCs/>
                      <w:color w:val="auto"/>
                      <w:sz w:val="21"/>
                      <w:szCs w:val="21"/>
                      <w:highlight w:val="none"/>
                      <w:lang w:val="en-US" w:eastAsia="zh-CN"/>
                    </w:rPr>
                    <w:t>不属于新投资项目。</w:t>
                  </w:r>
                  <w:r>
                    <w:rPr>
                      <w:rFonts w:hint="eastAsia" w:ascii="Times New Roman" w:hAnsi="Times New Roman" w:eastAsia="宋体" w:cs="Times New Roman"/>
                      <w:bCs/>
                      <w:color w:val="auto"/>
                      <w:sz w:val="21"/>
                      <w:szCs w:val="21"/>
                      <w:highlight w:val="none"/>
                      <w:lang w:val="en-US" w:eastAsia="zh-CN"/>
                    </w:rPr>
                    <w:t>现有项目已取得</w:t>
                  </w:r>
                  <w:r>
                    <w:rPr>
                      <w:rFonts w:hint="eastAsia" w:cs="Times New Roman"/>
                      <w:bCs/>
                      <w:color w:val="auto"/>
                      <w:sz w:val="21"/>
                      <w:szCs w:val="21"/>
                      <w:highlight w:val="none"/>
                      <w:lang w:val="en-US" w:eastAsia="zh-CN"/>
                    </w:rPr>
                    <w:t>《危险废物经营许可证》。</w:t>
                  </w:r>
                </w:p>
              </w:tc>
              <w:tc>
                <w:tcPr>
                  <w:tcW w:w="652" w:type="pct"/>
                  <w:noWrap w:val="0"/>
                  <w:vAlign w:val="center"/>
                </w:tcPr>
                <w:p w14:paraId="00BA5F00">
                  <w:pPr>
                    <w:widowControl/>
                    <w:jc w:val="center"/>
                    <w:rPr>
                      <w:rFonts w:hint="eastAsia" w:ascii="Times New Roman" w:hAnsi="Times New Roman" w:eastAsia="宋体" w:cs="Times New Roman"/>
                      <w:b/>
                      <w:bCs w:val="0"/>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符合</w:t>
                  </w:r>
                </w:p>
              </w:tc>
            </w:tr>
            <w:tr w14:paraId="4F21BD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3351" w:type="pct"/>
                  <w:noWrap w:val="0"/>
                  <w:vAlign w:val="center"/>
                </w:tcPr>
                <w:p w14:paraId="336E2AA1">
                  <w:pPr>
                    <w:widowControl/>
                    <w:jc w:val="center"/>
                    <w:rPr>
                      <w:rFonts w:hint="eastAsia" w:ascii="Times New Roman" w:hAnsi="Times New Roman" w:eastAsia="宋体" w:cs="Times New Roman"/>
                      <w:bCs/>
                      <w:color w:val="auto"/>
                      <w:sz w:val="21"/>
                      <w:szCs w:val="21"/>
                      <w:highlight w:val="none"/>
                    </w:rPr>
                  </w:pPr>
                  <w:r>
                    <w:rPr>
                      <w:rFonts w:hint="default" w:cs="Times New Roman"/>
                      <w:bCs/>
                      <w:color w:val="auto"/>
                      <w:sz w:val="21"/>
                      <w:szCs w:val="21"/>
                      <w:highlight w:val="none"/>
                      <w:lang w:val="en-US" w:eastAsia="zh-CN"/>
                    </w:rPr>
                    <w:t>（五）不建议投资废矿物油、废催化剂、废活性炭、废有机溶剂、废煤焦油等与我市现有技术同质化严重且能力明显过剩的利用类项目，避免产能过剩。</w:t>
                  </w:r>
                </w:p>
              </w:tc>
              <w:tc>
                <w:tcPr>
                  <w:tcW w:w="995" w:type="pct"/>
                  <w:vMerge w:val="continue"/>
                  <w:noWrap w:val="0"/>
                  <w:vAlign w:val="center"/>
                </w:tcPr>
                <w:p w14:paraId="4A8DA6D1">
                  <w:pPr>
                    <w:widowControl/>
                    <w:jc w:val="center"/>
                    <w:rPr>
                      <w:rFonts w:hint="default" w:cs="Times New Roman"/>
                      <w:bCs/>
                      <w:color w:val="auto"/>
                      <w:sz w:val="21"/>
                      <w:szCs w:val="21"/>
                      <w:highlight w:val="none"/>
                      <w:lang w:val="en-US" w:eastAsia="zh-CN"/>
                    </w:rPr>
                  </w:pPr>
                </w:p>
              </w:tc>
              <w:tc>
                <w:tcPr>
                  <w:tcW w:w="652" w:type="pct"/>
                  <w:noWrap w:val="0"/>
                  <w:vAlign w:val="center"/>
                </w:tcPr>
                <w:p w14:paraId="085FC11A">
                  <w:pPr>
                    <w:widowControl/>
                    <w:jc w:val="center"/>
                    <w:rPr>
                      <w:rFonts w:hint="eastAsia"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符合</w:t>
                  </w:r>
                </w:p>
              </w:tc>
            </w:tr>
            <w:tr w14:paraId="744680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3351" w:type="pct"/>
                  <w:noWrap w:val="0"/>
                  <w:vAlign w:val="center"/>
                </w:tcPr>
                <w:p w14:paraId="2F960550">
                  <w:pPr>
                    <w:widowControl/>
                    <w:jc w:val="center"/>
                    <w:rPr>
                      <w:rFonts w:hint="eastAsia" w:ascii="Times New Roman" w:hAnsi="Times New Roman" w:eastAsia="宋体" w:cs="Times New Roman"/>
                      <w:bCs/>
                      <w:color w:val="auto"/>
                      <w:sz w:val="21"/>
                      <w:szCs w:val="21"/>
                      <w:highlight w:val="none"/>
                    </w:rPr>
                  </w:pPr>
                  <w:r>
                    <w:rPr>
                      <w:rFonts w:hint="default" w:cs="Times New Roman"/>
                      <w:bCs/>
                      <w:color w:val="auto"/>
                      <w:sz w:val="21"/>
                      <w:szCs w:val="21"/>
                      <w:highlight w:val="none"/>
                      <w:lang w:val="en-US" w:eastAsia="zh-CN"/>
                    </w:rPr>
                    <w:t>（六）不建议投资危险废物综合收集项目、机动车维修废矿物油及废铅酸蓄电池收集项目。</w:t>
                  </w:r>
                </w:p>
              </w:tc>
              <w:tc>
                <w:tcPr>
                  <w:tcW w:w="995" w:type="pct"/>
                  <w:vMerge w:val="continue"/>
                  <w:noWrap w:val="0"/>
                  <w:vAlign w:val="center"/>
                </w:tcPr>
                <w:p w14:paraId="54FF24AA">
                  <w:pPr>
                    <w:widowControl/>
                    <w:jc w:val="center"/>
                    <w:rPr>
                      <w:rFonts w:hint="default" w:cs="Times New Roman"/>
                      <w:bCs/>
                      <w:color w:val="auto"/>
                      <w:sz w:val="21"/>
                      <w:szCs w:val="21"/>
                      <w:highlight w:val="none"/>
                      <w:lang w:val="en-US" w:eastAsia="zh-CN"/>
                    </w:rPr>
                  </w:pPr>
                </w:p>
              </w:tc>
              <w:tc>
                <w:tcPr>
                  <w:tcW w:w="652" w:type="pct"/>
                  <w:noWrap w:val="0"/>
                  <w:vAlign w:val="center"/>
                </w:tcPr>
                <w:p w14:paraId="7D922F68">
                  <w:pPr>
                    <w:widowControl/>
                    <w:jc w:val="center"/>
                    <w:rPr>
                      <w:rFonts w:hint="eastAsia"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符合</w:t>
                  </w:r>
                </w:p>
              </w:tc>
            </w:tr>
          </w:tbl>
          <w:p w14:paraId="3EE9C1E9">
            <w:pPr>
              <w:keepNext w:val="0"/>
              <w:keepLines w:val="0"/>
              <w:pageBreakBefore w:val="0"/>
              <w:widowControl w:val="0"/>
              <w:numPr>
                <w:ilvl w:val="0"/>
                <w:numId w:val="8"/>
              </w:numPr>
              <w:kinsoku/>
              <w:wordWrap/>
              <w:overflowPunct/>
              <w:topLinePunct w:val="0"/>
              <w:autoSpaceDE/>
              <w:autoSpaceDN/>
              <w:bidi w:val="0"/>
              <w:adjustRightInd/>
              <w:snapToGrid/>
              <w:spacing w:line="360" w:lineRule="auto"/>
              <w:ind w:left="0" w:leftChars="0" w:firstLine="425" w:firstLineChars="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与《</w:t>
            </w:r>
            <w:r>
              <w:rPr>
                <w:rFonts w:hint="eastAsia" w:cs="Times New Roman"/>
                <w:color w:val="auto"/>
                <w:sz w:val="24"/>
                <w:highlight w:val="none"/>
                <w:lang w:val="en-US" w:eastAsia="zh-CN"/>
              </w:rPr>
              <w:t>关于进一步加强危险废物环境治理严密防控环境风险的指导意见</w:t>
            </w:r>
            <w:r>
              <w:rPr>
                <w:rFonts w:hint="default" w:ascii="Times New Roman" w:hAnsi="Times New Roman" w:eastAsia="宋体" w:cs="Times New Roman"/>
                <w:color w:val="auto"/>
                <w:sz w:val="24"/>
                <w:highlight w:val="none"/>
                <w:lang w:val="en-US" w:eastAsia="zh-CN"/>
              </w:rPr>
              <w:t>》</w:t>
            </w:r>
            <w:r>
              <w:rPr>
                <w:rFonts w:hint="eastAsia" w:cs="Times New Roman"/>
                <w:color w:val="auto"/>
                <w:sz w:val="24"/>
                <w:highlight w:val="none"/>
                <w:lang w:val="en-US" w:eastAsia="zh-CN"/>
              </w:rPr>
              <w:t>（环固体[2025]10号）</w:t>
            </w:r>
            <w:r>
              <w:rPr>
                <w:rFonts w:hint="default" w:ascii="Times New Roman" w:hAnsi="Times New Roman" w:eastAsia="宋体" w:cs="Times New Roman"/>
                <w:color w:val="auto"/>
                <w:sz w:val="24"/>
                <w:highlight w:val="none"/>
                <w:lang w:val="en-US" w:eastAsia="zh-CN"/>
              </w:rPr>
              <w:t>符合性分析</w:t>
            </w:r>
          </w:p>
          <w:p w14:paraId="782B8162">
            <w:pPr>
              <w:keepNext w:val="0"/>
              <w:keepLines w:val="0"/>
              <w:pageBreakBefore w:val="0"/>
              <w:widowControl w:val="0"/>
              <w:numPr>
                <w:ilvl w:val="0"/>
                <w:numId w:val="9"/>
              </w:numPr>
              <w:kinsoku/>
              <w:wordWrap/>
              <w:overflowPunct/>
              <w:topLinePunct w:val="0"/>
              <w:autoSpaceDE w:val="0"/>
              <w:autoSpaceDN w:val="0"/>
              <w:bidi w:val="0"/>
              <w:adjustRightInd w:val="0"/>
              <w:snapToGrid/>
              <w:spacing w:line="360" w:lineRule="auto"/>
              <w:ind w:left="0" w:leftChars="0" w:firstLine="0" w:firstLineChars="0"/>
              <w:jc w:val="center"/>
              <w:textAlignment w:val="auto"/>
              <w:rPr>
                <w:rFonts w:hint="default" w:ascii="宋体" w:hAnsi="宋体" w:eastAsia="宋体" w:cs="宋体"/>
                <w:b/>
                <w:bCs/>
                <w:color w:val="auto"/>
                <w:kern w:val="0"/>
                <w:sz w:val="24"/>
                <w:szCs w:val="24"/>
                <w:lang w:val="en-US" w:eastAsia="zh-CN" w:bidi="ar"/>
              </w:rPr>
            </w:pPr>
            <w:r>
              <w:rPr>
                <w:rFonts w:hint="default" w:ascii="宋体" w:hAnsi="宋体" w:eastAsia="宋体" w:cs="宋体"/>
                <w:b/>
                <w:bCs/>
                <w:color w:val="auto"/>
                <w:kern w:val="0"/>
                <w:sz w:val="24"/>
                <w:szCs w:val="24"/>
                <w:lang w:val="en-US" w:eastAsia="zh-CN" w:bidi="ar"/>
              </w:rPr>
              <w:t>与</w:t>
            </w:r>
            <w:r>
              <w:rPr>
                <w:rFonts w:hint="eastAsia" w:ascii="宋体" w:hAnsi="宋体" w:eastAsia="宋体" w:cs="宋体"/>
                <w:b/>
                <w:bCs/>
                <w:color w:val="auto"/>
                <w:kern w:val="0"/>
                <w:sz w:val="24"/>
                <w:szCs w:val="24"/>
                <w:lang w:val="en-US" w:eastAsia="zh-CN" w:bidi="ar"/>
              </w:rPr>
              <w:t>环固体[2025]10号</w:t>
            </w:r>
            <w:r>
              <w:rPr>
                <w:rFonts w:hint="eastAsia" w:ascii="宋体" w:hAnsi="宋体" w:cs="宋体"/>
                <w:b/>
                <w:bCs/>
                <w:color w:val="auto"/>
                <w:kern w:val="0"/>
                <w:sz w:val="24"/>
                <w:szCs w:val="24"/>
                <w:lang w:val="en-US" w:eastAsia="zh-CN" w:bidi="ar"/>
              </w:rPr>
              <w:t>文</w:t>
            </w:r>
            <w:r>
              <w:rPr>
                <w:rFonts w:hint="default" w:ascii="宋体" w:hAnsi="宋体" w:eastAsia="宋体" w:cs="宋体"/>
                <w:b/>
                <w:bCs/>
                <w:color w:val="auto"/>
                <w:kern w:val="0"/>
                <w:sz w:val="24"/>
                <w:szCs w:val="24"/>
                <w:lang w:val="en-US" w:eastAsia="zh-CN" w:bidi="ar"/>
              </w:rPr>
              <w:t>符合性分析一览表</w:t>
            </w:r>
          </w:p>
          <w:tbl>
            <w:tblPr>
              <w:tblStyle w:val="27"/>
              <w:tblW w:w="499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77"/>
              <w:gridCol w:w="4451"/>
              <w:gridCol w:w="1523"/>
              <w:gridCol w:w="998"/>
            </w:tblGrid>
            <w:tr w14:paraId="0520AF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3352" w:type="pct"/>
                  <w:gridSpan w:val="2"/>
                  <w:noWrap w:val="0"/>
                  <w:vAlign w:val="center"/>
                </w:tcPr>
                <w:p w14:paraId="569A8456">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val="0"/>
                      <w:color w:val="auto"/>
                      <w:sz w:val="21"/>
                      <w:szCs w:val="21"/>
                      <w:highlight w:val="none"/>
                    </w:rPr>
                  </w:pPr>
                  <w:r>
                    <w:rPr>
                      <w:rFonts w:hint="default" w:ascii="Times New Roman" w:hAnsi="Times New Roman" w:eastAsia="宋体" w:cs="Times New Roman"/>
                      <w:b/>
                      <w:bCs w:val="0"/>
                      <w:color w:val="auto"/>
                      <w:sz w:val="21"/>
                      <w:szCs w:val="21"/>
                      <w:highlight w:val="none"/>
                    </w:rPr>
                    <w:t>文件要求</w:t>
                  </w:r>
                </w:p>
              </w:tc>
              <w:tc>
                <w:tcPr>
                  <w:tcW w:w="995" w:type="pct"/>
                  <w:noWrap w:val="0"/>
                  <w:vAlign w:val="center"/>
                </w:tcPr>
                <w:p w14:paraId="61BDB6F6">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val="0"/>
                      <w:color w:val="auto"/>
                      <w:sz w:val="21"/>
                      <w:szCs w:val="21"/>
                      <w:highlight w:val="none"/>
                    </w:rPr>
                  </w:pPr>
                  <w:r>
                    <w:rPr>
                      <w:rFonts w:hint="default" w:ascii="Times New Roman" w:hAnsi="Times New Roman" w:eastAsia="宋体" w:cs="Times New Roman"/>
                      <w:b/>
                      <w:bCs w:val="0"/>
                      <w:color w:val="auto"/>
                      <w:sz w:val="21"/>
                      <w:szCs w:val="21"/>
                      <w:highlight w:val="none"/>
                    </w:rPr>
                    <w:t>项目情况</w:t>
                  </w:r>
                </w:p>
              </w:tc>
              <w:tc>
                <w:tcPr>
                  <w:tcW w:w="652" w:type="pct"/>
                  <w:noWrap w:val="0"/>
                  <w:vAlign w:val="center"/>
                </w:tcPr>
                <w:p w14:paraId="03B435F3">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val="0"/>
                      <w:color w:val="auto"/>
                      <w:sz w:val="21"/>
                      <w:szCs w:val="21"/>
                      <w:highlight w:val="none"/>
                    </w:rPr>
                  </w:pPr>
                  <w:r>
                    <w:rPr>
                      <w:rFonts w:hint="default" w:ascii="Times New Roman" w:hAnsi="Times New Roman" w:eastAsia="宋体" w:cs="Times New Roman"/>
                      <w:b/>
                      <w:bCs w:val="0"/>
                      <w:color w:val="auto"/>
                      <w:sz w:val="21"/>
                      <w:szCs w:val="21"/>
                      <w:highlight w:val="none"/>
                    </w:rPr>
                    <w:t>符合性</w:t>
                  </w:r>
                </w:p>
              </w:tc>
            </w:tr>
            <w:tr w14:paraId="23329E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443" w:type="pct"/>
                  <w:vMerge w:val="restart"/>
                  <w:noWrap w:val="0"/>
                  <w:vAlign w:val="center"/>
                </w:tcPr>
                <w:p w14:paraId="71B351CD">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val="0"/>
                      <w:color w:val="auto"/>
                      <w:sz w:val="21"/>
                      <w:szCs w:val="21"/>
                      <w:highlight w:val="none"/>
                    </w:rPr>
                  </w:pPr>
                  <w:r>
                    <w:rPr>
                      <w:rFonts w:hint="default" w:ascii="Times New Roman" w:hAnsi="Times New Roman" w:eastAsia="宋体" w:cs="Times New Roman"/>
                      <w:i w:val="0"/>
                      <w:iCs w:val="0"/>
                      <w:caps w:val="0"/>
                      <w:color w:val="000000"/>
                      <w:spacing w:val="0"/>
                      <w:sz w:val="21"/>
                      <w:szCs w:val="21"/>
                    </w:rPr>
                    <w:t>二、提升危险废物收集处置保障能力</w:t>
                  </w:r>
                </w:p>
              </w:tc>
              <w:tc>
                <w:tcPr>
                  <w:tcW w:w="2909" w:type="pct"/>
                  <w:noWrap w:val="0"/>
                  <w:vAlign w:val="center"/>
                </w:tcPr>
                <w:p w14:paraId="3D4390FE">
                  <w:pPr>
                    <w:pStyle w:val="2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right="0"/>
                    <w:textAlignment w:val="auto"/>
                    <w:rPr>
                      <w:rFonts w:hint="default" w:ascii="Times New Roman" w:hAnsi="Times New Roman" w:eastAsia="宋体" w:cs="Times New Roman"/>
                      <w:sz w:val="21"/>
                      <w:szCs w:val="21"/>
                    </w:rPr>
                  </w:pPr>
                  <w:r>
                    <w:rPr>
                      <w:rFonts w:hint="default" w:ascii="Times New Roman" w:hAnsi="Times New Roman" w:eastAsia="宋体" w:cs="Times New Roman"/>
                      <w:i w:val="0"/>
                      <w:iCs w:val="0"/>
                      <w:caps w:val="0"/>
                      <w:color w:val="000000"/>
                      <w:spacing w:val="0"/>
                      <w:sz w:val="21"/>
                      <w:szCs w:val="21"/>
                    </w:rPr>
                    <w:t>（一）进一步提升危险废物规范收集转运效率</w:t>
                  </w:r>
                </w:p>
                <w:p w14:paraId="5DAE9589">
                  <w:pPr>
                    <w:pStyle w:val="2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right="0"/>
                    <w:textAlignment w:val="auto"/>
                    <w:rPr>
                      <w:rFonts w:hint="default" w:ascii="Times New Roman" w:hAnsi="Times New Roman" w:eastAsia="宋体" w:cs="Times New Roman"/>
                      <w:sz w:val="21"/>
                      <w:szCs w:val="21"/>
                    </w:rPr>
                  </w:pPr>
                  <w:r>
                    <w:rPr>
                      <w:rFonts w:hint="default" w:ascii="Times New Roman" w:hAnsi="Times New Roman" w:eastAsia="宋体" w:cs="Times New Roman"/>
                      <w:i w:val="0"/>
                      <w:iCs w:val="0"/>
                      <w:caps w:val="0"/>
                      <w:color w:val="000000"/>
                      <w:spacing w:val="0"/>
                      <w:sz w:val="21"/>
                      <w:szCs w:val="21"/>
                    </w:rPr>
                    <w:t>促进收集便利化。持有危险废物收集利用处置许可证的单位应提供规范有序的危险废物收集转运服务。深化小微企业危险废物收集试点，推行“网格化”收集模式，明确试点单位收集的废物种类、服务对象和服务地域范围，推动小微企业危险废物应收尽收。鼓励有条件的收集单位为小微企业“反向”填写危险废物电子转移联单，并为其提供规范环境管理和信息化服务。</w:t>
                  </w:r>
                </w:p>
                <w:p w14:paraId="21AFAE66">
                  <w:pPr>
                    <w:pStyle w:val="2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right="0"/>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i w:val="0"/>
                      <w:iCs w:val="0"/>
                      <w:caps w:val="0"/>
                      <w:color w:val="000000"/>
                      <w:spacing w:val="0"/>
                      <w:sz w:val="21"/>
                      <w:szCs w:val="21"/>
                    </w:rPr>
                    <w:t>　　推动转移快捷化。危险废物转移遵循就近原则，不鼓励大规模、长距离转运处置危险废物。深化废铅蓄电池跨省转移按照省内转移管理试点，适时研究扩大纳入试点的危险废物种类。鼓励开展区域合作的省份间简化危险废物跨省转移审批程序，提高危险废物转移效率。</w:t>
                  </w:r>
                </w:p>
              </w:tc>
              <w:tc>
                <w:tcPr>
                  <w:tcW w:w="995" w:type="pct"/>
                  <w:noWrap w:val="0"/>
                  <w:vAlign w:val="center"/>
                </w:tcPr>
                <w:p w14:paraId="4BEC08EA">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本企业</w:t>
                  </w:r>
                  <w:r>
                    <w:rPr>
                      <w:rFonts w:hint="default" w:ascii="Times New Roman" w:hAnsi="Times New Roman" w:eastAsia="宋体" w:cs="Times New Roman"/>
                      <w:bCs/>
                      <w:color w:val="auto"/>
                      <w:sz w:val="21"/>
                      <w:szCs w:val="21"/>
                      <w:highlight w:val="none"/>
                      <w:lang w:val="en-US" w:eastAsia="zh-CN"/>
                    </w:rPr>
                    <w:t>已取得《危险废物经营许可证》。</w:t>
                  </w:r>
                  <w:r>
                    <w:rPr>
                      <w:rFonts w:hint="eastAsia" w:cs="Times New Roman"/>
                      <w:bCs/>
                      <w:color w:val="auto"/>
                      <w:sz w:val="21"/>
                      <w:szCs w:val="21"/>
                      <w:highlight w:val="none"/>
                      <w:lang w:val="en-US" w:eastAsia="zh-CN"/>
                    </w:rPr>
                    <w:t>属于危险废物收集单位，服务于淄博市各产废企业</w:t>
                  </w:r>
                </w:p>
              </w:tc>
              <w:tc>
                <w:tcPr>
                  <w:tcW w:w="652" w:type="pct"/>
                  <w:noWrap w:val="0"/>
                  <w:vAlign w:val="center"/>
                </w:tcPr>
                <w:p w14:paraId="64C91F6A">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val="0"/>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符合</w:t>
                  </w:r>
                </w:p>
              </w:tc>
            </w:tr>
            <w:tr w14:paraId="417491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443" w:type="pct"/>
                  <w:vMerge w:val="continue"/>
                  <w:noWrap w:val="0"/>
                  <w:vAlign w:val="center"/>
                </w:tcPr>
                <w:p w14:paraId="1BB866BE">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sz w:val="21"/>
                      <w:szCs w:val="21"/>
                      <w:highlight w:val="none"/>
                    </w:rPr>
                  </w:pPr>
                </w:p>
              </w:tc>
              <w:tc>
                <w:tcPr>
                  <w:tcW w:w="2909" w:type="pct"/>
                  <w:noWrap w:val="0"/>
                  <w:vAlign w:val="center"/>
                </w:tcPr>
                <w:p w14:paraId="2F7022CB">
                  <w:pPr>
                    <w:pStyle w:val="2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right="0"/>
                    <w:textAlignment w:val="auto"/>
                    <w:rPr>
                      <w:rFonts w:hint="default" w:ascii="Times New Roman" w:hAnsi="Times New Roman" w:eastAsia="宋体" w:cs="Times New Roman"/>
                      <w:sz w:val="21"/>
                      <w:szCs w:val="21"/>
                    </w:rPr>
                  </w:pPr>
                  <w:r>
                    <w:rPr>
                      <w:rFonts w:hint="default" w:ascii="Times New Roman" w:hAnsi="Times New Roman" w:eastAsia="宋体" w:cs="Times New Roman"/>
                      <w:i w:val="0"/>
                      <w:iCs w:val="0"/>
                      <w:caps w:val="0"/>
                      <w:color w:val="000000"/>
                      <w:spacing w:val="0"/>
                      <w:sz w:val="21"/>
                      <w:szCs w:val="21"/>
                    </w:rPr>
                    <w:t>（二）不断健全危险废物集中处置保障体系</w:t>
                  </w:r>
                </w:p>
                <w:p w14:paraId="0E6F1158">
                  <w:pPr>
                    <w:pStyle w:val="2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right="0"/>
                    <w:textAlignment w:val="auto"/>
                    <w:rPr>
                      <w:rFonts w:hint="default" w:ascii="Times New Roman" w:hAnsi="Times New Roman" w:eastAsia="宋体" w:cs="Times New Roman"/>
                      <w:sz w:val="21"/>
                      <w:szCs w:val="21"/>
                    </w:rPr>
                  </w:pPr>
                  <w:r>
                    <w:rPr>
                      <w:rFonts w:hint="default" w:ascii="Times New Roman" w:hAnsi="Times New Roman" w:eastAsia="宋体" w:cs="Times New Roman"/>
                      <w:i w:val="0"/>
                      <w:iCs w:val="0"/>
                      <w:caps w:val="0"/>
                      <w:color w:val="000000"/>
                      <w:spacing w:val="0"/>
                      <w:sz w:val="21"/>
                      <w:szCs w:val="21"/>
                    </w:rPr>
                    <w:t>　　动态健全集中处置保障体系。推动健全完善“省域内能力总体匹配、省域间协同合作、特殊类别全国统筹”的危险废物集中处置体系，保障危险废物集中处置能力基本盘。省级生态环境部门每年开展行政区域内危险废物产生量与利用处置能力匹配情况评估，有效支撑省级人民政府依法编制危险废物集中处置设施建设规划，统筹规划建设行政区域内危险废物集中处置设施。</w:t>
                  </w:r>
                </w:p>
                <w:p w14:paraId="728B9116">
                  <w:pPr>
                    <w:pStyle w:val="2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right="0"/>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i w:val="0"/>
                      <w:iCs w:val="0"/>
                      <w:caps w:val="0"/>
                      <w:color w:val="000000"/>
                      <w:spacing w:val="0"/>
                      <w:sz w:val="21"/>
                      <w:szCs w:val="21"/>
                    </w:rPr>
                    <w:t>　　促进区域处置设施共建共享。深化京津冀、长三角、川渝等重点区域合作机制，推进危险废物集中处置设施协同规划、共建共享。推动区域性特殊类别危险废物集中处置中心建设运行，着力提升特殊类别危险废物利用处置能力。</w:t>
                  </w:r>
                </w:p>
              </w:tc>
              <w:tc>
                <w:tcPr>
                  <w:tcW w:w="995" w:type="pct"/>
                  <w:noWrap w:val="0"/>
                  <w:vAlign w:val="center"/>
                </w:tcPr>
                <w:p w14:paraId="4F23A23F">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本项目属于现有项目搬迁，符合</w:t>
                  </w:r>
                  <w:r>
                    <w:rPr>
                      <w:rFonts w:hint="default" w:ascii="Times New Roman" w:hAnsi="Times New Roman" w:eastAsia="宋体" w:cs="Times New Roman"/>
                      <w:i w:val="0"/>
                      <w:iCs w:val="0"/>
                      <w:caps w:val="0"/>
                      <w:color w:val="000000"/>
                      <w:spacing w:val="0"/>
                      <w:sz w:val="21"/>
                      <w:szCs w:val="21"/>
                    </w:rPr>
                    <w:t>危险废物集中处置设施建设规划</w:t>
                  </w:r>
                </w:p>
              </w:tc>
              <w:tc>
                <w:tcPr>
                  <w:tcW w:w="652" w:type="pct"/>
                  <w:noWrap w:val="0"/>
                  <w:vAlign w:val="center"/>
                </w:tcPr>
                <w:p w14:paraId="071A724D">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符合</w:t>
                  </w:r>
                </w:p>
              </w:tc>
            </w:tr>
            <w:tr w14:paraId="241E53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443" w:type="pct"/>
                  <w:vMerge w:val="restart"/>
                  <w:noWrap w:val="0"/>
                  <w:vAlign w:val="center"/>
                </w:tcPr>
                <w:p w14:paraId="6BC56B16">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i w:val="0"/>
                      <w:iCs w:val="0"/>
                      <w:caps w:val="0"/>
                      <w:color w:val="000000"/>
                      <w:spacing w:val="0"/>
                      <w:sz w:val="21"/>
                      <w:szCs w:val="21"/>
                    </w:rPr>
                    <w:t>四、健全危险废物环境管理体系</w:t>
                  </w:r>
                </w:p>
              </w:tc>
              <w:tc>
                <w:tcPr>
                  <w:tcW w:w="2909" w:type="pct"/>
                  <w:noWrap w:val="0"/>
                  <w:vAlign w:val="center"/>
                </w:tcPr>
                <w:p w14:paraId="30335C08">
                  <w:pPr>
                    <w:pStyle w:val="2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right="0"/>
                    <w:textAlignment w:val="auto"/>
                    <w:rPr>
                      <w:rFonts w:hint="default" w:ascii="Times New Roman" w:hAnsi="Times New Roman" w:eastAsia="宋体" w:cs="Times New Roman"/>
                      <w:sz w:val="21"/>
                      <w:szCs w:val="21"/>
                    </w:rPr>
                  </w:pPr>
                  <w:r>
                    <w:rPr>
                      <w:rFonts w:hint="default" w:ascii="Times New Roman" w:hAnsi="Times New Roman" w:eastAsia="宋体" w:cs="Times New Roman"/>
                      <w:i w:val="0"/>
                      <w:iCs w:val="0"/>
                      <w:caps w:val="0"/>
                      <w:color w:val="000000"/>
                      <w:spacing w:val="0"/>
                      <w:sz w:val="21"/>
                      <w:szCs w:val="21"/>
                    </w:rPr>
                    <w:t>（七）深化危险废物规范化环境管理</w:t>
                  </w:r>
                </w:p>
                <w:p w14:paraId="6D6C2EA9">
                  <w:pPr>
                    <w:pStyle w:val="2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right="0"/>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i w:val="0"/>
                      <w:iCs w:val="0"/>
                      <w:caps w:val="0"/>
                      <w:color w:val="000000"/>
                      <w:spacing w:val="0"/>
                      <w:sz w:val="21"/>
                      <w:szCs w:val="21"/>
                    </w:rPr>
                    <w:t>　　严格落实企业主体责任。产生、收集、贮存、运输、利用、处置危险废物的单位承担危险废物污染防治的主体责任，要严格落实危险废物污染环境防治相关法律制度和标准等要求，采取有效措施，减少危险废物的产生量、促进再生利用、降低危害性，提升危险废物规范化环境管理水平。</w:t>
                  </w:r>
                </w:p>
              </w:tc>
              <w:tc>
                <w:tcPr>
                  <w:tcW w:w="995" w:type="pct"/>
                  <w:noWrap w:val="0"/>
                  <w:vAlign w:val="center"/>
                </w:tcPr>
                <w:p w14:paraId="1BFB6551">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本单位作为责任主体，已</w:t>
                  </w:r>
                  <w:r>
                    <w:rPr>
                      <w:rFonts w:hint="default" w:ascii="Times New Roman" w:hAnsi="Times New Roman" w:eastAsia="宋体" w:cs="Times New Roman"/>
                      <w:i w:val="0"/>
                      <w:iCs w:val="0"/>
                      <w:caps w:val="0"/>
                      <w:color w:val="000000"/>
                      <w:spacing w:val="0"/>
                      <w:sz w:val="21"/>
                      <w:szCs w:val="21"/>
                    </w:rPr>
                    <w:t>严格落实危险废物污染环境防治相关法律制度和标准等要求</w:t>
                  </w:r>
                </w:p>
              </w:tc>
              <w:tc>
                <w:tcPr>
                  <w:tcW w:w="652" w:type="pct"/>
                  <w:noWrap w:val="0"/>
                  <w:vAlign w:val="center"/>
                </w:tcPr>
                <w:p w14:paraId="2D991410">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符合</w:t>
                  </w:r>
                </w:p>
              </w:tc>
            </w:tr>
            <w:tr w14:paraId="7F3F16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443" w:type="pct"/>
                  <w:vMerge w:val="continue"/>
                  <w:noWrap w:val="0"/>
                  <w:vAlign w:val="center"/>
                </w:tcPr>
                <w:p w14:paraId="6C3035D2">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i w:val="0"/>
                      <w:iCs w:val="0"/>
                      <w:caps w:val="0"/>
                      <w:color w:val="000000"/>
                      <w:spacing w:val="0"/>
                      <w:sz w:val="21"/>
                      <w:szCs w:val="21"/>
                    </w:rPr>
                  </w:pPr>
                </w:p>
              </w:tc>
              <w:tc>
                <w:tcPr>
                  <w:tcW w:w="2909" w:type="pct"/>
                  <w:noWrap w:val="0"/>
                  <w:vAlign w:val="center"/>
                </w:tcPr>
                <w:p w14:paraId="6688DA1C">
                  <w:pPr>
                    <w:pStyle w:val="2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right="0"/>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i w:val="0"/>
                      <w:iCs w:val="0"/>
                      <w:caps w:val="0"/>
                      <w:color w:val="000000"/>
                      <w:spacing w:val="0"/>
                      <w:sz w:val="21"/>
                      <w:szCs w:val="21"/>
                    </w:rPr>
                    <w:t>　　排查整治环境风险隐患。坚持预防为主，深入开展危险废物规范化环境管理评估，建立危险废物环境风险防控长效机制。加强危险废物产生单位自行利用处置危险废物环境风险隐患排查整治，提升自行利用处置设施环境管理水平。强化对危险废物环境风险隐患排查治理的指导帮扶，推动依法淘汰经改造仍不能稳定运行、达标排放的危险废物利用处置设施。推进危险废物焚烧炉技术性能测试，将单台焚烧炉处置能力小于1万吨/年的设施纳入监督性监测重点。开展危险废物填埋处置设施环境风险调查评估，强化环境风险排查治理。</w:t>
                  </w:r>
                </w:p>
              </w:tc>
              <w:tc>
                <w:tcPr>
                  <w:tcW w:w="995" w:type="pct"/>
                  <w:noWrap w:val="0"/>
                  <w:vAlign w:val="center"/>
                </w:tcPr>
                <w:p w14:paraId="18C34148">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企业按要求进行</w:t>
                  </w:r>
                  <w:r>
                    <w:rPr>
                      <w:rFonts w:hint="default" w:ascii="Times New Roman" w:hAnsi="Times New Roman" w:eastAsia="宋体" w:cs="Times New Roman"/>
                      <w:i w:val="0"/>
                      <w:iCs w:val="0"/>
                      <w:caps w:val="0"/>
                      <w:color w:val="000000"/>
                      <w:spacing w:val="0"/>
                      <w:sz w:val="21"/>
                      <w:szCs w:val="21"/>
                    </w:rPr>
                    <w:t>环境风险隐患排查整治</w:t>
                  </w:r>
                  <w:r>
                    <w:rPr>
                      <w:rFonts w:hint="eastAsia" w:cs="Times New Roman"/>
                      <w:i w:val="0"/>
                      <w:iCs w:val="0"/>
                      <w:caps w:val="0"/>
                      <w:color w:val="000000"/>
                      <w:spacing w:val="0"/>
                      <w:sz w:val="21"/>
                      <w:szCs w:val="21"/>
                      <w:lang w:eastAsia="zh-CN"/>
                    </w:rPr>
                    <w:t>，</w:t>
                  </w:r>
                  <w:r>
                    <w:rPr>
                      <w:rFonts w:hint="eastAsia" w:cs="Times New Roman"/>
                      <w:i w:val="0"/>
                      <w:iCs w:val="0"/>
                      <w:caps w:val="0"/>
                      <w:color w:val="000000"/>
                      <w:spacing w:val="0"/>
                      <w:sz w:val="21"/>
                      <w:szCs w:val="21"/>
                      <w:lang w:val="en-US" w:eastAsia="zh-CN"/>
                    </w:rPr>
                    <w:t>进行</w:t>
                  </w:r>
                  <w:r>
                    <w:rPr>
                      <w:rFonts w:hint="default" w:ascii="Times New Roman" w:hAnsi="Times New Roman" w:eastAsia="宋体" w:cs="Times New Roman"/>
                      <w:i w:val="0"/>
                      <w:iCs w:val="0"/>
                      <w:caps w:val="0"/>
                      <w:color w:val="000000"/>
                      <w:spacing w:val="0"/>
                      <w:sz w:val="21"/>
                      <w:szCs w:val="21"/>
                    </w:rPr>
                    <w:t>危险废物规范化环境管理评估</w:t>
                  </w:r>
                </w:p>
              </w:tc>
              <w:tc>
                <w:tcPr>
                  <w:tcW w:w="652" w:type="pct"/>
                  <w:noWrap w:val="0"/>
                  <w:vAlign w:val="center"/>
                </w:tcPr>
                <w:p w14:paraId="7BF27D62">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符合</w:t>
                  </w:r>
                </w:p>
              </w:tc>
            </w:tr>
            <w:tr w14:paraId="6CA332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443" w:type="pct"/>
                  <w:vMerge w:val="continue"/>
                  <w:noWrap w:val="0"/>
                  <w:vAlign w:val="center"/>
                </w:tcPr>
                <w:p w14:paraId="529338C9">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i w:val="0"/>
                      <w:iCs w:val="0"/>
                      <w:caps w:val="0"/>
                      <w:color w:val="000000"/>
                      <w:spacing w:val="0"/>
                      <w:sz w:val="21"/>
                      <w:szCs w:val="21"/>
                    </w:rPr>
                  </w:pPr>
                </w:p>
              </w:tc>
              <w:tc>
                <w:tcPr>
                  <w:tcW w:w="2909" w:type="pct"/>
                  <w:noWrap w:val="0"/>
                  <w:vAlign w:val="center"/>
                </w:tcPr>
                <w:p w14:paraId="5A994853">
                  <w:pPr>
                    <w:pStyle w:val="2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right="0"/>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i w:val="0"/>
                      <w:iCs w:val="0"/>
                      <w:caps w:val="0"/>
                      <w:color w:val="000000"/>
                      <w:spacing w:val="0"/>
                      <w:sz w:val="21"/>
                      <w:szCs w:val="21"/>
                    </w:rPr>
                    <w:t>　　健全环境风险防控机制。建立健全国家和省级危险废物鉴别专家委员会机制，完善危险废物鉴别管理制度，强化危险废物环境危害识别与环境风险评估。对存在鉴别报告弄虚作假等问题的危险废物鉴别单位，依法建立不良行为记录并实施惩戒。危险废物相关单位依法依规投保环境污染责任保险。严禁违反国家有关法规和标准要求，将危险废物用于危害环境安全与人体健康的生产生活活动。健全极端天气、地震等自然灾害时期危险废物环境风险防控措施，强化突发环境事件应急准备，及时妥善科学处置突发环境事件。</w:t>
                  </w:r>
                </w:p>
              </w:tc>
              <w:tc>
                <w:tcPr>
                  <w:tcW w:w="995" w:type="pct"/>
                  <w:noWrap w:val="0"/>
                  <w:vAlign w:val="center"/>
                </w:tcPr>
                <w:p w14:paraId="581608E4">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企业编制了突发环境事件应急预案并进行备案，日常进行演练</w:t>
                  </w:r>
                </w:p>
              </w:tc>
              <w:tc>
                <w:tcPr>
                  <w:tcW w:w="652" w:type="pct"/>
                  <w:noWrap w:val="0"/>
                  <w:vAlign w:val="center"/>
                </w:tcPr>
                <w:p w14:paraId="2B3CFC44">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符合</w:t>
                  </w:r>
                </w:p>
              </w:tc>
            </w:tr>
          </w:tbl>
          <w:p w14:paraId="577A8828">
            <w:pPr>
              <w:keepNext w:val="0"/>
              <w:keepLines w:val="0"/>
              <w:pageBreakBefore w:val="0"/>
              <w:widowControl w:val="0"/>
              <w:numPr>
                <w:ilvl w:val="0"/>
                <w:numId w:val="8"/>
              </w:numPr>
              <w:kinsoku/>
              <w:wordWrap/>
              <w:overflowPunct/>
              <w:topLinePunct w:val="0"/>
              <w:autoSpaceDE/>
              <w:autoSpaceDN/>
              <w:bidi w:val="0"/>
              <w:adjustRightInd/>
              <w:snapToGrid/>
              <w:spacing w:line="360" w:lineRule="auto"/>
              <w:ind w:left="0" w:leftChars="0" w:firstLine="425" w:firstLineChars="0"/>
              <w:textAlignment w:val="auto"/>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与《危险废物贮存污染控制标准》</w:t>
            </w:r>
            <w:r>
              <w:rPr>
                <w:rFonts w:hint="eastAsia"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GB18597-2023</w:t>
            </w:r>
            <w:r>
              <w:rPr>
                <w:rFonts w:hint="eastAsia" w:cs="Times New Roman"/>
                <w:color w:val="auto"/>
                <w:sz w:val="24"/>
                <w:highlight w:val="none"/>
                <w:lang w:val="en-US" w:eastAsia="zh-CN"/>
              </w:rPr>
              <w:t>）的符合性分析</w:t>
            </w:r>
          </w:p>
          <w:p w14:paraId="25D83260">
            <w:pPr>
              <w:keepNext w:val="0"/>
              <w:keepLines w:val="0"/>
              <w:pageBreakBefore w:val="0"/>
              <w:widowControl w:val="0"/>
              <w:numPr>
                <w:ilvl w:val="0"/>
                <w:numId w:val="9"/>
              </w:numPr>
              <w:kinsoku/>
              <w:wordWrap/>
              <w:overflowPunct/>
              <w:topLinePunct w:val="0"/>
              <w:autoSpaceDE w:val="0"/>
              <w:autoSpaceDN w:val="0"/>
              <w:bidi w:val="0"/>
              <w:adjustRightInd w:val="0"/>
              <w:snapToGrid/>
              <w:spacing w:line="360" w:lineRule="auto"/>
              <w:ind w:left="3150" w:leftChars="0" w:hanging="3110" w:firstLineChars="0"/>
              <w:jc w:val="center"/>
              <w:textAlignment w:val="auto"/>
              <w:rPr>
                <w:rFonts w:hint="default" w:ascii="宋体" w:hAnsi="宋体" w:eastAsia="宋体" w:cs="宋体"/>
                <w:b/>
                <w:bCs/>
                <w:color w:val="auto"/>
                <w:kern w:val="0"/>
                <w:sz w:val="24"/>
                <w:szCs w:val="24"/>
                <w:lang w:val="en-US" w:eastAsia="zh-CN" w:bidi="ar"/>
              </w:rPr>
            </w:pPr>
            <w:r>
              <w:rPr>
                <w:rFonts w:hint="default" w:ascii="宋体" w:hAnsi="宋体" w:eastAsia="宋体" w:cs="宋体"/>
                <w:b/>
                <w:bCs/>
                <w:color w:val="auto"/>
                <w:kern w:val="0"/>
                <w:sz w:val="24"/>
                <w:szCs w:val="24"/>
                <w:lang w:val="en-US" w:eastAsia="zh-CN" w:bidi="ar"/>
              </w:rPr>
              <w:t>与</w:t>
            </w:r>
            <w:r>
              <w:rPr>
                <w:rFonts w:hint="eastAsia" w:ascii="宋体" w:hAnsi="宋体" w:eastAsia="宋体" w:cs="宋体"/>
                <w:b/>
                <w:bCs/>
                <w:color w:val="auto"/>
                <w:kern w:val="0"/>
                <w:sz w:val="24"/>
                <w:szCs w:val="24"/>
                <w:lang w:val="en-US" w:eastAsia="zh-CN" w:bidi="ar"/>
              </w:rPr>
              <w:t>《危险废物贮存污染控制标准》</w:t>
            </w:r>
            <w:r>
              <w:rPr>
                <w:rFonts w:hint="default" w:ascii="宋体" w:hAnsi="宋体" w:eastAsia="宋体" w:cs="宋体"/>
                <w:b/>
                <w:bCs/>
                <w:color w:val="auto"/>
                <w:kern w:val="0"/>
                <w:sz w:val="24"/>
                <w:szCs w:val="24"/>
                <w:lang w:val="en-US" w:eastAsia="zh-CN" w:bidi="ar"/>
              </w:rPr>
              <w:t>符合性分析一览表</w:t>
            </w:r>
          </w:p>
          <w:tbl>
            <w:tblPr>
              <w:tblStyle w:val="89"/>
              <w:tblW w:w="4991"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463"/>
              <w:gridCol w:w="3624"/>
              <w:gridCol w:w="2871"/>
              <w:gridCol w:w="693"/>
            </w:tblGrid>
            <w:tr w14:paraId="26DA003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2671" w:type="pct"/>
                  <w:gridSpan w:val="2"/>
                  <w:tcBorders>
                    <w:tl2br w:val="nil"/>
                    <w:tr2bl w:val="nil"/>
                  </w:tcBorders>
                  <w:vAlign w:val="center"/>
                </w:tcPr>
                <w:p w14:paraId="6A570398">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b/>
                      <w:bCs/>
                      <w:color w:val="auto"/>
                      <w:spacing w:val="0"/>
                      <w:w w:val="100"/>
                      <w:sz w:val="21"/>
                      <w:szCs w:val="21"/>
                    </w:rPr>
                  </w:pPr>
                  <w:r>
                    <w:rPr>
                      <w:rFonts w:hint="default" w:ascii="Times New Roman" w:hAnsi="Times New Roman" w:cs="Times New Roman"/>
                      <w:b/>
                      <w:bCs/>
                      <w:color w:val="auto"/>
                      <w:spacing w:val="0"/>
                      <w:w w:val="100"/>
                      <w:sz w:val="21"/>
                      <w:szCs w:val="21"/>
                    </w:rPr>
                    <w:t>危险废物贮存污染控制标准要求</w:t>
                  </w:r>
                </w:p>
              </w:tc>
              <w:tc>
                <w:tcPr>
                  <w:tcW w:w="1876" w:type="pct"/>
                  <w:tcBorders>
                    <w:tl2br w:val="nil"/>
                    <w:tr2bl w:val="nil"/>
                  </w:tcBorders>
                  <w:vAlign w:val="center"/>
                </w:tcPr>
                <w:p w14:paraId="2ACB229B">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b/>
                      <w:bCs/>
                      <w:color w:val="auto"/>
                      <w:spacing w:val="0"/>
                      <w:w w:val="100"/>
                      <w:sz w:val="21"/>
                      <w:szCs w:val="21"/>
                    </w:rPr>
                  </w:pPr>
                  <w:r>
                    <w:rPr>
                      <w:rFonts w:hint="default" w:ascii="Times New Roman" w:hAnsi="Times New Roman" w:cs="Times New Roman"/>
                      <w:b/>
                      <w:bCs/>
                      <w:color w:val="auto"/>
                      <w:spacing w:val="0"/>
                      <w:w w:val="100"/>
                      <w:sz w:val="21"/>
                      <w:szCs w:val="21"/>
                    </w:rPr>
                    <w:t>本项目情况</w:t>
                  </w:r>
                </w:p>
              </w:tc>
              <w:tc>
                <w:tcPr>
                  <w:tcW w:w="451" w:type="pct"/>
                  <w:tcBorders>
                    <w:tl2br w:val="nil"/>
                    <w:tr2bl w:val="nil"/>
                  </w:tcBorders>
                  <w:vAlign w:val="center"/>
                </w:tcPr>
                <w:p w14:paraId="69D4D1D3">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b/>
                      <w:bCs/>
                      <w:color w:val="auto"/>
                      <w:spacing w:val="0"/>
                      <w:w w:val="100"/>
                      <w:sz w:val="21"/>
                      <w:szCs w:val="21"/>
                    </w:rPr>
                  </w:pPr>
                  <w:r>
                    <w:rPr>
                      <w:rFonts w:hint="default" w:ascii="Times New Roman" w:hAnsi="Times New Roman" w:cs="Times New Roman"/>
                      <w:b/>
                      <w:bCs/>
                      <w:color w:val="auto"/>
                      <w:spacing w:val="0"/>
                      <w:w w:val="100"/>
                      <w:sz w:val="21"/>
                      <w:szCs w:val="21"/>
                    </w:rPr>
                    <w:t>符合性</w:t>
                  </w:r>
                </w:p>
              </w:tc>
            </w:tr>
            <w:tr w14:paraId="2E24E52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6" w:hRule="atLeast"/>
              </w:trPr>
              <w:tc>
                <w:tcPr>
                  <w:tcW w:w="5000" w:type="pct"/>
                  <w:gridSpan w:val="4"/>
                  <w:tcBorders>
                    <w:tl2br w:val="nil"/>
                    <w:tr2bl w:val="nil"/>
                  </w:tcBorders>
                  <w:vAlign w:val="center"/>
                </w:tcPr>
                <w:p w14:paraId="2AD52F35">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w w:val="100"/>
                      <w:sz w:val="21"/>
                      <w:szCs w:val="21"/>
                    </w:rPr>
                  </w:pPr>
                  <w:r>
                    <w:rPr>
                      <w:rFonts w:hint="default" w:ascii="Times New Roman" w:hAnsi="Times New Roman" w:eastAsia="Times New Roman" w:cs="Times New Roman"/>
                      <w:color w:val="auto"/>
                      <w:spacing w:val="0"/>
                      <w:w w:val="100"/>
                      <w:sz w:val="21"/>
                      <w:szCs w:val="21"/>
                    </w:rPr>
                    <w:t>4</w:t>
                  </w:r>
                  <w:r>
                    <w:rPr>
                      <w:rFonts w:hint="eastAsia" w:ascii="Times New Roman" w:hAnsi="Times New Roman" w:eastAsia="宋体" w:cs="Times New Roman"/>
                      <w:color w:val="auto"/>
                      <w:spacing w:val="0"/>
                      <w:w w:val="100"/>
                      <w:sz w:val="21"/>
                      <w:szCs w:val="21"/>
                      <w:lang w:val="en-US" w:eastAsia="zh-CN"/>
                    </w:rPr>
                    <w:t>、</w:t>
                  </w:r>
                  <w:r>
                    <w:rPr>
                      <w:rFonts w:hint="default" w:ascii="Times New Roman" w:hAnsi="Times New Roman" w:cs="Times New Roman"/>
                      <w:color w:val="auto"/>
                      <w:spacing w:val="0"/>
                      <w:w w:val="100"/>
                      <w:sz w:val="21"/>
                      <w:szCs w:val="21"/>
                    </w:rPr>
                    <w:t>总体要求</w:t>
                  </w:r>
                </w:p>
              </w:tc>
            </w:tr>
            <w:tr w14:paraId="4F40961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303" w:type="pct"/>
                  <w:tcBorders>
                    <w:tl2br w:val="nil"/>
                    <w:tr2bl w:val="nil"/>
                  </w:tcBorders>
                  <w:vAlign w:val="center"/>
                </w:tcPr>
                <w:p w14:paraId="56D4035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Times New Roman" w:cs="Times New Roman"/>
                      <w:color w:val="auto"/>
                      <w:spacing w:val="0"/>
                      <w:w w:val="100"/>
                      <w:sz w:val="21"/>
                      <w:szCs w:val="21"/>
                    </w:rPr>
                  </w:pPr>
                  <w:r>
                    <w:rPr>
                      <w:rFonts w:hint="default" w:ascii="Times New Roman" w:hAnsi="Times New Roman" w:eastAsia="Times New Roman" w:cs="Times New Roman"/>
                      <w:color w:val="auto"/>
                      <w:spacing w:val="0"/>
                      <w:w w:val="100"/>
                      <w:sz w:val="21"/>
                      <w:szCs w:val="21"/>
                    </w:rPr>
                    <w:t>4.1</w:t>
                  </w:r>
                </w:p>
              </w:tc>
              <w:tc>
                <w:tcPr>
                  <w:tcW w:w="2367" w:type="pct"/>
                  <w:tcBorders>
                    <w:tl2br w:val="nil"/>
                    <w:tr2bl w:val="nil"/>
                  </w:tcBorders>
                  <w:vAlign w:val="center"/>
                </w:tcPr>
                <w:p w14:paraId="78ECE087">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产生、收集、贮存、利用、处置危险废物的单位应建造危险废物贮存设施或设置贮存场所，并根据需要选择贮存设施类型。</w:t>
                  </w:r>
                </w:p>
              </w:tc>
              <w:tc>
                <w:tcPr>
                  <w:tcW w:w="1876" w:type="pct"/>
                  <w:tcBorders>
                    <w:tl2br w:val="nil"/>
                    <w:tr2bl w:val="nil"/>
                  </w:tcBorders>
                  <w:vAlign w:val="center"/>
                </w:tcPr>
                <w:p w14:paraId="556AAB6F">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宋体" w:cs="Times New Roman"/>
                      <w:color w:val="auto"/>
                      <w:spacing w:val="0"/>
                      <w:w w:val="100"/>
                      <w:sz w:val="21"/>
                      <w:szCs w:val="21"/>
                      <w:lang w:val="en-US" w:eastAsia="zh-CN"/>
                    </w:rPr>
                  </w:pPr>
                  <w:r>
                    <w:rPr>
                      <w:rFonts w:hint="default" w:ascii="Times New Roman" w:hAnsi="Times New Roman" w:cs="Times New Roman"/>
                      <w:color w:val="auto"/>
                      <w:spacing w:val="0"/>
                      <w:w w:val="100"/>
                      <w:sz w:val="21"/>
                      <w:szCs w:val="21"/>
                    </w:rPr>
                    <w:t>项目租赁</w:t>
                  </w:r>
                  <w:r>
                    <w:rPr>
                      <w:rFonts w:hint="eastAsia" w:cs="宋体"/>
                      <w:color w:val="auto"/>
                      <w:spacing w:val="0"/>
                      <w:sz w:val="21"/>
                      <w:szCs w:val="21"/>
                      <w:lang w:val="en-US" w:eastAsia="zh-CN"/>
                    </w:rPr>
                    <w:t>现有</w:t>
                  </w:r>
                  <w:r>
                    <w:rPr>
                      <w:rFonts w:hint="default" w:ascii="Times New Roman" w:hAnsi="Times New Roman" w:cs="Times New Roman"/>
                      <w:color w:val="auto"/>
                      <w:spacing w:val="0"/>
                      <w:w w:val="100"/>
                      <w:sz w:val="21"/>
                      <w:szCs w:val="21"/>
                    </w:rPr>
                    <w:t>厂房，将其改建成危险废物贮存</w:t>
                  </w:r>
                  <w:r>
                    <w:rPr>
                      <w:rFonts w:hint="default" w:ascii="Times New Roman" w:hAnsi="Times New Roman" w:cs="Times New Roman"/>
                      <w:color w:val="auto"/>
                      <w:spacing w:val="0"/>
                      <w:w w:val="100"/>
                      <w:sz w:val="21"/>
                      <w:szCs w:val="21"/>
                      <w:lang w:val="en-US" w:eastAsia="zh-CN"/>
                    </w:rPr>
                    <w:t>库</w:t>
                  </w:r>
                </w:p>
              </w:tc>
              <w:tc>
                <w:tcPr>
                  <w:tcW w:w="451" w:type="pct"/>
                  <w:tcBorders>
                    <w:tl2br w:val="nil"/>
                    <w:tr2bl w:val="nil"/>
                  </w:tcBorders>
                  <w:vAlign w:val="center"/>
                </w:tcPr>
                <w:p w14:paraId="0CD2CF9D">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符合</w:t>
                  </w:r>
                </w:p>
              </w:tc>
            </w:tr>
            <w:tr w14:paraId="1712C91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2" w:hRule="atLeast"/>
              </w:trPr>
              <w:tc>
                <w:tcPr>
                  <w:tcW w:w="303" w:type="pct"/>
                  <w:tcBorders>
                    <w:tl2br w:val="nil"/>
                    <w:tr2bl w:val="nil"/>
                  </w:tcBorders>
                  <w:vAlign w:val="center"/>
                </w:tcPr>
                <w:p w14:paraId="2A3A412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Times New Roman" w:cs="Times New Roman"/>
                      <w:color w:val="auto"/>
                      <w:spacing w:val="0"/>
                      <w:w w:val="100"/>
                      <w:sz w:val="21"/>
                      <w:szCs w:val="21"/>
                    </w:rPr>
                  </w:pPr>
                  <w:r>
                    <w:rPr>
                      <w:rFonts w:hint="default" w:ascii="Times New Roman" w:hAnsi="Times New Roman" w:eastAsia="Times New Roman" w:cs="Times New Roman"/>
                      <w:color w:val="auto"/>
                      <w:spacing w:val="0"/>
                      <w:w w:val="100"/>
                      <w:sz w:val="21"/>
                      <w:szCs w:val="21"/>
                    </w:rPr>
                    <w:t>4.2</w:t>
                  </w:r>
                </w:p>
              </w:tc>
              <w:tc>
                <w:tcPr>
                  <w:tcW w:w="2367" w:type="pct"/>
                  <w:tcBorders>
                    <w:tl2br w:val="nil"/>
                    <w:tr2bl w:val="nil"/>
                  </w:tcBorders>
                  <w:vAlign w:val="center"/>
                </w:tcPr>
                <w:p w14:paraId="2B121854">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6"/>
                      <w:w w:val="100"/>
                      <w:sz w:val="21"/>
                      <w:szCs w:val="21"/>
                    </w:rPr>
                    <w:t>贮存危险废物应根据危险废物的类别、数量、形态、物理化学性质和环境风险等因素，确定贮存设施或场所类型和规模。</w:t>
                  </w:r>
                </w:p>
              </w:tc>
              <w:tc>
                <w:tcPr>
                  <w:tcW w:w="1876" w:type="pct"/>
                  <w:tcBorders>
                    <w:tl2br w:val="nil"/>
                    <w:tr2bl w:val="nil"/>
                  </w:tcBorders>
                  <w:vAlign w:val="center"/>
                </w:tcPr>
                <w:p w14:paraId="6B5DF437">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项目依据危险废物的类别、数量、形态、物理化学性质和环境风险等因素确定分区位置和大小。</w:t>
                  </w:r>
                </w:p>
              </w:tc>
              <w:tc>
                <w:tcPr>
                  <w:tcW w:w="451" w:type="pct"/>
                  <w:tcBorders>
                    <w:tl2br w:val="nil"/>
                    <w:tr2bl w:val="nil"/>
                  </w:tcBorders>
                  <w:vAlign w:val="center"/>
                </w:tcPr>
                <w:p w14:paraId="01DABDFC">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符合</w:t>
                  </w:r>
                </w:p>
              </w:tc>
            </w:tr>
            <w:tr w14:paraId="2EADAEB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9" w:hRule="atLeast"/>
              </w:trPr>
              <w:tc>
                <w:tcPr>
                  <w:tcW w:w="303" w:type="pct"/>
                  <w:tcBorders>
                    <w:tl2br w:val="nil"/>
                    <w:tr2bl w:val="nil"/>
                  </w:tcBorders>
                  <w:vAlign w:val="center"/>
                </w:tcPr>
                <w:p w14:paraId="51EBF86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Times New Roman" w:cs="Times New Roman"/>
                      <w:color w:val="auto"/>
                      <w:spacing w:val="0"/>
                      <w:w w:val="100"/>
                      <w:sz w:val="21"/>
                      <w:szCs w:val="21"/>
                    </w:rPr>
                  </w:pPr>
                  <w:r>
                    <w:rPr>
                      <w:rFonts w:hint="default" w:ascii="Times New Roman" w:hAnsi="Times New Roman" w:eastAsia="Times New Roman" w:cs="Times New Roman"/>
                      <w:color w:val="auto"/>
                      <w:spacing w:val="0"/>
                      <w:w w:val="100"/>
                      <w:sz w:val="21"/>
                      <w:szCs w:val="21"/>
                    </w:rPr>
                    <w:t>4.3</w:t>
                  </w:r>
                </w:p>
              </w:tc>
              <w:tc>
                <w:tcPr>
                  <w:tcW w:w="2367" w:type="pct"/>
                  <w:tcBorders>
                    <w:tl2br w:val="nil"/>
                    <w:tr2bl w:val="nil"/>
                  </w:tcBorders>
                  <w:vAlign w:val="center"/>
                </w:tcPr>
                <w:p w14:paraId="3DCABA2E">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贮存危险废物应根据危险废物的类别、形态、物理化学性质和污染防治要求进行分类贮存，且应避免危险废物与不相容的物质或材料接触。</w:t>
                  </w:r>
                </w:p>
              </w:tc>
              <w:tc>
                <w:tcPr>
                  <w:tcW w:w="1876" w:type="pct"/>
                  <w:tcBorders>
                    <w:tl2br w:val="nil"/>
                    <w:tr2bl w:val="nil"/>
                  </w:tcBorders>
                  <w:vAlign w:val="center"/>
                </w:tcPr>
                <w:p w14:paraId="125DDD57">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本项目根据不同类别危险废物均单独</w:t>
                  </w:r>
                  <w:r>
                    <w:rPr>
                      <w:rFonts w:hint="default" w:ascii="Times New Roman" w:hAnsi="Times New Roman" w:cs="Times New Roman"/>
                      <w:color w:val="auto"/>
                      <w:spacing w:val="0"/>
                      <w:w w:val="100"/>
                      <w:sz w:val="21"/>
                      <w:szCs w:val="21"/>
                      <w:lang w:val="en-US" w:eastAsia="zh-CN"/>
                    </w:rPr>
                    <w:t>分类</w:t>
                  </w:r>
                  <w:r>
                    <w:rPr>
                      <w:rFonts w:hint="default" w:ascii="Times New Roman" w:hAnsi="Times New Roman" w:cs="Times New Roman"/>
                      <w:color w:val="auto"/>
                      <w:spacing w:val="0"/>
                      <w:w w:val="100"/>
                      <w:sz w:val="21"/>
                      <w:szCs w:val="21"/>
                    </w:rPr>
                    <w:t>贮存，不混装。</w:t>
                  </w:r>
                </w:p>
              </w:tc>
              <w:tc>
                <w:tcPr>
                  <w:tcW w:w="451" w:type="pct"/>
                  <w:tcBorders>
                    <w:tl2br w:val="nil"/>
                    <w:tr2bl w:val="nil"/>
                  </w:tcBorders>
                  <w:vAlign w:val="center"/>
                </w:tcPr>
                <w:p w14:paraId="1A7DE04E">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符合</w:t>
                  </w:r>
                </w:p>
              </w:tc>
            </w:tr>
            <w:tr w14:paraId="23340C1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3" w:hRule="atLeast"/>
              </w:trPr>
              <w:tc>
                <w:tcPr>
                  <w:tcW w:w="303" w:type="pct"/>
                  <w:tcBorders>
                    <w:tl2br w:val="nil"/>
                    <w:tr2bl w:val="nil"/>
                  </w:tcBorders>
                  <w:vAlign w:val="center"/>
                </w:tcPr>
                <w:p w14:paraId="708A20D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Times New Roman" w:cs="Times New Roman"/>
                      <w:color w:val="auto"/>
                      <w:spacing w:val="0"/>
                      <w:w w:val="100"/>
                      <w:sz w:val="21"/>
                      <w:szCs w:val="21"/>
                    </w:rPr>
                  </w:pPr>
                  <w:r>
                    <w:rPr>
                      <w:rFonts w:hint="default" w:ascii="Times New Roman" w:hAnsi="Times New Roman" w:eastAsia="Times New Roman" w:cs="Times New Roman"/>
                      <w:color w:val="auto"/>
                      <w:spacing w:val="0"/>
                      <w:w w:val="100"/>
                      <w:sz w:val="21"/>
                      <w:szCs w:val="21"/>
                    </w:rPr>
                    <w:t>4.4</w:t>
                  </w:r>
                </w:p>
              </w:tc>
              <w:tc>
                <w:tcPr>
                  <w:tcW w:w="2367" w:type="pct"/>
                  <w:tcBorders>
                    <w:tl2br w:val="nil"/>
                    <w:tr2bl w:val="nil"/>
                  </w:tcBorders>
                  <w:vAlign w:val="center"/>
                </w:tcPr>
                <w:p w14:paraId="77837AB6">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贮存危险废物应根据危险废物的形态、物理化学性质、包装形式和污染物迁移途径，采取措施减少渗滤液及其衍生废物、渗漏的液态废物（简称渗漏液）、粉尘、</w:t>
                  </w:r>
                  <w:r>
                    <w:rPr>
                      <w:rFonts w:hint="eastAsia" w:ascii="Times New Roman" w:hAnsi="Times New Roman" w:eastAsia="宋体" w:cs="Times New Roman"/>
                      <w:color w:val="auto"/>
                      <w:spacing w:val="0"/>
                      <w:w w:val="100"/>
                      <w:sz w:val="21"/>
                      <w:szCs w:val="21"/>
                      <w:lang w:eastAsia="zh-CN"/>
                    </w:rPr>
                    <w:t>VOCs（以非甲烷总烃计）</w:t>
                  </w:r>
                  <w:r>
                    <w:rPr>
                      <w:rFonts w:hint="default" w:ascii="Times New Roman" w:hAnsi="Times New Roman" w:cs="Times New Roman"/>
                      <w:color w:val="auto"/>
                      <w:spacing w:val="0"/>
                      <w:w w:val="100"/>
                      <w:sz w:val="21"/>
                      <w:szCs w:val="21"/>
                    </w:rPr>
                    <w:t>、酸雾、有毒有害大气污染物和刺激性气味气体等污染物的产生，防止其污染环境。</w:t>
                  </w:r>
                </w:p>
              </w:tc>
              <w:tc>
                <w:tcPr>
                  <w:tcW w:w="1876" w:type="pct"/>
                  <w:tcBorders>
                    <w:tl2br w:val="nil"/>
                    <w:tr2bl w:val="nil"/>
                  </w:tcBorders>
                  <w:vAlign w:val="center"/>
                </w:tcPr>
                <w:p w14:paraId="443CA2A7">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w w:val="100"/>
                      <w:sz w:val="21"/>
                      <w:szCs w:val="21"/>
                      <w:lang w:val="en-US"/>
                    </w:rPr>
                  </w:pPr>
                  <w:r>
                    <w:rPr>
                      <w:rFonts w:hint="default" w:ascii="Times New Roman" w:hAnsi="Times New Roman" w:cs="Times New Roman"/>
                      <w:color w:val="auto"/>
                      <w:spacing w:val="0"/>
                      <w:w w:val="100"/>
                      <w:sz w:val="21"/>
                      <w:szCs w:val="21"/>
                    </w:rPr>
                    <w:t>项目</w:t>
                  </w:r>
                  <w:r>
                    <w:rPr>
                      <w:rFonts w:hint="eastAsia" w:ascii="Times New Roman" w:hAnsi="Times New Roman" w:cs="Times New Roman"/>
                      <w:color w:val="auto"/>
                      <w:spacing w:val="0"/>
                      <w:w w:val="100"/>
                      <w:sz w:val="21"/>
                      <w:szCs w:val="21"/>
                      <w:lang w:val="en-US" w:eastAsia="zh-CN"/>
                    </w:rPr>
                    <w:t>危废均按要求用相对应的容器进行密封后，在仓库内暂存。仓库依据标准进行建设，防腐防渗处理，防治污染物泄漏，污染环境</w:t>
                  </w:r>
                </w:p>
              </w:tc>
              <w:tc>
                <w:tcPr>
                  <w:tcW w:w="451" w:type="pct"/>
                  <w:tcBorders>
                    <w:tl2br w:val="nil"/>
                    <w:tr2bl w:val="nil"/>
                  </w:tcBorders>
                  <w:vAlign w:val="center"/>
                </w:tcPr>
                <w:p w14:paraId="6475DCF7">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符合</w:t>
                  </w:r>
                </w:p>
              </w:tc>
            </w:tr>
            <w:tr w14:paraId="7A97C16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1" w:hRule="atLeast"/>
              </w:trPr>
              <w:tc>
                <w:tcPr>
                  <w:tcW w:w="303" w:type="pct"/>
                  <w:tcBorders>
                    <w:tl2br w:val="nil"/>
                    <w:tr2bl w:val="nil"/>
                  </w:tcBorders>
                  <w:vAlign w:val="center"/>
                </w:tcPr>
                <w:p w14:paraId="0EED73D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Times New Roman" w:cs="Times New Roman"/>
                      <w:color w:val="auto"/>
                      <w:spacing w:val="0"/>
                      <w:w w:val="100"/>
                      <w:sz w:val="21"/>
                      <w:szCs w:val="21"/>
                    </w:rPr>
                  </w:pPr>
                  <w:r>
                    <w:rPr>
                      <w:rFonts w:hint="default" w:ascii="Times New Roman" w:hAnsi="Times New Roman" w:eastAsia="Times New Roman" w:cs="Times New Roman"/>
                      <w:color w:val="auto"/>
                      <w:spacing w:val="0"/>
                      <w:w w:val="100"/>
                      <w:sz w:val="21"/>
                      <w:szCs w:val="21"/>
                    </w:rPr>
                    <w:t>4.5</w:t>
                  </w:r>
                </w:p>
              </w:tc>
              <w:tc>
                <w:tcPr>
                  <w:tcW w:w="2367" w:type="pct"/>
                  <w:tcBorders>
                    <w:tl2br w:val="nil"/>
                    <w:tr2bl w:val="nil"/>
                  </w:tcBorders>
                  <w:vAlign w:val="center"/>
                </w:tcPr>
                <w:p w14:paraId="321A384E">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危险废物贮存过程产生的液态废物和固态废物应分类收集，按其环境管理要求妥善处理。</w:t>
                  </w:r>
                </w:p>
              </w:tc>
              <w:tc>
                <w:tcPr>
                  <w:tcW w:w="1876" w:type="pct"/>
                  <w:tcBorders>
                    <w:tl2br w:val="nil"/>
                    <w:tr2bl w:val="nil"/>
                  </w:tcBorders>
                  <w:vAlign w:val="center"/>
                </w:tcPr>
                <w:p w14:paraId="0462F3D1">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项目贮存过程产生的液态废物和固态废物分类收集，并按其环境管理要求妥善处理。</w:t>
                  </w:r>
                </w:p>
              </w:tc>
              <w:tc>
                <w:tcPr>
                  <w:tcW w:w="451" w:type="pct"/>
                  <w:tcBorders>
                    <w:tl2br w:val="nil"/>
                    <w:tr2bl w:val="nil"/>
                  </w:tcBorders>
                  <w:vAlign w:val="center"/>
                </w:tcPr>
                <w:p w14:paraId="78C14A3A">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符合</w:t>
                  </w:r>
                </w:p>
              </w:tc>
            </w:tr>
            <w:tr w14:paraId="77DF6B6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303" w:type="pct"/>
                  <w:tcBorders>
                    <w:tl2br w:val="nil"/>
                    <w:tr2bl w:val="nil"/>
                  </w:tcBorders>
                  <w:vAlign w:val="center"/>
                </w:tcPr>
                <w:p w14:paraId="431A766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Times New Roman" w:cs="Times New Roman"/>
                      <w:color w:val="auto"/>
                      <w:spacing w:val="0"/>
                      <w:w w:val="100"/>
                      <w:sz w:val="21"/>
                      <w:szCs w:val="21"/>
                    </w:rPr>
                  </w:pPr>
                  <w:r>
                    <w:rPr>
                      <w:rFonts w:hint="default" w:ascii="Times New Roman" w:hAnsi="Times New Roman" w:eastAsia="Times New Roman" w:cs="Times New Roman"/>
                      <w:color w:val="auto"/>
                      <w:spacing w:val="0"/>
                      <w:w w:val="100"/>
                      <w:sz w:val="21"/>
                      <w:szCs w:val="21"/>
                    </w:rPr>
                    <w:t>4.6</w:t>
                  </w:r>
                </w:p>
              </w:tc>
              <w:tc>
                <w:tcPr>
                  <w:tcW w:w="2367" w:type="pct"/>
                  <w:tcBorders>
                    <w:tl2br w:val="nil"/>
                    <w:tr2bl w:val="nil"/>
                  </w:tcBorders>
                  <w:vAlign w:val="center"/>
                </w:tcPr>
                <w:p w14:paraId="09295C57">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贮存设施或场所、容器和包装物应按</w:t>
                  </w:r>
                  <w:r>
                    <w:rPr>
                      <w:rFonts w:hint="default" w:ascii="Times New Roman" w:hAnsi="Times New Roman" w:eastAsia="Times New Roman" w:cs="Times New Roman"/>
                      <w:color w:val="auto"/>
                      <w:spacing w:val="0"/>
                      <w:w w:val="100"/>
                      <w:sz w:val="21"/>
                      <w:szCs w:val="21"/>
                    </w:rPr>
                    <w:t>HJ1276</w:t>
                  </w:r>
                  <w:r>
                    <w:rPr>
                      <w:rFonts w:hint="default" w:ascii="Times New Roman" w:hAnsi="Times New Roman" w:cs="Times New Roman"/>
                      <w:color w:val="auto"/>
                      <w:spacing w:val="0"/>
                      <w:w w:val="100"/>
                      <w:sz w:val="21"/>
                      <w:szCs w:val="21"/>
                    </w:rPr>
                    <w:t>要求设置危险废物贮存设施或场所标志、危险废物贮存分区标志和危险废物标签等危险废物识别标志。</w:t>
                  </w:r>
                </w:p>
              </w:tc>
              <w:tc>
                <w:tcPr>
                  <w:tcW w:w="1876" w:type="pct"/>
                  <w:tcBorders>
                    <w:tl2br w:val="nil"/>
                    <w:tr2bl w:val="nil"/>
                  </w:tcBorders>
                  <w:vAlign w:val="center"/>
                </w:tcPr>
                <w:p w14:paraId="35231AFA">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项目按照HJ1276要求设置危险废物贮存场所标志、危险废物贮存分区标志和危险废物标签等危险废物识别标志。</w:t>
                  </w:r>
                </w:p>
              </w:tc>
              <w:tc>
                <w:tcPr>
                  <w:tcW w:w="451" w:type="pct"/>
                  <w:tcBorders>
                    <w:tl2br w:val="nil"/>
                    <w:tr2bl w:val="nil"/>
                  </w:tcBorders>
                  <w:vAlign w:val="center"/>
                </w:tcPr>
                <w:p w14:paraId="634B7D5F">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符合</w:t>
                  </w:r>
                </w:p>
              </w:tc>
            </w:tr>
            <w:tr w14:paraId="1F443FB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42" w:hRule="atLeast"/>
              </w:trPr>
              <w:tc>
                <w:tcPr>
                  <w:tcW w:w="303" w:type="pct"/>
                  <w:tcBorders>
                    <w:tl2br w:val="nil"/>
                    <w:tr2bl w:val="nil"/>
                  </w:tcBorders>
                  <w:vAlign w:val="center"/>
                </w:tcPr>
                <w:p w14:paraId="1C7B4C6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Times New Roman" w:cs="Times New Roman"/>
                      <w:color w:val="auto"/>
                      <w:spacing w:val="0"/>
                      <w:w w:val="100"/>
                      <w:sz w:val="21"/>
                      <w:szCs w:val="21"/>
                    </w:rPr>
                  </w:pPr>
                  <w:r>
                    <w:rPr>
                      <w:rFonts w:hint="default" w:ascii="Times New Roman" w:hAnsi="Times New Roman" w:eastAsia="Times New Roman" w:cs="Times New Roman"/>
                      <w:color w:val="auto"/>
                      <w:spacing w:val="0"/>
                      <w:w w:val="100"/>
                      <w:sz w:val="21"/>
                      <w:szCs w:val="21"/>
                    </w:rPr>
                    <w:t>4.7</w:t>
                  </w:r>
                </w:p>
              </w:tc>
              <w:tc>
                <w:tcPr>
                  <w:tcW w:w="2367" w:type="pct"/>
                  <w:tcBorders>
                    <w:tl2br w:val="nil"/>
                    <w:tr2bl w:val="nil"/>
                  </w:tcBorders>
                  <w:vAlign w:val="center"/>
                </w:tcPr>
                <w:p w14:paraId="56670B57">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w w:val="100"/>
                      <w:sz w:val="21"/>
                      <w:szCs w:val="21"/>
                    </w:rPr>
                  </w:pPr>
                  <w:r>
                    <w:rPr>
                      <w:rFonts w:hint="default" w:ascii="Times New Roman" w:hAnsi="Times New Roman" w:eastAsia="Times New Roman" w:cs="Times New Roman"/>
                      <w:color w:val="auto"/>
                      <w:spacing w:val="0"/>
                      <w:w w:val="100"/>
                      <w:sz w:val="21"/>
                      <w:szCs w:val="21"/>
                    </w:rPr>
                    <w:t>HJ1259</w:t>
                  </w:r>
                  <w:r>
                    <w:rPr>
                      <w:rFonts w:hint="default" w:ascii="Times New Roman" w:hAnsi="Times New Roman" w:cs="Times New Roman"/>
                      <w:color w:val="auto"/>
                      <w:spacing w:val="0"/>
                      <w:w w:val="100"/>
                      <w:sz w:val="21"/>
                      <w:szCs w:val="21"/>
                    </w:rPr>
                    <w:t>规定的危险废物环境重点监管单位，应采用电子地磅、电子标签、电子管理台账等技术手段对危险废物贮存过程进行信息化管理，确保数据完整、真实、准确；采用视频监控的应确保监控画面清晰，视频记录保存时间至少为</w:t>
                  </w:r>
                  <w:r>
                    <w:rPr>
                      <w:rFonts w:hint="default" w:ascii="Times New Roman" w:hAnsi="Times New Roman" w:eastAsia="Times New Roman" w:cs="Times New Roman"/>
                      <w:color w:val="auto"/>
                      <w:spacing w:val="0"/>
                      <w:w w:val="100"/>
                      <w:sz w:val="21"/>
                      <w:szCs w:val="21"/>
                    </w:rPr>
                    <w:t>3</w:t>
                  </w:r>
                  <w:r>
                    <w:rPr>
                      <w:rFonts w:hint="default" w:ascii="Times New Roman" w:hAnsi="Times New Roman" w:cs="Times New Roman"/>
                      <w:color w:val="auto"/>
                      <w:spacing w:val="0"/>
                      <w:w w:val="100"/>
                      <w:sz w:val="21"/>
                      <w:szCs w:val="21"/>
                    </w:rPr>
                    <w:t>个月。</w:t>
                  </w:r>
                </w:p>
              </w:tc>
              <w:tc>
                <w:tcPr>
                  <w:tcW w:w="1876" w:type="pct"/>
                  <w:tcBorders>
                    <w:tl2br w:val="nil"/>
                    <w:tr2bl w:val="nil"/>
                  </w:tcBorders>
                  <w:vAlign w:val="center"/>
                </w:tcPr>
                <w:p w14:paraId="110404FC">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项目采用电子地磅、电子标签、电子管理台账等技术手段对危险废物贮存过程进行信息化管理，确保数据完整、真实、准确；采用视频监控的应确保监控画面清晰，</w:t>
                  </w:r>
                  <w:r>
                    <w:rPr>
                      <w:rFonts w:hint="eastAsia" w:ascii="Times New Roman" w:hAnsi="Times New Roman" w:cs="Times New Roman"/>
                      <w:color w:val="auto"/>
                      <w:spacing w:val="0"/>
                      <w:w w:val="100"/>
                      <w:sz w:val="21"/>
                      <w:szCs w:val="21"/>
                      <w:lang w:val="en-US" w:eastAsia="zh-CN"/>
                    </w:rPr>
                    <w:t>按要求保存</w:t>
                  </w:r>
                  <w:r>
                    <w:rPr>
                      <w:rFonts w:hint="default" w:ascii="Times New Roman" w:hAnsi="Times New Roman" w:cs="Times New Roman"/>
                      <w:color w:val="auto"/>
                      <w:spacing w:val="0"/>
                      <w:w w:val="100"/>
                      <w:sz w:val="21"/>
                      <w:szCs w:val="21"/>
                    </w:rPr>
                    <w:t>视频记录。</w:t>
                  </w:r>
                </w:p>
              </w:tc>
              <w:tc>
                <w:tcPr>
                  <w:tcW w:w="451" w:type="pct"/>
                  <w:tcBorders>
                    <w:tl2br w:val="nil"/>
                    <w:tr2bl w:val="nil"/>
                  </w:tcBorders>
                  <w:vAlign w:val="center"/>
                </w:tcPr>
                <w:p w14:paraId="079B475D">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符合</w:t>
                  </w:r>
                </w:p>
              </w:tc>
            </w:tr>
            <w:tr w14:paraId="1B3C491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303" w:type="pct"/>
                  <w:tcBorders>
                    <w:tl2br w:val="nil"/>
                    <w:tr2bl w:val="nil"/>
                  </w:tcBorders>
                  <w:vAlign w:val="center"/>
                </w:tcPr>
                <w:p w14:paraId="633E1A9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Times New Roman" w:cs="Times New Roman"/>
                      <w:color w:val="auto"/>
                      <w:spacing w:val="0"/>
                      <w:w w:val="100"/>
                      <w:sz w:val="21"/>
                      <w:szCs w:val="21"/>
                    </w:rPr>
                  </w:pPr>
                  <w:r>
                    <w:rPr>
                      <w:rFonts w:hint="default" w:ascii="Times New Roman" w:hAnsi="Times New Roman" w:eastAsia="Times New Roman" w:cs="Times New Roman"/>
                      <w:color w:val="auto"/>
                      <w:spacing w:val="0"/>
                      <w:w w:val="100"/>
                      <w:sz w:val="21"/>
                      <w:szCs w:val="21"/>
                    </w:rPr>
                    <w:t>4.8</w:t>
                  </w:r>
                </w:p>
              </w:tc>
              <w:tc>
                <w:tcPr>
                  <w:tcW w:w="2367" w:type="pct"/>
                  <w:tcBorders>
                    <w:tl2br w:val="nil"/>
                    <w:tr2bl w:val="nil"/>
                  </w:tcBorders>
                  <w:vAlign w:val="center"/>
                </w:tcPr>
                <w:p w14:paraId="6FE08356">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贮存设施退役时，所有者或运营者应依法履行环境保护责任，退役前应妥善处理处置贮存设施内剩余的危险废物，并对贮存设施进行清理，消除污染；还应依据土壤污染防治相关法律法规履行场地环境风险防控责任。</w:t>
                  </w:r>
                </w:p>
              </w:tc>
              <w:tc>
                <w:tcPr>
                  <w:tcW w:w="1876" w:type="pct"/>
                  <w:tcBorders>
                    <w:tl2br w:val="nil"/>
                    <w:tr2bl w:val="nil"/>
                  </w:tcBorders>
                  <w:vAlign w:val="center"/>
                </w:tcPr>
                <w:p w14:paraId="27CCF0E2">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eastAsia" w:ascii="Times New Roman" w:hAnsi="Times New Roman" w:eastAsia="宋体" w:cs="Times New Roman"/>
                      <w:color w:val="auto"/>
                      <w:spacing w:val="0"/>
                      <w:w w:val="100"/>
                      <w:sz w:val="21"/>
                      <w:szCs w:val="21"/>
                      <w:lang w:val="en-US" w:eastAsia="zh-CN"/>
                    </w:rPr>
                  </w:pPr>
                  <w:r>
                    <w:rPr>
                      <w:rFonts w:hint="eastAsia" w:ascii="Times New Roman" w:hAnsi="Times New Roman" w:cs="Times New Roman"/>
                      <w:color w:val="auto"/>
                      <w:spacing w:val="0"/>
                      <w:w w:val="100"/>
                      <w:sz w:val="21"/>
                      <w:szCs w:val="21"/>
                      <w:lang w:val="en-US" w:eastAsia="zh-CN"/>
                    </w:rPr>
                    <w:t>现有项目在搬迁时</w:t>
                  </w:r>
                  <w:r>
                    <w:rPr>
                      <w:rFonts w:hint="default" w:ascii="Times New Roman" w:hAnsi="Times New Roman" w:cs="Times New Roman"/>
                      <w:color w:val="auto"/>
                      <w:spacing w:val="0"/>
                      <w:w w:val="100"/>
                      <w:sz w:val="21"/>
                      <w:szCs w:val="21"/>
                    </w:rPr>
                    <w:t>，</w:t>
                  </w:r>
                  <w:r>
                    <w:rPr>
                      <w:rFonts w:hint="eastAsia" w:ascii="Times New Roman" w:hAnsi="Times New Roman" w:cs="Times New Roman"/>
                      <w:color w:val="auto"/>
                      <w:spacing w:val="0"/>
                      <w:w w:val="100"/>
                      <w:sz w:val="21"/>
                      <w:szCs w:val="21"/>
                      <w:lang w:val="en-US" w:eastAsia="zh-CN"/>
                    </w:rPr>
                    <w:t>企业</w:t>
                  </w:r>
                  <w:r>
                    <w:rPr>
                      <w:rFonts w:hint="default" w:ascii="Times New Roman" w:hAnsi="Times New Roman" w:cs="Times New Roman"/>
                      <w:color w:val="auto"/>
                      <w:spacing w:val="0"/>
                      <w:w w:val="100"/>
                      <w:sz w:val="21"/>
                      <w:szCs w:val="21"/>
                    </w:rPr>
                    <w:t>会妥善处理处置</w:t>
                  </w:r>
                  <w:r>
                    <w:rPr>
                      <w:rFonts w:hint="eastAsia" w:ascii="Times New Roman" w:hAnsi="Times New Roman" w:cs="Times New Roman"/>
                      <w:color w:val="auto"/>
                      <w:spacing w:val="0"/>
                      <w:w w:val="100"/>
                      <w:sz w:val="21"/>
                      <w:szCs w:val="21"/>
                      <w:lang w:val="en-US" w:eastAsia="zh-CN"/>
                    </w:rPr>
                    <w:t>危废仓库</w:t>
                  </w:r>
                  <w:r>
                    <w:rPr>
                      <w:rFonts w:hint="default" w:ascii="Times New Roman" w:hAnsi="Times New Roman" w:cs="Times New Roman"/>
                      <w:color w:val="auto"/>
                      <w:spacing w:val="0"/>
                      <w:w w:val="100"/>
                      <w:sz w:val="21"/>
                      <w:szCs w:val="21"/>
                    </w:rPr>
                    <w:t>内剩余的危险废物，并对贮存设施进行清理，消除污染。</w:t>
                  </w:r>
                  <w:r>
                    <w:rPr>
                      <w:rFonts w:hint="eastAsia" w:ascii="Times New Roman" w:hAnsi="Times New Roman" w:cs="Times New Roman"/>
                      <w:color w:val="auto"/>
                      <w:spacing w:val="0"/>
                      <w:w w:val="100"/>
                      <w:sz w:val="21"/>
                      <w:szCs w:val="21"/>
                      <w:lang w:val="en-US" w:eastAsia="zh-CN"/>
                    </w:rPr>
                    <w:t>并</w:t>
                  </w:r>
                  <w:r>
                    <w:rPr>
                      <w:rFonts w:hint="default" w:ascii="Times New Roman" w:hAnsi="Times New Roman" w:cs="Times New Roman"/>
                      <w:color w:val="auto"/>
                      <w:spacing w:val="0"/>
                      <w:w w:val="100"/>
                      <w:sz w:val="21"/>
                      <w:szCs w:val="21"/>
                    </w:rPr>
                    <w:t>应依据土壤污染防治相关法律法规履行场地环境风险防控责任。</w:t>
                  </w:r>
                </w:p>
              </w:tc>
              <w:tc>
                <w:tcPr>
                  <w:tcW w:w="451" w:type="pct"/>
                  <w:tcBorders>
                    <w:tl2br w:val="nil"/>
                    <w:tr2bl w:val="nil"/>
                  </w:tcBorders>
                  <w:vAlign w:val="center"/>
                </w:tcPr>
                <w:p w14:paraId="7C142D59">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符合</w:t>
                  </w:r>
                </w:p>
              </w:tc>
            </w:tr>
            <w:tr w14:paraId="54CD716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303" w:type="pct"/>
                  <w:tcBorders>
                    <w:top w:val="single" w:color="000000" w:sz="6" w:space="0"/>
                    <w:left w:val="single" w:color="000000" w:sz="2" w:space="0"/>
                  </w:tcBorders>
                  <w:vAlign w:val="center"/>
                </w:tcPr>
                <w:p w14:paraId="7DC4E2D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Times New Roman" w:cs="Times New Roman"/>
                      <w:color w:val="auto"/>
                      <w:spacing w:val="0"/>
                      <w:w w:val="100"/>
                      <w:sz w:val="21"/>
                      <w:szCs w:val="21"/>
                    </w:rPr>
                  </w:pPr>
                  <w:r>
                    <w:rPr>
                      <w:rFonts w:hint="default" w:ascii="Times New Roman" w:hAnsi="Times New Roman" w:eastAsia="Times New Roman" w:cs="Times New Roman"/>
                      <w:color w:val="auto"/>
                      <w:spacing w:val="0"/>
                      <w:w w:val="100"/>
                      <w:sz w:val="21"/>
                      <w:szCs w:val="21"/>
                    </w:rPr>
                    <w:t>4.9</w:t>
                  </w:r>
                </w:p>
              </w:tc>
              <w:tc>
                <w:tcPr>
                  <w:tcW w:w="2367" w:type="pct"/>
                  <w:tcBorders>
                    <w:top w:val="single" w:color="000000" w:sz="6" w:space="0"/>
                  </w:tcBorders>
                  <w:vAlign w:val="center"/>
                </w:tcPr>
                <w:p w14:paraId="239BC86D">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在常温常压下易爆、易燃及排出有毒气体的危险废物应进行预处理，使之稳定后贮存，否则应按易爆、易燃危险品贮存。</w:t>
                  </w:r>
                </w:p>
              </w:tc>
              <w:tc>
                <w:tcPr>
                  <w:tcW w:w="1876" w:type="pct"/>
                  <w:tcBorders>
                    <w:top w:val="single" w:color="000000" w:sz="6" w:space="0"/>
                  </w:tcBorders>
                  <w:vAlign w:val="center"/>
                </w:tcPr>
                <w:p w14:paraId="23278ADB">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本项目不涉及常温常压下易爆及排出有毒气体的危险废物。</w:t>
                  </w:r>
                </w:p>
              </w:tc>
              <w:tc>
                <w:tcPr>
                  <w:tcW w:w="451" w:type="pct"/>
                  <w:tcBorders>
                    <w:top w:val="single" w:color="000000" w:sz="6" w:space="0"/>
                    <w:right w:val="single" w:color="000000" w:sz="8" w:space="0"/>
                  </w:tcBorders>
                  <w:vAlign w:val="center"/>
                </w:tcPr>
                <w:p w14:paraId="573774D2">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符合</w:t>
                  </w:r>
                </w:p>
              </w:tc>
            </w:tr>
            <w:tr w14:paraId="2870212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303" w:type="pct"/>
                  <w:tcBorders>
                    <w:left w:val="single" w:color="000000" w:sz="2" w:space="0"/>
                  </w:tcBorders>
                  <w:vAlign w:val="center"/>
                </w:tcPr>
                <w:p w14:paraId="70220EB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Times New Roman" w:cs="Times New Roman"/>
                      <w:color w:val="auto"/>
                      <w:spacing w:val="0"/>
                      <w:w w:val="100"/>
                      <w:sz w:val="21"/>
                      <w:szCs w:val="21"/>
                    </w:rPr>
                  </w:pPr>
                  <w:r>
                    <w:rPr>
                      <w:rFonts w:hint="default" w:ascii="Times New Roman" w:hAnsi="Times New Roman" w:eastAsia="Times New Roman" w:cs="Times New Roman"/>
                      <w:color w:val="auto"/>
                      <w:spacing w:val="0"/>
                      <w:w w:val="100"/>
                      <w:sz w:val="21"/>
                      <w:szCs w:val="21"/>
                    </w:rPr>
                    <w:t>4.10</w:t>
                  </w:r>
                </w:p>
              </w:tc>
              <w:tc>
                <w:tcPr>
                  <w:tcW w:w="2367" w:type="pct"/>
                  <w:vAlign w:val="center"/>
                </w:tcPr>
                <w:p w14:paraId="5E05ECB2">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危险废物贮存除应满足环境保护相关要求外，还应执行国家安全生产、职业健康、交通运输、消防等法法规和标准的相关要求。</w:t>
                  </w:r>
                </w:p>
              </w:tc>
              <w:tc>
                <w:tcPr>
                  <w:tcW w:w="1876" w:type="pct"/>
                  <w:vAlign w:val="center"/>
                </w:tcPr>
                <w:p w14:paraId="10AE6021">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项目满足环境保护相关要求、国家安全生产、职业健康、交通运输、消防等法律法规和标准的相关要求。</w:t>
                  </w:r>
                </w:p>
              </w:tc>
              <w:tc>
                <w:tcPr>
                  <w:tcW w:w="451" w:type="pct"/>
                  <w:tcBorders>
                    <w:right w:val="single" w:color="000000" w:sz="8" w:space="0"/>
                  </w:tcBorders>
                  <w:vAlign w:val="center"/>
                </w:tcPr>
                <w:p w14:paraId="0E0D06E9">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符合</w:t>
                  </w:r>
                </w:p>
              </w:tc>
            </w:tr>
            <w:tr w14:paraId="03C260F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5000" w:type="pct"/>
                  <w:gridSpan w:val="4"/>
                  <w:tcBorders>
                    <w:left w:val="single" w:color="000000" w:sz="2" w:space="0"/>
                    <w:right w:val="single" w:color="000000" w:sz="8" w:space="0"/>
                  </w:tcBorders>
                  <w:vAlign w:val="center"/>
                </w:tcPr>
                <w:p w14:paraId="0A2261E1">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w w:val="100"/>
                      <w:sz w:val="21"/>
                      <w:szCs w:val="21"/>
                    </w:rPr>
                  </w:pPr>
                  <w:r>
                    <w:rPr>
                      <w:rFonts w:hint="default" w:ascii="Times New Roman" w:hAnsi="Times New Roman" w:eastAsia="Times New Roman" w:cs="Times New Roman"/>
                      <w:color w:val="auto"/>
                      <w:spacing w:val="0"/>
                      <w:w w:val="100"/>
                      <w:sz w:val="21"/>
                      <w:szCs w:val="21"/>
                    </w:rPr>
                    <w:t>5</w:t>
                  </w:r>
                  <w:r>
                    <w:rPr>
                      <w:rFonts w:hint="eastAsia" w:ascii="Times New Roman" w:hAnsi="Times New Roman" w:eastAsia="宋体" w:cs="Times New Roman"/>
                      <w:color w:val="auto"/>
                      <w:spacing w:val="0"/>
                      <w:w w:val="100"/>
                      <w:sz w:val="21"/>
                      <w:szCs w:val="21"/>
                      <w:lang w:eastAsia="zh-CN"/>
                    </w:rPr>
                    <w:t>、</w:t>
                  </w:r>
                  <w:r>
                    <w:rPr>
                      <w:rFonts w:hint="default" w:ascii="Times New Roman" w:hAnsi="Times New Roman" w:cs="Times New Roman"/>
                      <w:color w:val="auto"/>
                      <w:spacing w:val="0"/>
                      <w:w w:val="100"/>
                      <w:sz w:val="21"/>
                      <w:szCs w:val="21"/>
                    </w:rPr>
                    <w:t>贮存设施选址要求</w:t>
                  </w:r>
                </w:p>
              </w:tc>
            </w:tr>
            <w:tr w14:paraId="2C50D69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303" w:type="pct"/>
                  <w:tcBorders>
                    <w:left w:val="single" w:color="000000" w:sz="2" w:space="0"/>
                  </w:tcBorders>
                  <w:vAlign w:val="center"/>
                </w:tcPr>
                <w:p w14:paraId="2A571FD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Times New Roman" w:cs="Times New Roman"/>
                      <w:color w:val="auto"/>
                      <w:spacing w:val="0"/>
                      <w:w w:val="100"/>
                      <w:sz w:val="21"/>
                      <w:szCs w:val="21"/>
                    </w:rPr>
                  </w:pPr>
                  <w:r>
                    <w:rPr>
                      <w:rFonts w:hint="default" w:ascii="Times New Roman" w:hAnsi="Times New Roman" w:eastAsia="Times New Roman" w:cs="Times New Roman"/>
                      <w:color w:val="auto"/>
                      <w:spacing w:val="0"/>
                      <w:w w:val="100"/>
                      <w:sz w:val="21"/>
                      <w:szCs w:val="21"/>
                    </w:rPr>
                    <w:t>5.1</w:t>
                  </w:r>
                </w:p>
              </w:tc>
              <w:tc>
                <w:tcPr>
                  <w:tcW w:w="2367" w:type="pct"/>
                  <w:vAlign w:val="center"/>
                </w:tcPr>
                <w:p w14:paraId="0880D108">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贮存设施选址应满足生态环境保护法律法规、规划和</w:t>
                  </w:r>
                  <w:r>
                    <w:rPr>
                      <w:rFonts w:hint="default" w:ascii="Times New Roman" w:hAnsi="Times New Roman" w:eastAsia="Times New Roman" w:cs="Times New Roman"/>
                      <w:color w:val="auto"/>
                      <w:spacing w:val="0"/>
                      <w:w w:val="100"/>
                      <w:sz w:val="21"/>
                      <w:szCs w:val="21"/>
                    </w:rPr>
                    <w:t>“</w:t>
                  </w:r>
                  <w:r>
                    <w:rPr>
                      <w:rFonts w:hint="default" w:ascii="Times New Roman" w:hAnsi="Times New Roman" w:cs="Times New Roman"/>
                      <w:color w:val="auto"/>
                      <w:spacing w:val="0"/>
                      <w:w w:val="100"/>
                      <w:sz w:val="21"/>
                      <w:szCs w:val="21"/>
                    </w:rPr>
                    <w:t>三线一单</w:t>
                  </w:r>
                  <w:r>
                    <w:rPr>
                      <w:rFonts w:hint="default" w:ascii="Times New Roman" w:hAnsi="Times New Roman" w:eastAsia="Times New Roman" w:cs="Times New Roman"/>
                      <w:color w:val="auto"/>
                      <w:spacing w:val="0"/>
                      <w:w w:val="100"/>
                      <w:sz w:val="21"/>
                      <w:szCs w:val="21"/>
                    </w:rPr>
                    <w:t>”</w:t>
                  </w:r>
                  <w:r>
                    <w:rPr>
                      <w:rFonts w:hint="default" w:ascii="Times New Roman" w:hAnsi="Times New Roman" w:cs="Times New Roman"/>
                      <w:color w:val="auto"/>
                      <w:spacing w:val="0"/>
                      <w:w w:val="100"/>
                      <w:sz w:val="21"/>
                      <w:szCs w:val="21"/>
                    </w:rPr>
                    <w:t>生态环境分区管控的要求，建设项目应依法进行环境影响评价。</w:t>
                  </w:r>
                </w:p>
              </w:tc>
              <w:tc>
                <w:tcPr>
                  <w:tcW w:w="1876" w:type="pct"/>
                  <w:vAlign w:val="center"/>
                </w:tcPr>
                <w:p w14:paraId="24683B3C">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w w:val="100"/>
                      <w:sz w:val="21"/>
                      <w:szCs w:val="21"/>
                    </w:rPr>
                  </w:pPr>
                  <w:r>
                    <w:rPr>
                      <w:rFonts w:hint="eastAsia" w:ascii="Times New Roman" w:hAnsi="Times New Roman" w:cs="Times New Roman"/>
                      <w:color w:val="auto"/>
                      <w:spacing w:val="0"/>
                      <w:w w:val="100"/>
                      <w:sz w:val="21"/>
                      <w:szCs w:val="21"/>
                      <w:lang w:val="en-US" w:eastAsia="zh-CN"/>
                    </w:rPr>
                    <w:t>搬迁</w:t>
                  </w:r>
                  <w:r>
                    <w:rPr>
                      <w:rFonts w:hint="default" w:ascii="Times New Roman" w:hAnsi="Times New Roman" w:cs="Times New Roman"/>
                      <w:color w:val="auto"/>
                      <w:spacing w:val="0"/>
                      <w:w w:val="100"/>
                      <w:sz w:val="21"/>
                      <w:szCs w:val="21"/>
                    </w:rPr>
                    <w:t>项目选址满足生态环境保护法律法规、规划和</w:t>
                  </w:r>
                  <w:r>
                    <w:rPr>
                      <w:rFonts w:hint="default" w:ascii="Times New Roman" w:hAnsi="Times New Roman" w:eastAsia="Times New Roman" w:cs="Times New Roman"/>
                      <w:color w:val="auto"/>
                      <w:spacing w:val="0"/>
                      <w:w w:val="100"/>
                      <w:sz w:val="21"/>
                      <w:szCs w:val="21"/>
                    </w:rPr>
                    <w:t>“</w:t>
                  </w:r>
                  <w:r>
                    <w:rPr>
                      <w:rFonts w:hint="default" w:ascii="Times New Roman" w:hAnsi="Times New Roman" w:cs="Times New Roman"/>
                      <w:color w:val="auto"/>
                      <w:spacing w:val="0"/>
                      <w:w w:val="100"/>
                      <w:sz w:val="21"/>
                      <w:szCs w:val="21"/>
                    </w:rPr>
                    <w:t>三线一单</w:t>
                  </w:r>
                  <w:r>
                    <w:rPr>
                      <w:rFonts w:hint="default" w:ascii="Times New Roman" w:hAnsi="Times New Roman" w:eastAsia="Times New Roman" w:cs="Times New Roman"/>
                      <w:color w:val="auto"/>
                      <w:spacing w:val="0"/>
                      <w:w w:val="100"/>
                      <w:sz w:val="21"/>
                      <w:szCs w:val="21"/>
                    </w:rPr>
                    <w:t>”</w:t>
                  </w:r>
                  <w:r>
                    <w:rPr>
                      <w:rFonts w:hint="default" w:ascii="Times New Roman" w:hAnsi="Times New Roman" w:cs="Times New Roman"/>
                      <w:color w:val="auto"/>
                      <w:spacing w:val="0"/>
                      <w:w w:val="100"/>
                      <w:sz w:val="21"/>
                      <w:szCs w:val="21"/>
                    </w:rPr>
                    <w:t>生态环境分区管控的要求，目前正在进行环境影响评价。</w:t>
                  </w:r>
                </w:p>
                <w:p w14:paraId="4B2C87EC">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宋体" w:cs="Times New Roman"/>
                      <w:color w:val="auto"/>
                      <w:spacing w:val="0"/>
                      <w:w w:val="100"/>
                      <w:sz w:val="21"/>
                      <w:szCs w:val="21"/>
                      <w:lang w:val="en-US" w:eastAsia="zh-CN"/>
                    </w:rPr>
                  </w:pPr>
                  <w:r>
                    <w:rPr>
                      <w:rFonts w:hint="eastAsia" w:ascii="Times New Roman" w:hAnsi="Times New Roman" w:cs="Times New Roman"/>
                      <w:color w:val="auto"/>
                      <w:spacing w:val="0"/>
                      <w:w w:val="100"/>
                      <w:sz w:val="21"/>
                      <w:szCs w:val="21"/>
                      <w:lang w:val="en-US" w:eastAsia="zh-CN"/>
                    </w:rPr>
                    <w:t>现有项目已依法取得环境影响评价批复。</w:t>
                  </w:r>
                </w:p>
              </w:tc>
              <w:tc>
                <w:tcPr>
                  <w:tcW w:w="451" w:type="pct"/>
                  <w:tcBorders>
                    <w:right w:val="single" w:color="000000" w:sz="8" w:space="0"/>
                  </w:tcBorders>
                  <w:vAlign w:val="center"/>
                </w:tcPr>
                <w:p w14:paraId="2D85732F">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符合</w:t>
                  </w:r>
                </w:p>
              </w:tc>
            </w:tr>
            <w:tr w14:paraId="235C12B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6" w:hRule="atLeast"/>
              </w:trPr>
              <w:tc>
                <w:tcPr>
                  <w:tcW w:w="303" w:type="pct"/>
                  <w:tcBorders>
                    <w:left w:val="single" w:color="000000" w:sz="2" w:space="0"/>
                  </w:tcBorders>
                  <w:vAlign w:val="center"/>
                </w:tcPr>
                <w:p w14:paraId="136B32B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Times New Roman" w:cs="Times New Roman"/>
                      <w:color w:val="auto"/>
                      <w:spacing w:val="0"/>
                      <w:w w:val="100"/>
                      <w:sz w:val="21"/>
                      <w:szCs w:val="21"/>
                    </w:rPr>
                  </w:pPr>
                  <w:r>
                    <w:rPr>
                      <w:rFonts w:hint="default" w:ascii="Times New Roman" w:hAnsi="Times New Roman" w:eastAsia="Times New Roman" w:cs="Times New Roman"/>
                      <w:color w:val="auto"/>
                      <w:spacing w:val="0"/>
                      <w:w w:val="100"/>
                      <w:sz w:val="21"/>
                      <w:szCs w:val="21"/>
                    </w:rPr>
                    <w:t>5.2</w:t>
                  </w:r>
                </w:p>
              </w:tc>
              <w:tc>
                <w:tcPr>
                  <w:tcW w:w="2367" w:type="pct"/>
                  <w:vAlign w:val="center"/>
                </w:tcPr>
                <w:p w14:paraId="25F4C836">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集中贮存设施不应选在生态保护红线区域、永久基本农田和其他需要特别保护的区域内，不应建在溶洞区或易遭受洪水、滑坡、泥石流、潮汐等严重自然灾害影响的地区。</w:t>
                  </w:r>
                </w:p>
              </w:tc>
              <w:tc>
                <w:tcPr>
                  <w:tcW w:w="1876" w:type="pct"/>
                  <w:vAlign w:val="center"/>
                </w:tcPr>
                <w:p w14:paraId="66D27D7F">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本项目不涉及</w:t>
                  </w:r>
                  <w:r>
                    <w:rPr>
                      <w:rFonts w:hint="eastAsia" w:ascii="Times New Roman" w:hAnsi="Times New Roman" w:cs="Times New Roman"/>
                      <w:color w:val="auto"/>
                      <w:spacing w:val="0"/>
                      <w:w w:val="100"/>
                      <w:sz w:val="21"/>
                      <w:szCs w:val="21"/>
                      <w:lang w:val="en-US" w:eastAsia="zh-CN"/>
                    </w:rPr>
                    <w:t>左侧所列区域</w:t>
                  </w:r>
                  <w:r>
                    <w:rPr>
                      <w:rFonts w:hint="default" w:ascii="Times New Roman" w:hAnsi="Times New Roman" w:cs="Times New Roman"/>
                      <w:color w:val="auto"/>
                      <w:spacing w:val="0"/>
                      <w:w w:val="100"/>
                      <w:sz w:val="21"/>
                      <w:szCs w:val="21"/>
                    </w:rPr>
                    <w:t>。</w:t>
                  </w:r>
                </w:p>
              </w:tc>
              <w:tc>
                <w:tcPr>
                  <w:tcW w:w="451" w:type="pct"/>
                  <w:tcBorders>
                    <w:right w:val="single" w:color="000000" w:sz="8" w:space="0"/>
                  </w:tcBorders>
                  <w:vAlign w:val="center"/>
                </w:tcPr>
                <w:p w14:paraId="3C953C29">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符合</w:t>
                  </w:r>
                </w:p>
              </w:tc>
            </w:tr>
            <w:tr w14:paraId="0BD836F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303" w:type="pct"/>
                  <w:tcBorders>
                    <w:left w:val="single" w:color="000000" w:sz="2" w:space="0"/>
                  </w:tcBorders>
                  <w:vAlign w:val="center"/>
                </w:tcPr>
                <w:p w14:paraId="10CB380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Times New Roman" w:cs="Times New Roman"/>
                      <w:color w:val="auto"/>
                      <w:spacing w:val="0"/>
                      <w:w w:val="100"/>
                      <w:sz w:val="21"/>
                      <w:szCs w:val="21"/>
                    </w:rPr>
                  </w:pPr>
                  <w:r>
                    <w:rPr>
                      <w:rFonts w:hint="default" w:ascii="Times New Roman" w:hAnsi="Times New Roman" w:eastAsia="Times New Roman" w:cs="Times New Roman"/>
                      <w:color w:val="auto"/>
                      <w:spacing w:val="0"/>
                      <w:w w:val="100"/>
                      <w:sz w:val="21"/>
                      <w:szCs w:val="21"/>
                    </w:rPr>
                    <w:t>5.3</w:t>
                  </w:r>
                </w:p>
              </w:tc>
              <w:tc>
                <w:tcPr>
                  <w:tcW w:w="2367" w:type="pct"/>
                  <w:vAlign w:val="center"/>
                </w:tcPr>
                <w:p w14:paraId="3BAD7C52">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贮存设施不应选在江河、湖泊、运河、渠道、水库及其最高水位线以下的滩地和岸坡，以及法律法规规定禁止贮存危险废物的其他地点。</w:t>
                  </w:r>
                </w:p>
              </w:tc>
              <w:tc>
                <w:tcPr>
                  <w:tcW w:w="1876" w:type="pct"/>
                  <w:vAlign w:val="center"/>
                </w:tcPr>
                <w:p w14:paraId="13DF671A">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本项目不涉及</w:t>
                  </w:r>
                  <w:r>
                    <w:rPr>
                      <w:rFonts w:hint="eastAsia" w:ascii="Times New Roman" w:hAnsi="Times New Roman" w:cs="Times New Roman"/>
                      <w:color w:val="auto"/>
                      <w:spacing w:val="0"/>
                      <w:w w:val="100"/>
                      <w:sz w:val="21"/>
                      <w:szCs w:val="21"/>
                      <w:lang w:val="en-US" w:eastAsia="zh-CN"/>
                    </w:rPr>
                    <w:t>左侧所列区域</w:t>
                  </w:r>
                  <w:r>
                    <w:rPr>
                      <w:rFonts w:hint="default" w:ascii="Times New Roman" w:hAnsi="Times New Roman" w:cs="Times New Roman"/>
                      <w:color w:val="auto"/>
                      <w:spacing w:val="0"/>
                      <w:w w:val="100"/>
                      <w:sz w:val="21"/>
                      <w:szCs w:val="21"/>
                    </w:rPr>
                    <w:t>。</w:t>
                  </w:r>
                </w:p>
              </w:tc>
              <w:tc>
                <w:tcPr>
                  <w:tcW w:w="451" w:type="pct"/>
                  <w:tcBorders>
                    <w:right w:val="single" w:color="000000" w:sz="8" w:space="0"/>
                  </w:tcBorders>
                  <w:vAlign w:val="center"/>
                </w:tcPr>
                <w:p w14:paraId="3040B9CA">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符合</w:t>
                  </w:r>
                </w:p>
              </w:tc>
            </w:tr>
            <w:tr w14:paraId="46D9AB3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303" w:type="pct"/>
                  <w:tcBorders>
                    <w:left w:val="single" w:color="000000" w:sz="2" w:space="0"/>
                  </w:tcBorders>
                  <w:vAlign w:val="center"/>
                </w:tcPr>
                <w:p w14:paraId="378E171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Times New Roman" w:cs="Times New Roman"/>
                      <w:color w:val="auto"/>
                      <w:spacing w:val="0"/>
                      <w:w w:val="100"/>
                      <w:sz w:val="21"/>
                      <w:szCs w:val="21"/>
                    </w:rPr>
                  </w:pPr>
                  <w:r>
                    <w:rPr>
                      <w:rFonts w:hint="default" w:ascii="Times New Roman" w:hAnsi="Times New Roman" w:eastAsia="Times New Roman" w:cs="Times New Roman"/>
                      <w:color w:val="auto"/>
                      <w:spacing w:val="0"/>
                      <w:w w:val="100"/>
                      <w:sz w:val="21"/>
                      <w:szCs w:val="21"/>
                    </w:rPr>
                    <w:t>5.4</w:t>
                  </w:r>
                </w:p>
              </w:tc>
              <w:tc>
                <w:tcPr>
                  <w:tcW w:w="2367" w:type="pct"/>
                  <w:vAlign w:val="center"/>
                </w:tcPr>
                <w:p w14:paraId="403DDF1C">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贮存设施场址的位置以及其与周围环境敏感目标的距离应依据环境影响评价文件确定。</w:t>
                  </w:r>
                </w:p>
              </w:tc>
              <w:tc>
                <w:tcPr>
                  <w:tcW w:w="1876" w:type="pct"/>
                  <w:vAlign w:val="center"/>
                </w:tcPr>
                <w:p w14:paraId="6E795958">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项目</w:t>
                  </w:r>
                  <w:r>
                    <w:rPr>
                      <w:rFonts w:hint="eastAsia" w:ascii="Times New Roman" w:hAnsi="Times New Roman" w:cs="Times New Roman"/>
                      <w:color w:val="auto"/>
                      <w:spacing w:val="0"/>
                      <w:w w:val="100"/>
                      <w:sz w:val="21"/>
                      <w:szCs w:val="21"/>
                      <w:lang w:val="en-US" w:eastAsia="zh-CN"/>
                    </w:rPr>
                    <w:t>位于淄博市淄川区罗村镇南韩村村委西北1000米</w:t>
                  </w:r>
                  <w:r>
                    <w:rPr>
                      <w:rFonts w:hint="default" w:ascii="Times New Roman" w:hAnsi="Times New Roman" w:cs="Times New Roman"/>
                      <w:color w:val="auto"/>
                      <w:spacing w:val="0"/>
                      <w:w w:val="100"/>
                      <w:sz w:val="21"/>
                      <w:szCs w:val="21"/>
                    </w:rPr>
                    <w:t>。与周边环境敏感目标超过50m。</w:t>
                  </w:r>
                </w:p>
              </w:tc>
              <w:tc>
                <w:tcPr>
                  <w:tcW w:w="451" w:type="pct"/>
                  <w:tcBorders>
                    <w:right w:val="single" w:color="000000" w:sz="8" w:space="0"/>
                  </w:tcBorders>
                  <w:vAlign w:val="center"/>
                </w:tcPr>
                <w:p w14:paraId="1AF54778">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符合</w:t>
                  </w:r>
                </w:p>
              </w:tc>
            </w:tr>
            <w:tr w14:paraId="1D05ACB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5000" w:type="pct"/>
                  <w:gridSpan w:val="4"/>
                  <w:tcBorders>
                    <w:left w:val="single" w:color="000000" w:sz="2" w:space="0"/>
                    <w:right w:val="single" w:color="000000" w:sz="8" w:space="0"/>
                  </w:tcBorders>
                  <w:vAlign w:val="center"/>
                </w:tcPr>
                <w:p w14:paraId="438E5DAF">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w w:val="100"/>
                      <w:sz w:val="21"/>
                      <w:szCs w:val="21"/>
                    </w:rPr>
                  </w:pPr>
                  <w:r>
                    <w:rPr>
                      <w:rFonts w:hint="default" w:ascii="Times New Roman" w:hAnsi="Times New Roman" w:eastAsia="Times New Roman" w:cs="Times New Roman"/>
                      <w:color w:val="auto"/>
                      <w:spacing w:val="0"/>
                      <w:w w:val="100"/>
                      <w:sz w:val="21"/>
                      <w:szCs w:val="21"/>
                    </w:rPr>
                    <w:t>6</w:t>
                  </w:r>
                  <w:r>
                    <w:rPr>
                      <w:rFonts w:hint="eastAsia" w:ascii="Times New Roman" w:hAnsi="Times New Roman" w:eastAsia="宋体" w:cs="Times New Roman"/>
                      <w:color w:val="auto"/>
                      <w:spacing w:val="0"/>
                      <w:w w:val="100"/>
                      <w:sz w:val="21"/>
                      <w:szCs w:val="21"/>
                      <w:lang w:eastAsia="zh-CN"/>
                    </w:rPr>
                    <w:t>、</w:t>
                  </w:r>
                  <w:r>
                    <w:rPr>
                      <w:rFonts w:hint="default" w:ascii="Times New Roman" w:hAnsi="Times New Roman" w:cs="Times New Roman"/>
                      <w:color w:val="auto"/>
                      <w:spacing w:val="0"/>
                      <w:w w:val="100"/>
                      <w:sz w:val="21"/>
                      <w:szCs w:val="21"/>
                    </w:rPr>
                    <w:t>贮存设施污染控制要求</w:t>
                  </w:r>
                </w:p>
              </w:tc>
            </w:tr>
            <w:tr w14:paraId="1FEA613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5000" w:type="pct"/>
                  <w:gridSpan w:val="4"/>
                  <w:tcBorders>
                    <w:left w:val="single" w:color="000000" w:sz="2" w:space="0"/>
                    <w:right w:val="single" w:color="000000" w:sz="8" w:space="0"/>
                  </w:tcBorders>
                  <w:vAlign w:val="center"/>
                </w:tcPr>
                <w:p w14:paraId="4E282084">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w w:val="100"/>
                      <w:sz w:val="21"/>
                      <w:szCs w:val="21"/>
                    </w:rPr>
                  </w:pPr>
                  <w:r>
                    <w:rPr>
                      <w:rFonts w:hint="default" w:ascii="Times New Roman" w:hAnsi="Times New Roman" w:eastAsia="Times New Roman" w:cs="Times New Roman"/>
                      <w:color w:val="auto"/>
                      <w:spacing w:val="0"/>
                      <w:w w:val="100"/>
                      <w:sz w:val="21"/>
                      <w:szCs w:val="21"/>
                    </w:rPr>
                    <w:t>6.1</w:t>
                  </w:r>
                  <w:r>
                    <w:rPr>
                      <w:rFonts w:hint="default" w:ascii="Times New Roman" w:hAnsi="Times New Roman" w:cs="Times New Roman"/>
                      <w:color w:val="auto"/>
                      <w:spacing w:val="0"/>
                      <w:w w:val="100"/>
                      <w:sz w:val="21"/>
                      <w:szCs w:val="21"/>
                    </w:rPr>
                    <w:t>一般规定</w:t>
                  </w:r>
                </w:p>
              </w:tc>
            </w:tr>
            <w:tr w14:paraId="07A6025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8" w:hRule="atLeast"/>
              </w:trPr>
              <w:tc>
                <w:tcPr>
                  <w:tcW w:w="303" w:type="pct"/>
                  <w:tcBorders>
                    <w:left w:val="single" w:color="000000" w:sz="2" w:space="0"/>
                  </w:tcBorders>
                  <w:vAlign w:val="center"/>
                </w:tcPr>
                <w:p w14:paraId="2DE1609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Times New Roman" w:cs="Times New Roman"/>
                      <w:color w:val="auto"/>
                      <w:spacing w:val="0"/>
                      <w:w w:val="100"/>
                      <w:sz w:val="21"/>
                      <w:szCs w:val="21"/>
                    </w:rPr>
                  </w:pPr>
                  <w:r>
                    <w:rPr>
                      <w:rFonts w:hint="default" w:ascii="Times New Roman" w:hAnsi="Times New Roman" w:eastAsia="Times New Roman" w:cs="Times New Roman"/>
                      <w:color w:val="auto"/>
                      <w:spacing w:val="0"/>
                      <w:w w:val="100"/>
                      <w:sz w:val="21"/>
                      <w:szCs w:val="21"/>
                    </w:rPr>
                    <w:t>6.1</w:t>
                  </w:r>
                  <w:r>
                    <w:rPr>
                      <w:rFonts w:hint="eastAsia" w:ascii="Times New Roman" w:hAnsi="Times New Roman" w:eastAsia="宋体" w:cs="Times New Roman"/>
                      <w:color w:val="auto"/>
                      <w:spacing w:val="0"/>
                      <w:w w:val="100"/>
                      <w:sz w:val="21"/>
                      <w:szCs w:val="21"/>
                      <w:lang w:val="en-US" w:eastAsia="zh-CN"/>
                    </w:rPr>
                    <w:t>.</w:t>
                  </w:r>
                  <w:r>
                    <w:rPr>
                      <w:rFonts w:hint="default" w:ascii="Times New Roman" w:hAnsi="Times New Roman" w:eastAsia="Times New Roman" w:cs="Times New Roman"/>
                      <w:color w:val="auto"/>
                      <w:spacing w:val="0"/>
                      <w:w w:val="100"/>
                      <w:sz w:val="21"/>
                      <w:szCs w:val="21"/>
                    </w:rPr>
                    <w:t>1</w:t>
                  </w:r>
                </w:p>
              </w:tc>
              <w:tc>
                <w:tcPr>
                  <w:tcW w:w="2367" w:type="pct"/>
                  <w:vAlign w:val="center"/>
                </w:tcPr>
                <w:p w14:paraId="2B543E78">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贮存设施应根据危险废物的形态、物理化学性质、包装形式和污染物迁移途径，采取必要的防风、防晒、防雨、防漏、防渗、防腐以及其他环境污染防治措施，不应露天堆放危险废物。</w:t>
                  </w:r>
                </w:p>
              </w:tc>
              <w:tc>
                <w:tcPr>
                  <w:tcW w:w="1876" w:type="pct"/>
                  <w:vAlign w:val="center"/>
                </w:tcPr>
                <w:p w14:paraId="358870E1">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本项目</w:t>
                  </w:r>
                  <w:r>
                    <w:rPr>
                      <w:rFonts w:hint="eastAsia" w:ascii="Times New Roman" w:hAnsi="Times New Roman" w:cs="Times New Roman"/>
                      <w:color w:val="auto"/>
                      <w:spacing w:val="0"/>
                      <w:w w:val="100"/>
                      <w:sz w:val="21"/>
                      <w:szCs w:val="21"/>
                      <w:lang w:val="en-US" w:eastAsia="zh-CN"/>
                    </w:rPr>
                    <w:t>贮存仓库</w:t>
                  </w:r>
                  <w:r>
                    <w:rPr>
                      <w:rFonts w:hint="default" w:ascii="Times New Roman" w:hAnsi="Times New Roman" w:cs="Times New Roman"/>
                      <w:color w:val="auto"/>
                      <w:spacing w:val="0"/>
                      <w:w w:val="100"/>
                      <w:sz w:val="21"/>
                      <w:szCs w:val="21"/>
                    </w:rPr>
                    <w:t>为重点防渗区，</w:t>
                  </w:r>
                  <w:r>
                    <w:rPr>
                      <w:rFonts w:hint="eastAsia" w:ascii="Times New Roman" w:hAnsi="Times New Roman" w:cs="Times New Roman"/>
                      <w:color w:val="auto"/>
                      <w:spacing w:val="0"/>
                      <w:w w:val="100"/>
                      <w:sz w:val="21"/>
                      <w:szCs w:val="21"/>
                      <w:lang w:val="en-US" w:eastAsia="zh-CN"/>
                    </w:rPr>
                    <w:t>按要求</w:t>
                  </w:r>
                  <w:r>
                    <w:rPr>
                      <w:rFonts w:hint="default" w:ascii="Times New Roman" w:hAnsi="Times New Roman" w:cs="Times New Roman"/>
                      <w:color w:val="auto"/>
                      <w:spacing w:val="0"/>
                      <w:w w:val="100"/>
                      <w:sz w:val="21"/>
                      <w:szCs w:val="21"/>
                    </w:rPr>
                    <w:t>进行防风、防晒、防雨、防漏、防渗、防腐处理，</w:t>
                  </w:r>
                  <w:r>
                    <w:rPr>
                      <w:rFonts w:hint="eastAsia" w:ascii="Times New Roman" w:hAnsi="Times New Roman" w:cs="Times New Roman"/>
                      <w:color w:val="auto"/>
                      <w:spacing w:val="0"/>
                      <w:w w:val="100"/>
                      <w:sz w:val="21"/>
                      <w:szCs w:val="21"/>
                      <w:lang w:val="en-US" w:eastAsia="zh-CN"/>
                    </w:rPr>
                    <w:t>并按要求设置环境污染防治措施，</w:t>
                  </w:r>
                  <w:r>
                    <w:rPr>
                      <w:rFonts w:hint="default" w:ascii="Times New Roman" w:hAnsi="Times New Roman" w:cs="Times New Roman"/>
                      <w:color w:val="auto"/>
                      <w:spacing w:val="0"/>
                      <w:w w:val="100"/>
                      <w:sz w:val="21"/>
                      <w:szCs w:val="21"/>
                    </w:rPr>
                    <w:t>不露天堆放危险废物。</w:t>
                  </w:r>
                </w:p>
              </w:tc>
              <w:tc>
                <w:tcPr>
                  <w:tcW w:w="451" w:type="pct"/>
                  <w:tcBorders>
                    <w:right w:val="single" w:color="000000" w:sz="8" w:space="0"/>
                  </w:tcBorders>
                  <w:vAlign w:val="center"/>
                </w:tcPr>
                <w:p w14:paraId="0707E63F">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符合</w:t>
                  </w:r>
                </w:p>
              </w:tc>
            </w:tr>
            <w:tr w14:paraId="0ECCB12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303" w:type="pct"/>
                  <w:tcBorders>
                    <w:left w:val="single" w:color="000000" w:sz="2" w:space="0"/>
                  </w:tcBorders>
                  <w:vAlign w:val="center"/>
                </w:tcPr>
                <w:p w14:paraId="5C6BEEB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Times New Roman" w:cs="Times New Roman"/>
                      <w:color w:val="auto"/>
                      <w:spacing w:val="0"/>
                      <w:w w:val="100"/>
                      <w:sz w:val="21"/>
                      <w:szCs w:val="21"/>
                    </w:rPr>
                  </w:pPr>
                  <w:r>
                    <w:rPr>
                      <w:rFonts w:hint="default" w:ascii="Times New Roman" w:hAnsi="Times New Roman" w:eastAsia="Times New Roman" w:cs="Times New Roman"/>
                      <w:color w:val="auto"/>
                      <w:spacing w:val="0"/>
                      <w:w w:val="100"/>
                      <w:sz w:val="21"/>
                      <w:szCs w:val="21"/>
                    </w:rPr>
                    <w:t>6.1</w:t>
                  </w:r>
                  <w:r>
                    <w:rPr>
                      <w:rFonts w:hint="eastAsia" w:ascii="Times New Roman" w:hAnsi="Times New Roman" w:eastAsia="宋体" w:cs="Times New Roman"/>
                      <w:color w:val="auto"/>
                      <w:spacing w:val="0"/>
                      <w:w w:val="100"/>
                      <w:sz w:val="21"/>
                      <w:szCs w:val="21"/>
                      <w:lang w:val="en-US" w:eastAsia="zh-CN"/>
                    </w:rPr>
                    <w:t>.</w:t>
                  </w:r>
                  <w:r>
                    <w:rPr>
                      <w:rFonts w:hint="default" w:ascii="Times New Roman" w:hAnsi="Times New Roman" w:eastAsia="Times New Roman" w:cs="Times New Roman"/>
                      <w:color w:val="auto"/>
                      <w:spacing w:val="0"/>
                      <w:w w:val="100"/>
                      <w:sz w:val="21"/>
                      <w:szCs w:val="21"/>
                    </w:rPr>
                    <w:t>2</w:t>
                  </w:r>
                </w:p>
              </w:tc>
              <w:tc>
                <w:tcPr>
                  <w:tcW w:w="2367" w:type="pct"/>
                  <w:vAlign w:val="center"/>
                </w:tcPr>
                <w:p w14:paraId="1F11CF91">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贮存设施应根据危险废物的类别、数量、形态、物理化学性质和污染防治等要求设置必要的贮存分区，避免不相容的危险废物接触、混合。</w:t>
                  </w:r>
                </w:p>
              </w:tc>
              <w:tc>
                <w:tcPr>
                  <w:tcW w:w="1876" w:type="pct"/>
                  <w:vAlign w:val="center"/>
                </w:tcPr>
                <w:p w14:paraId="45526BB7">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宋体" w:cs="Times New Roman"/>
                      <w:color w:val="auto"/>
                      <w:spacing w:val="0"/>
                      <w:w w:val="100"/>
                      <w:sz w:val="21"/>
                      <w:szCs w:val="21"/>
                      <w:lang w:val="en-US" w:eastAsia="zh-CN"/>
                    </w:rPr>
                  </w:pPr>
                  <w:r>
                    <w:rPr>
                      <w:rFonts w:hint="default" w:ascii="Times New Roman" w:hAnsi="Times New Roman" w:cs="Times New Roman"/>
                      <w:color w:val="auto"/>
                      <w:spacing w:val="0"/>
                      <w:w w:val="100"/>
                      <w:sz w:val="21"/>
                      <w:szCs w:val="21"/>
                    </w:rPr>
                    <w:t>本</w:t>
                  </w:r>
                  <w:r>
                    <w:rPr>
                      <w:rFonts w:hint="eastAsia" w:ascii="Times New Roman" w:hAnsi="Times New Roman" w:cs="Times New Roman"/>
                      <w:color w:val="auto"/>
                      <w:spacing w:val="0"/>
                      <w:w w:val="100"/>
                      <w:sz w:val="21"/>
                      <w:szCs w:val="21"/>
                      <w:lang w:val="en-US" w:eastAsia="zh-CN"/>
                    </w:rPr>
                    <w:t>项目根据相关要求设置必要的分区，采用过道进行隔断，确保不相容的危险废物不接触、不混合</w:t>
                  </w:r>
                </w:p>
              </w:tc>
              <w:tc>
                <w:tcPr>
                  <w:tcW w:w="451" w:type="pct"/>
                  <w:tcBorders>
                    <w:right w:val="single" w:color="000000" w:sz="8" w:space="0"/>
                  </w:tcBorders>
                  <w:vAlign w:val="center"/>
                </w:tcPr>
                <w:p w14:paraId="67CA7298">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符合</w:t>
                  </w:r>
                </w:p>
              </w:tc>
            </w:tr>
            <w:tr w14:paraId="6C3BB12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19" w:hRule="atLeast"/>
              </w:trPr>
              <w:tc>
                <w:tcPr>
                  <w:tcW w:w="303" w:type="pct"/>
                  <w:tcBorders>
                    <w:left w:val="single" w:color="000000" w:sz="2" w:space="0"/>
                    <w:bottom w:val="single" w:color="000000" w:sz="6" w:space="0"/>
                  </w:tcBorders>
                  <w:vAlign w:val="center"/>
                </w:tcPr>
                <w:p w14:paraId="45BAE50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Times New Roman" w:cs="Times New Roman"/>
                      <w:color w:val="auto"/>
                      <w:spacing w:val="0"/>
                      <w:w w:val="100"/>
                      <w:sz w:val="21"/>
                      <w:szCs w:val="21"/>
                    </w:rPr>
                  </w:pPr>
                  <w:r>
                    <w:rPr>
                      <w:rFonts w:hint="default" w:ascii="Times New Roman" w:hAnsi="Times New Roman" w:eastAsia="Times New Roman" w:cs="Times New Roman"/>
                      <w:color w:val="auto"/>
                      <w:spacing w:val="0"/>
                      <w:w w:val="100"/>
                      <w:sz w:val="21"/>
                      <w:szCs w:val="21"/>
                    </w:rPr>
                    <w:t>6.1</w:t>
                  </w:r>
                  <w:r>
                    <w:rPr>
                      <w:rFonts w:hint="eastAsia" w:ascii="Times New Roman" w:hAnsi="Times New Roman" w:eastAsia="宋体" w:cs="Times New Roman"/>
                      <w:color w:val="auto"/>
                      <w:spacing w:val="0"/>
                      <w:w w:val="100"/>
                      <w:sz w:val="21"/>
                      <w:szCs w:val="21"/>
                      <w:lang w:val="en-US" w:eastAsia="zh-CN"/>
                    </w:rPr>
                    <w:t>.</w:t>
                  </w:r>
                  <w:r>
                    <w:rPr>
                      <w:rFonts w:hint="default" w:ascii="Times New Roman" w:hAnsi="Times New Roman" w:eastAsia="Times New Roman" w:cs="Times New Roman"/>
                      <w:color w:val="auto"/>
                      <w:spacing w:val="0"/>
                      <w:w w:val="100"/>
                      <w:sz w:val="21"/>
                      <w:szCs w:val="21"/>
                    </w:rPr>
                    <w:t>3</w:t>
                  </w:r>
                </w:p>
              </w:tc>
              <w:tc>
                <w:tcPr>
                  <w:tcW w:w="2367" w:type="pct"/>
                  <w:tcBorders>
                    <w:bottom w:val="single" w:color="000000" w:sz="6" w:space="0"/>
                  </w:tcBorders>
                  <w:vAlign w:val="center"/>
                </w:tcPr>
                <w:p w14:paraId="46789B1F">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贮存设施或贮存分区内地面、墙面裙脚、堵截泄漏的围堰、接触危险废物的隔板和墙体等应采用坚固的材料建造，表面无裂缝。</w:t>
                  </w:r>
                </w:p>
              </w:tc>
              <w:tc>
                <w:tcPr>
                  <w:tcW w:w="1876" w:type="pct"/>
                  <w:tcBorders>
                    <w:bottom w:val="single" w:color="000000" w:sz="6" w:space="0"/>
                  </w:tcBorders>
                  <w:vAlign w:val="center"/>
                </w:tcPr>
                <w:p w14:paraId="5FE89CA8">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6"/>
                      <w:w w:val="100"/>
                      <w:sz w:val="21"/>
                      <w:szCs w:val="21"/>
                    </w:rPr>
                    <w:t>项目贮存分区内地面、墙面裙脚、堵截泄漏的围堰、接触危险废物的隔板和墙体等</w:t>
                  </w:r>
                  <w:r>
                    <w:rPr>
                      <w:rFonts w:hint="eastAsia" w:ascii="Times New Roman" w:hAnsi="Times New Roman" w:cs="Times New Roman"/>
                      <w:color w:val="auto"/>
                      <w:spacing w:val="-6"/>
                      <w:w w:val="100"/>
                      <w:sz w:val="21"/>
                      <w:szCs w:val="21"/>
                      <w:lang w:val="en-US" w:eastAsia="zh-CN"/>
                    </w:rPr>
                    <w:t>均</w:t>
                  </w:r>
                  <w:r>
                    <w:rPr>
                      <w:rFonts w:hint="default" w:ascii="Times New Roman" w:hAnsi="Times New Roman" w:cs="Times New Roman"/>
                      <w:color w:val="auto"/>
                      <w:spacing w:val="-6"/>
                      <w:w w:val="100"/>
                      <w:sz w:val="21"/>
                      <w:szCs w:val="21"/>
                    </w:rPr>
                    <w:t>采用坚固的材料建造，表面无裂缝。</w:t>
                  </w:r>
                </w:p>
              </w:tc>
              <w:tc>
                <w:tcPr>
                  <w:tcW w:w="451" w:type="pct"/>
                  <w:tcBorders>
                    <w:bottom w:val="single" w:color="000000" w:sz="6" w:space="0"/>
                    <w:right w:val="single" w:color="000000" w:sz="8" w:space="0"/>
                  </w:tcBorders>
                  <w:vAlign w:val="center"/>
                </w:tcPr>
                <w:p w14:paraId="6F98E006">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符合</w:t>
                  </w:r>
                </w:p>
              </w:tc>
            </w:tr>
            <w:tr w14:paraId="47854BD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53" w:hRule="atLeast"/>
              </w:trPr>
              <w:tc>
                <w:tcPr>
                  <w:tcW w:w="303" w:type="pct"/>
                  <w:tcBorders>
                    <w:tl2br w:val="nil"/>
                    <w:tr2bl w:val="nil"/>
                  </w:tcBorders>
                  <w:vAlign w:val="center"/>
                </w:tcPr>
                <w:p w14:paraId="26CF3EC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Times New Roman" w:cs="Times New Roman"/>
                      <w:color w:val="auto"/>
                      <w:spacing w:val="0"/>
                      <w:w w:val="100"/>
                      <w:sz w:val="21"/>
                      <w:szCs w:val="21"/>
                    </w:rPr>
                  </w:pPr>
                  <w:r>
                    <w:rPr>
                      <w:rFonts w:hint="default" w:ascii="Times New Roman" w:hAnsi="Times New Roman" w:eastAsia="Times New Roman" w:cs="Times New Roman"/>
                      <w:color w:val="auto"/>
                      <w:spacing w:val="0"/>
                      <w:w w:val="100"/>
                      <w:sz w:val="21"/>
                      <w:szCs w:val="21"/>
                    </w:rPr>
                    <w:t>6.1.4</w:t>
                  </w:r>
                </w:p>
              </w:tc>
              <w:tc>
                <w:tcPr>
                  <w:tcW w:w="2367" w:type="pct"/>
                  <w:tcBorders>
                    <w:tl2br w:val="nil"/>
                    <w:tr2bl w:val="nil"/>
                  </w:tcBorders>
                  <w:vAlign w:val="center"/>
                </w:tcPr>
                <w:p w14:paraId="0B71D939">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6"/>
                      <w:w w:val="100"/>
                      <w:sz w:val="21"/>
                      <w:szCs w:val="21"/>
                    </w:rPr>
                    <w:t>贮存设施地面与裙脚应采取表面防渗措施；表面防渗材料应与所接触的物料或污染物相容，可采用抗渗混凝土、高密度聚乙烯膜、钠基膨润土防水毯或其他防渗性能等效的材料。贮存的危险废物直接接触地面的，还应进行基础防渗，防渗层为至少</w:t>
                  </w:r>
                  <w:r>
                    <w:rPr>
                      <w:rFonts w:hint="default" w:ascii="Times New Roman" w:hAnsi="Times New Roman" w:eastAsia="Times New Roman" w:cs="Times New Roman"/>
                      <w:color w:val="auto"/>
                      <w:spacing w:val="-6"/>
                      <w:w w:val="100"/>
                      <w:sz w:val="21"/>
                      <w:szCs w:val="21"/>
                    </w:rPr>
                    <w:t>1m</w:t>
                  </w:r>
                  <w:r>
                    <w:rPr>
                      <w:rFonts w:hint="default" w:ascii="Times New Roman" w:hAnsi="Times New Roman" w:cs="Times New Roman"/>
                      <w:color w:val="auto"/>
                      <w:spacing w:val="-6"/>
                      <w:w w:val="100"/>
                      <w:sz w:val="21"/>
                      <w:szCs w:val="21"/>
                    </w:rPr>
                    <w:t>厚黏土层（渗透系数不大于</w:t>
                  </w:r>
                  <w:r>
                    <w:rPr>
                      <w:rFonts w:hint="default" w:ascii="Times New Roman" w:hAnsi="Times New Roman" w:eastAsia="Times New Roman" w:cs="Times New Roman"/>
                      <w:color w:val="auto"/>
                      <w:spacing w:val="-6"/>
                      <w:w w:val="100"/>
                      <w:sz w:val="21"/>
                      <w:szCs w:val="21"/>
                    </w:rPr>
                    <w:t>10</w:t>
                  </w:r>
                  <w:r>
                    <w:rPr>
                      <w:rFonts w:hint="default" w:ascii="Times New Roman" w:hAnsi="Times New Roman" w:eastAsia="Times New Roman" w:cs="Times New Roman"/>
                      <w:color w:val="auto"/>
                      <w:spacing w:val="-6"/>
                      <w:w w:val="100"/>
                      <w:sz w:val="21"/>
                      <w:szCs w:val="21"/>
                      <w:vertAlign w:val="superscript"/>
                    </w:rPr>
                    <w:t>-7</w:t>
                  </w:r>
                  <w:r>
                    <w:rPr>
                      <w:rFonts w:hint="default" w:ascii="Times New Roman" w:hAnsi="Times New Roman" w:eastAsia="Times New Roman" w:cs="Times New Roman"/>
                      <w:color w:val="auto"/>
                      <w:spacing w:val="-6"/>
                      <w:w w:val="100"/>
                      <w:sz w:val="21"/>
                      <w:szCs w:val="21"/>
                    </w:rPr>
                    <w:t>cm/s</w:t>
                  </w:r>
                  <w:r>
                    <w:rPr>
                      <w:rFonts w:hint="default" w:ascii="Times New Roman" w:hAnsi="Times New Roman" w:cs="Times New Roman"/>
                      <w:color w:val="auto"/>
                      <w:spacing w:val="-6"/>
                      <w:w w:val="100"/>
                      <w:sz w:val="21"/>
                      <w:szCs w:val="21"/>
                    </w:rPr>
                    <w:t>）或至少</w:t>
                  </w:r>
                  <w:r>
                    <w:rPr>
                      <w:rFonts w:hint="default" w:ascii="Times New Roman" w:hAnsi="Times New Roman" w:eastAsia="Times New Roman" w:cs="Times New Roman"/>
                      <w:color w:val="auto"/>
                      <w:spacing w:val="-6"/>
                      <w:w w:val="100"/>
                      <w:sz w:val="21"/>
                      <w:szCs w:val="21"/>
                    </w:rPr>
                    <w:t>2mm</w:t>
                  </w:r>
                  <w:r>
                    <w:rPr>
                      <w:rFonts w:hint="default" w:ascii="Times New Roman" w:hAnsi="Times New Roman" w:cs="Times New Roman"/>
                      <w:color w:val="auto"/>
                      <w:spacing w:val="-6"/>
                      <w:w w:val="100"/>
                      <w:sz w:val="21"/>
                      <w:szCs w:val="21"/>
                    </w:rPr>
                    <w:t>厚高密度聚乙烯膜等人工防渗材料（渗透系数不大于</w:t>
                  </w:r>
                  <w:r>
                    <w:rPr>
                      <w:rFonts w:hint="default" w:ascii="Times New Roman" w:hAnsi="Times New Roman" w:eastAsia="Times New Roman" w:cs="Times New Roman"/>
                      <w:color w:val="auto"/>
                      <w:spacing w:val="-6"/>
                      <w:w w:val="100"/>
                      <w:sz w:val="21"/>
                      <w:szCs w:val="21"/>
                    </w:rPr>
                    <w:t>10</w:t>
                  </w:r>
                  <w:r>
                    <w:rPr>
                      <w:rFonts w:hint="default" w:ascii="Times New Roman" w:hAnsi="Times New Roman" w:eastAsia="Times New Roman" w:cs="Times New Roman"/>
                      <w:color w:val="auto"/>
                      <w:spacing w:val="-6"/>
                      <w:w w:val="100"/>
                      <w:sz w:val="21"/>
                      <w:szCs w:val="21"/>
                      <w:vertAlign w:val="superscript"/>
                    </w:rPr>
                    <w:t>-10</w:t>
                  </w:r>
                  <w:r>
                    <w:rPr>
                      <w:rFonts w:hint="default" w:ascii="Times New Roman" w:hAnsi="Times New Roman" w:eastAsia="Times New Roman" w:cs="Times New Roman"/>
                      <w:color w:val="auto"/>
                      <w:spacing w:val="-6"/>
                      <w:w w:val="100"/>
                      <w:sz w:val="21"/>
                      <w:szCs w:val="21"/>
                    </w:rPr>
                    <w:t>cm/s</w:t>
                  </w:r>
                  <w:r>
                    <w:rPr>
                      <w:rFonts w:hint="default" w:ascii="Times New Roman" w:hAnsi="Times New Roman" w:cs="Times New Roman"/>
                      <w:color w:val="auto"/>
                      <w:spacing w:val="-6"/>
                      <w:w w:val="100"/>
                      <w:sz w:val="21"/>
                      <w:szCs w:val="21"/>
                    </w:rPr>
                    <w:t>），或其他防渗性能等效的材料。</w:t>
                  </w:r>
                </w:p>
              </w:tc>
              <w:tc>
                <w:tcPr>
                  <w:tcW w:w="1876" w:type="pct"/>
                  <w:tcBorders>
                    <w:tl2br w:val="nil"/>
                    <w:tr2bl w:val="nil"/>
                  </w:tcBorders>
                  <w:vAlign w:val="center"/>
                </w:tcPr>
                <w:p w14:paraId="21ED37D0">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本项目</w:t>
                  </w:r>
                  <w:r>
                    <w:rPr>
                      <w:rFonts w:hint="eastAsia" w:ascii="Times New Roman" w:hAnsi="Times New Roman" w:cs="Times New Roman"/>
                      <w:color w:val="auto"/>
                      <w:spacing w:val="0"/>
                      <w:w w:val="100"/>
                      <w:sz w:val="21"/>
                      <w:szCs w:val="21"/>
                      <w:lang w:val="en-US" w:eastAsia="zh-CN"/>
                    </w:rPr>
                    <w:t>将对</w:t>
                  </w:r>
                  <w:r>
                    <w:rPr>
                      <w:rFonts w:hint="default" w:ascii="Times New Roman" w:hAnsi="Times New Roman" w:cs="Times New Roman"/>
                      <w:color w:val="auto"/>
                      <w:spacing w:val="0"/>
                      <w:w w:val="100"/>
                      <w:sz w:val="21"/>
                      <w:szCs w:val="21"/>
                    </w:rPr>
                    <w:t>租赁厂房地面进行防渗处理，确保其渗透</w:t>
                  </w:r>
                  <w:r>
                    <w:rPr>
                      <w:rFonts w:hint="eastAsia" w:ascii="Times New Roman" w:hAnsi="Times New Roman" w:cs="Times New Roman"/>
                      <w:color w:val="auto"/>
                      <w:spacing w:val="0"/>
                      <w:w w:val="100"/>
                      <w:sz w:val="21"/>
                      <w:szCs w:val="21"/>
                      <w:lang w:val="en-US" w:eastAsia="zh-CN"/>
                    </w:rPr>
                    <w:t>系数符合相关</w:t>
                  </w:r>
                  <w:r>
                    <w:rPr>
                      <w:rFonts w:hint="default" w:ascii="Times New Roman" w:hAnsi="Times New Roman" w:cs="Times New Roman"/>
                      <w:color w:val="auto"/>
                      <w:spacing w:val="0"/>
                      <w:w w:val="100"/>
                      <w:sz w:val="21"/>
                      <w:szCs w:val="21"/>
                    </w:rPr>
                    <w:t>要求。</w:t>
                  </w:r>
                </w:p>
              </w:tc>
              <w:tc>
                <w:tcPr>
                  <w:tcW w:w="451" w:type="pct"/>
                  <w:tcBorders>
                    <w:tl2br w:val="nil"/>
                    <w:tr2bl w:val="nil"/>
                  </w:tcBorders>
                  <w:vAlign w:val="center"/>
                </w:tcPr>
                <w:p w14:paraId="36F46188">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符合</w:t>
                  </w:r>
                </w:p>
              </w:tc>
            </w:tr>
            <w:tr w14:paraId="6B365EB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303" w:type="pct"/>
                  <w:tcBorders>
                    <w:tl2br w:val="nil"/>
                    <w:tr2bl w:val="nil"/>
                  </w:tcBorders>
                  <w:vAlign w:val="center"/>
                </w:tcPr>
                <w:p w14:paraId="67ACB02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Times New Roman" w:cs="Times New Roman"/>
                      <w:color w:val="auto"/>
                      <w:spacing w:val="0"/>
                      <w:w w:val="100"/>
                      <w:sz w:val="21"/>
                      <w:szCs w:val="21"/>
                    </w:rPr>
                  </w:pPr>
                  <w:r>
                    <w:rPr>
                      <w:rFonts w:hint="default" w:ascii="Times New Roman" w:hAnsi="Times New Roman" w:eastAsia="Times New Roman" w:cs="Times New Roman"/>
                      <w:color w:val="auto"/>
                      <w:spacing w:val="0"/>
                      <w:w w:val="100"/>
                      <w:sz w:val="21"/>
                      <w:szCs w:val="21"/>
                    </w:rPr>
                    <w:t>6.1.5</w:t>
                  </w:r>
                </w:p>
              </w:tc>
              <w:tc>
                <w:tcPr>
                  <w:tcW w:w="2367" w:type="pct"/>
                  <w:tcBorders>
                    <w:tl2br w:val="nil"/>
                    <w:tr2bl w:val="nil"/>
                  </w:tcBorders>
                  <w:vAlign w:val="center"/>
                </w:tcPr>
                <w:p w14:paraId="09816A47">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6"/>
                      <w:w w:val="100"/>
                      <w:sz w:val="21"/>
                      <w:szCs w:val="21"/>
                    </w:rPr>
                    <w:t>同一贮存设施宜采用相同的防渗、防腐工艺（包括防渗、防腐结构或材料），防渗、防腐材料应覆盖所有可能与废物及其渗滤液、渗漏液等接触的构筑物表面；采用不同防渗、防腐工艺应分别建设贮存分区。</w:t>
                  </w:r>
                </w:p>
              </w:tc>
              <w:tc>
                <w:tcPr>
                  <w:tcW w:w="1876" w:type="pct"/>
                  <w:tcBorders>
                    <w:tl2br w:val="nil"/>
                    <w:tr2bl w:val="nil"/>
                  </w:tcBorders>
                  <w:vAlign w:val="center"/>
                </w:tcPr>
                <w:p w14:paraId="78C67DBD">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项目同一分区采用相同的防渗、防腐工艺，防渗、防腐材料覆盖所有可能与废物及其渗滤液、渗漏液等接触的构筑物表面。</w:t>
                  </w:r>
                </w:p>
              </w:tc>
              <w:tc>
                <w:tcPr>
                  <w:tcW w:w="451" w:type="pct"/>
                  <w:tcBorders>
                    <w:tl2br w:val="nil"/>
                    <w:tr2bl w:val="nil"/>
                  </w:tcBorders>
                  <w:vAlign w:val="center"/>
                </w:tcPr>
                <w:p w14:paraId="4FD6C47C">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符合</w:t>
                  </w:r>
                </w:p>
              </w:tc>
            </w:tr>
            <w:tr w14:paraId="24A9BD6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303" w:type="pct"/>
                  <w:tcBorders>
                    <w:tl2br w:val="nil"/>
                    <w:tr2bl w:val="nil"/>
                  </w:tcBorders>
                  <w:vAlign w:val="center"/>
                </w:tcPr>
                <w:p w14:paraId="30D40D2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Times New Roman" w:cs="Times New Roman"/>
                      <w:color w:val="auto"/>
                      <w:spacing w:val="0"/>
                      <w:w w:val="100"/>
                      <w:sz w:val="21"/>
                      <w:szCs w:val="21"/>
                    </w:rPr>
                  </w:pPr>
                  <w:r>
                    <w:rPr>
                      <w:rFonts w:hint="default" w:ascii="Times New Roman" w:hAnsi="Times New Roman" w:eastAsia="Times New Roman" w:cs="Times New Roman"/>
                      <w:color w:val="auto"/>
                      <w:spacing w:val="0"/>
                      <w:w w:val="100"/>
                      <w:sz w:val="21"/>
                      <w:szCs w:val="21"/>
                    </w:rPr>
                    <w:t>6.1.6</w:t>
                  </w:r>
                </w:p>
              </w:tc>
              <w:tc>
                <w:tcPr>
                  <w:tcW w:w="2367" w:type="pct"/>
                  <w:tcBorders>
                    <w:tl2br w:val="nil"/>
                    <w:tr2bl w:val="nil"/>
                  </w:tcBorders>
                  <w:vAlign w:val="center"/>
                </w:tcPr>
                <w:p w14:paraId="0ADEE4BB">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贮存设施应采取技术和管理措施防止无关人员进入。</w:t>
                  </w:r>
                </w:p>
              </w:tc>
              <w:tc>
                <w:tcPr>
                  <w:tcW w:w="1876" w:type="pct"/>
                  <w:tcBorders>
                    <w:tl2br w:val="nil"/>
                    <w:tr2bl w:val="nil"/>
                  </w:tcBorders>
                  <w:vAlign w:val="center"/>
                </w:tcPr>
                <w:p w14:paraId="40D7237F">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本项目</w:t>
                  </w:r>
                  <w:r>
                    <w:rPr>
                      <w:rFonts w:hint="eastAsia" w:ascii="Times New Roman" w:hAnsi="Times New Roman" w:cs="Times New Roman"/>
                      <w:color w:val="auto"/>
                      <w:spacing w:val="0"/>
                      <w:w w:val="100"/>
                      <w:sz w:val="21"/>
                      <w:szCs w:val="21"/>
                      <w:lang w:val="en-US" w:eastAsia="zh-CN"/>
                    </w:rPr>
                    <w:t>大门上锁，</w:t>
                  </w:r>
                  <w:r>
                    <w:rPr>
                      <w:rFonts w:hint="default" w:ascii="Times New Roman" w:hAnsi="Times New Roman" w:cs="Times New Roman"/>
                      <w:color w:val="auto"/>
                      <w:spacing w:val="0"/>
                      <w:w w:val="100"/>
                      <w:sz w:val="21"/>
                      <w:szCs w:val="21"/>
                    </w:rPr>
                    <w:t>防止无关人员进入。</w:t>
                  </w:r>
                </w:p>
              </w:tc>
              <w:tc>
                <w:tcPr>
                  <w:tcW w:w="451" w:type="pct"/>
                  <w:tcBorders>
                    <w:tl2br w:val="nil"/>
                    <w:tr2bl w:val="nil"/>
                  </w:tcBorders>
                  <w:vAlign w:val="center"/>
                </w:tcPr>
                <w:p w14:paraId="4376916B">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符合</w:t>
                  </w:r>
                </w:p>
              </w:tc>
            </w:tr>
            <w:tr w14:paraId="2B4EDA3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5000" w:type="pct"/>
                  <w:gridSpan w:val="4"/>
                  <w:tcBorders>
                    <w:tl2br w:val="nil"/>
                    <w:tr2bl w:val="nil"/>
                  </w:tcBorders>
                  <w:vAlign w:val="center"/>
                </w:tcPr>
                <w:p w14:paraId="5569343A">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6.2贮存库污染控制要求</w:t>
                  </w:r>
                </w:p>
              </w:tc>
            </w:tr>
            <w:tr w14:paraId="224C220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66" w:hRule="atLeast"/>
              </w:trPr>
              <w:tc>
                <w:tcPr>
                  <w:tcW w:w="303" w:type="pct"/>
                  <w:tcBorders>
                    <w:tl2br w:val="nil"/>
                    <w:tr2bl w:val="nil"/>
                  </w:tcBorders>
                  <w:vAlign w:val="center"/>
                </w:tcPr>
                <w:p w14:paraId="0214D5B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Times New Roman" w:cs="Times New Roman"/>
                      <w:color w:val="auto"/>
                      <w:spacing w:val="0"/>
                      <w:w w:val="100"/>
                      <w:sz w:val="21"/>
                      <w:szCs w:val="21"/>
                    </w:rPr>
                  </w:pPr>
                  <w:r>
                    <w:rPr>
                      <w:rFonts w:hint="default" w:ascii="Times New Roman" w:hAnsi="Times New Roman" w:eastAsia="Times New Roman" w:cs="Times New Roman"/>
                      <w:color w:val="auto"/>
                      <w:spacing w:val="0"/>
                      <w:w w:val="100"/>
                      <w:sz w:val="21"/>
                      <w:szCs w:val="21"/>
                    </w:rPr>
                    <w:t>6.2.1</w:t>
                  </w:r>
                </w:p>
              </w:tc>
              <w:tc>
                <w:tcPr>
                  <w:tcW w:w="2367" w:type="pct"/>
                  <w:tcBorders>
                    <w:tl2br w:val="nil"/>
                    <w:tr2bl w:val="nil"/>
                  </w:tcBorders>
                  <w:vAlign w:val="center"/>
                </w:tcPr>
                <w:p w14:paraId="5D43E2A3">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贮存库内不同贮存分区之间应采取隔离措施。隔离措施可根据危险废物特性采用过道、隔板或隔墙等方式。</w:t>
                  </w:r>
                </w:p>
              </w:tc>
              <w:tc>
                <w:tcPr>
                  <w:tcW w:w="1876" w:type="pct"/>
                  <w:tcBorders>
                    <w:tl2br w:val="nil"/>
                    <w:tr2bl w:val="nil"/>
                  </w:tcBorders>
                  <w:vAlign w:val="center"/>
                </w:tcPr>
                <w:p w14:paraId="0E2B6FF7">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项目所有不同类别的危险废物均分开存放，并将按要求设置</w:t>
                  </w:r>
                  <w:r>
                    <w:rPr>
                      <w:rFonts w:hint="eastAsia" w:ascii="Times New Roman" w:hAnsi="Times New Roman" w:cs="Times New Roman"/>
                      <w:color w:val="auto"/>
                      <w:spacing w:val="0"/>
                      <w:w w:val="100"/>
                      <w:sz w:val="21"/>
                      <w:szCs w:val="21"/>
                      <w:lang w:val="en-US" w:eastAsia="zh-CN"/>
                    </w:rPr>
                    <w:t>过道进行</w:t>
                  </w:r>
                  <w:r>
                    <w:rPr>
                      <w:rFonts w:hint="default" w:ascii="Times New Roman" w:hAnsi="Times New Roman" w:cs="Times New Roman"/>
                      <w:color w:val="auto"/>
                      <w:spacing w:val="0"/>
                      <w:w w:val="100"/>
                      <w:sz w:val="21"/>
                      <w:szCs w:val="21"/>
                    </w:rPr>
                    <w:t>隔断。</w:t>
                  </w:r>
                </w:p>
              </w:tc>
              <w:tc>
                <w:tcPr>
                  <w:tcW w:w="451" w:type="pct"/>
                  <w:tcBorders>
                    <w:tl2br w:val="nil"/>
                    <w:tr2bl w:val="nil"/>
                  </w:tcBorders>
                  <w:vAlign w:val="center"/>
                </w:tcPr>
                <w:p w14:paraId="45EEDD05">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符合</w:t>
                  </w:r>
                </w:p>
              </w:tc>
            </w:tr>
            <w:tr w14:paraId="231BEBA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64" w:hRule="atLeast"/>
              </w:trPr>
              <w:tc>
                <w:tcPr>
                  <w:tcW w:w="303" w:type="pct"/>
                  <w:tcBorders>
                    <w:tl2br w:val="nil"/>
                    <w:tr2bl w:val="nil"/>
                  </w:tcBorders>
                  <w:vAlign w:val="center"/>
                </w:tcPr>
                <w:p w14:paraId="1F629D3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Times New Roman" w:cs="Times New Roman"/>
                      <w:color w:val="auto"/>
                      <w:spacing w:val="0"/>
                      <w:w w:val="100"/>
                      <w:sz w:val="21"/>
                      <w:szCs w:val="21"/>
                    </w:rPr>
                  </w:pPr>
                  <w:r>
                    <w:rPr>
                      <w:rFonts w:hint="default" w:ascii="Times New Roman" w:hAnsi="Times New Roman" w:eastAsia="Times New Roman" w:cs="Times New Roman"/>
                      <w:color w:val="auto"/>
                      <w:spacing w:val="0"/>
                      <w:w w:val="100"/>
                      <w:sz w:val="21"/>
                      <w:szCs w:val="21"/>
                    </w:rPr>
                    <w:t>6.2.2</w:t>
                  </w:r>
                </w:p>
              </w:tc>
              <w:tc>
                <w:tcPr>
                  <w:tcW w:w="2367" w:type="pct"/>
                  <w:tcBorders>
                    <w:tl2br w:val="nil"/>
                    <w:tr2bl w:val="nil"/>
                  </w:tcBorders>
                  <w:vAlign w:val="center"/>
                </w:tcPr>
                <w:p w14:paraId="143420DE">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在贮存库内或通过贮存分区方式贮存液态危险废物的，应具有液体泄漏堵截设施，堵截设施最小容积不应低于对应贮存区域最大液态物容器容积或液态废物总储量</w:t>
                  </w:r>
                  <w:r>
                    <w:rPr>
                      <w:rFonts w:hint="default" w:ascii="Times New Roman" w:hAnsi="Times New Roman" w:eastAsia="Times New Roman" w:cs="Times New Roman"/>
                      <w:color w:val="auto"/>
                      <w:spacing w:val="0"/>
                      <w:w w:val="100"/>
                      <w:sz w:val="21"/>
                      <w:szCs w:val="21"/>
                    </w:rPr>
                    <w:t>1/10</w:t>
                  </w:r>
                  <w:r>
                    <w:rPr>
                      <w:rFonts w:hint="default" w:ascii="Times New Roman" w:hAnsi="Times New Roman" w:cs="Times New Roman"/>
                      <w:color w:val="auto"/>
                      <w:spacing w:val="0"/>
                      <w:w w:val="100"/>
                      <w:sz w:val="21"/>
                      <w:szCs w:val="21"/>
                    </w:rPr>
                    <w:t>（二者取较大者）；用于贮存可能产生渗滤液的危险废物的贮存库或贮存分区应设计渗滤液收集设施，收集设施容积应满足渗滤液的收集要求。</w:t>
                  </w:r>
                </w:p>
              </w:tc>
              <w:tc>
                <w:tcPr>
                  <w:tcW w:w="1876" w:type="pct"/>
                  <w:tcBorders>
                    <w:tl2br w:val="nil"/>
                    <w:tr2bl w:val="nil"/>
                  </w:tcBorders>
                  <w:vAlign w:val="center"/>
                </w:tcPr>
                <w:p w14:paraId="070629C2">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宋体" w:cs="Times New Roman"/>
                      <w:color w:val="auto"/>
                      <w:spacing w:val="0"/>
                      <w:w w:val="100"/>
                      <w:sz w:val="21"/>
                      <w:szCs w:val="21"/>
                      <w:lang w:val="en-US" w:eastAsia="zh-CN"/>
                    </w:rPr>
                  </w:pPr>
                  <w:r>
                    <w:rPr>
                      <w:rFonts w:hint="default" w:ascii="Times New Roman" w:hAnsi="Times New Roman" w:cs="Times New Roman"/>
                      <w:color w:val="auto"/>
                      <w:spacing w:val="0"/>
                      <w:w w:val="100"/>
                      <w:sz w:val="21"/>
                      <w:szCs w:val="21"/>
                    </w:rPr>
                    <w:t>项目贮存</w:t>
                  </w:r>
                  <w:r>
                    <w:rPr>
                      <w:rFonts w:hint="eastAsia" w:ascii="Times New Roman" w:hAnsi="Times New Roman" w:cs="Times New Roman"/>
                      <w:color w:val="auto"/>
                      <w:spacing w:val="0"/>
                      <w:w w:val="100"/>
                      <w:sz w:val="21"/>
                      <w:szCs w:val="21"/>
                      <w:lang w:val="en-US" w:eastAsia="zh-CN"/>
                    </w:rPr>
                    <w:t>区设有导流沟及收集池</w:t>
                  </w:r>
                  <w:r>
                    <w:rPr>
                      <w:rFonts w:hint="eastAsia" w:ascii="Times New Roman" w:hAnsi="Times New Roman" w:cs="Times New Roman"/>
                      <w:color w:val="auto"/>
                      <w:spacing w:val="0"/>
                      <w:w w:val="100"/>
                      <w:sz w:val="21"/>
                      <w:szCs w:val="21"/>
                      <w:lang w:eastAsia="zh-CN"/>
                    </w:rPr>
                    <w:t>，</w:t>
                  </w:r>
                  <w:r>
                    <w:rPr>
                      <w:rFonts w:hint="eastAsia" w:ascii="Times New Roman" w:hAnsi="Times New Roman" w:cs="Times New Roman"/>
                      <w:color w:val="auto"/>
                      <w:spacing w:val="0"/>
                      <w:w w:val="100"/>
                      <w:sz w:val="21"/>
                      <w:szCs w:val="21"/>
                      <w:lang w:val="en-US" w:eastAsia="zh-CN"/>
                    </w:rPr>
                    <w:t>仓库门口设有堵截围堰，可以将泄漏液体堵截在仓库内。</w:t>
                  </w:r>
                </w:p>
              </w:tc>
              <w:tc>
                <w:tcPr>
                  <w:tcW w:w="451" w:type="pct"/>
                  <w:tcBorders>
                    <w:tl2br w:val="nil"/>
                    <w:tr2bl w:val="nil"/>
                  </w:tcBorders>
                  <w:vAlign w:val="center"/>
                </w:tcPr>
                <w:p w14:paraId="70B1D181">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符合</w:t>
                  </w:r>
                </w:p>
              </w:tc>
            </w:tr>
            <w:tr w14:paraId="15AD05C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424" w:hRule="atLeast"/>
              </w:trPr>
              <w:tc>
                <w:tcPr>
                  <w:tcW w:w="303" w:type="pct"/>
                  <w:tcBorders>
                    <w:tl2br w:val="nil"/>
                    <w:tr2bl w:val="nil"/>
                  </w:tcBorders>
                  <w:vAlign w:val="center"/>
                </w:tcPr>
                <w:p w14:paraId="74E0E8B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Times New Roman" w:cs="Times New Roman"/>
                      <w:color w:val="auto"/>
                      <w:spacing w:val="0"/>
                      <w:w w:val="100"/>
                      <w:sz w:val="21"/>
                      <w:szCs w:val="21"/>
                    </w:rPr>
                  </w:pPr>
                  <w:r>
                    <w:rPr>
                      <w:rFonts w:hint="default" w:ascii="Times New Roman" w:hAnsi="Times New Roman" w:eastAsia="Times New Roman" w:cs="Times New Roman"/>
                      <w:color w:val="auto"/>
                      <w:spacing w:val="0"/>
                      <w:w w:val="100"/>
                      <w:sz w:val="21"/>
                      <w:szCs w:val="21"/>
                    </w:rPr>
                    <w:t>6.2.3</w:t>
                  </w:r>
                </w:p>
              </w:tc>
              <w:tc>
                <w:tcPr>
                  <w:tcW w:w="2367" w:type="pct"/>
                  <w:tcBorders>
                    <w:tl2br w:val="nil"/>
                    <w:tr2bl w:val="nil"/>
                  </w:tcBorders>
                  <w:vAlign w:val="center"/>
                </w:tcPr>
                <w:p w14:paraId="2FAA8087">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贮存易产生粉尘、</w:t>
                  </w:r>
                  <w:r>
                    <w:rPr>
                      <w:rFonts w:hint="eastAsia" w:ascii="Times New Roman" w:hAnsi="Times New Roman" w:eastAsia="宋体" w:cs="Times New Roman"/>
                      <w:color w:val="auto"/>
                      <w:spacing w:val="0"/>
                      <w:w w:val="100"/>
                      <w:sz w:val="21"/>
                      <w:szCs w:val="21"/>
                      <w:lang w:eastAsia="zh-CN"/>
                    </w:rPr>
                    <w:t>VOCs（以非甲烷总烃计）</w:t>
                  </w:r>
                  <w:r>
                    <w:rPr>
                      <w:rFonts w:hint="default" w:ascii="Times New Roman" w:hAnsi="Times New Roman" w:cs="Times New Roman"/>
                      <w:color w:val="auto"/>
                      <w:spacing w:val="0"/>
                      <w:w w:val="100"/>
                      <w:sz w:val="21"/>
                      <w:szCs w:val="21"/>
                    </w:rPr>
                    <w:t>、酸雾、有毒有害大气污染物和刺激性气味气体的危险废物贮存库，应设置气体收集装置和气体净化设施；气体净化设施的排气筒高度应符合</w:t>
                  </w:r>
                  <w:r>
                    <w:rPr>
                      <w:rFonts w:hint="default" w:ascii="Times New Roman" w:hAnsi="Times New Roman" w:eastAsia="Times New Roman" w:cs="Times New Roman"/>
                      <w:color w:val="auto"/>
                      <w:spacing w:val="0"/>
                      <w:w w:val="100"/>
                      <w:sz w:val="21"/>
                      <w:szCs w:val="21"/>
                    </w:rPr>
                    <w:t>GB16297</w:t>
                  </w:r>
                  <w:r>
                    <w:rPr>
                      <w:rFonts w:hint="default" w:ascii="Times New Roman" w:hAnsi="Times New Roman" w:cs="Times New Roman"/>
                      <w:color w:val="auto"/>
                      <w:spacing w:val="0"/>
                      <w:w w:val="100"/>
                      <w:sz w:val="21"/>
                      <w:szCs w:val="21"/>
                    </w:rPr>
                    <w:t>要求。</w:t>
                  </w:r>
                </w:p>
              </w:tc>
              <w:tc>
                <w:tcPr>
                  <w:tcW w:w="1876" w:type="pct"/>
                  <w:tcBorders>
                    <w:tl2br w:val="nil"/>
                    <w:tr2bl w:val="nil"/>
                  </w:tcBorders>
                  <w:vAlign w:val="center"/>
                </w:tcPr>
                <w:p w14:paraId="51EB5F4E">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w w:val="100"/>
                      <w:sz w:val="21"/>
                      <w:szCs w:val="21"/>
                      <w:lang w:val="en-US"/>
                    </w:rPr>
                  </w:pPr>
                  <w:r>
                    <w:rPr>
                      <w:rFonts w:hint="eastAsia" w:ascii="Times New Roman" w:hAnsi="Times New Roman" w:cs="Times New Roman"/>
                      <w:color w:val="auto"/>
                      <w:spacing w:val="0"/>
                      <w:w w:val="100"/>
                      <w:sz w:val="21"/>
                      <w:szCs w:val="21"/>
                      <w:lang w:val="en-US" w:eastAsia="zh-CN"/>
                    </w:rPr>
                    <w:t>项目设有气体收集装置及活性炭吸附系统，以及碱喷淋处理系统。处理后的废气排气筒高度为15m</w:t>
                  </w:r>
                </w:p>
              </w:tc>
              <w:tc>
                <w:tcPr>
                  <w:tcW w:w="451" w:type="pct"/>
                  <w:tcBorders>
                    <w:tl2br w:val="nil"/>
                    <w:tr2bl w:val="nil"/>
                  </w:tcBorders>
                  <w:vAlign w:val="center"/>
                </w:tcPr>
                <w:p w14:paraId="724B6C0E">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符合</w:t>
                  </w:r>
                </w:p>
              </w:tc>
            </w:tr>
            <w:tr w14:paraId="1B75435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5000" w:type="pct"/>
                  <w:gridSpan w:val="4"/>
                  <w:tcBorders>
                    <w:tl2br w:val="nil"/>
                    <w:tr2bl w:val="nil"/>
                  </w:tcBorders>
                  <w:vAlign w:val="center"/>
                </w:tcPr>
                <w:p w14:paraId="1771568A">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w w:val="100"/>
                      <w:sz w:val="21"/>
                      <w:szCs w:val="21"/>
                    </w:rPr>
                  </w:pPr>
                  <w:r>
                    <w:rPr>
                      <w:rFonts w:hint="default" w:ascii="Times New Roman" w:hAnsi="Times New Roman" w:eastAsia="Times New Roman" w:cs="Times New Roman"/>
                      <w:color w:val="auto"/>
                      <w:spacing w:val="0"/>
                      <w:w w:val="100"/>
                      <w:sz w:val="21"/>
                      <w:szCs w:val="21"/>
                    </w:rPr>
                    <w:t>7</w:t>
                  </w:r>
                  <w:r>
                    <w:rPr>
                      <w:rFonts w:hint="eastAsia" w:ascii="Times New Roman" w:hAnsi="Times New Roman" w:eastAsia="宋体" w:cs="Times New Roman"/>
                      <w:color w:val="auto"/>
                      <w:spacing w:val="0"/>
                      <w:w w:val="100"/>
                      <w:sz w:val="21"/>
                      <w:szCs w:val="21"/>
                      <w:lang w:eastAsia="zh-CN"/>
                    </w:rPr>
                    <w:t>、</w:t>
                  </w:r>
                  <w:r>
                    <w:rPr>
                      <w:rFonts w:hint="default" w:ascii="Times New Roman" w:hAnsi="Times New Roman" w:cs="Times New Roman"/>
                      <w:color w:val="auto"/>
                      <w:spacing w:val="0"/>
                      <w:w w:val="100"/>
                      <w:sz w:val="21"/>
                      <w:szCs w:val="21"/>
                    </w:rPr>
                    <w:t>容器和包装物污染控制要求</w:t>
                  </w:r>
                </w:p>
              </w:tc>
            </w:tr>
            <w:tr w14:paraId="4A32CEA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6" w:hRule="atLeast"/>
              </w:trPr>
              <w:tc>
                <w:tcPr>
                  <w:tcW w:w="303" w:type="pct"/>
                  <w:tcBorders>
                    <w:tl2br w:val="nil"/>
                    <w:tr2bl w:val="nil"/>
                  </w:tcBorders>
                  <w:vAlign w:val="center"/>
                </w:tcPr>
                <w:p w14:paraId="5BBEF16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Times New Roman" w:cs="Times New Roman"/>
                      <w:color w:val="auto"/>
                      <w:spacing w:val="0"/>
                      <w:w w:val="100"/>
                      <w:sz w:val="21"/>
                      <w:szCs w:val="21"/>
                    </w:rPr>
                  </w:pPr>
                  <w:r>
                    <w:rPr>
                      <w:rFonts w:hint="default" w:ascii="Times New Roman" w:hAnsi="Times New Roman" w:eastAsia="Times New Roman" w:cs="Times New Roman"/>
                      <w:color w:val="auto"/>
                      <w:spacing w:val="0"/>
                      <w:w w:val="100"/>
                      <w:sz w:val="21"/>
                      <w:szCs w:val="21"/>
                    </w:rPr>
                    <w:t>7.1</w:t>
                  </w:r>
                </w:p>
              </w:tc>
              <w:tc>
                <w:tcPr>
                  <w:tcW w:w="2367" w:type="pct"/>
                  <w:tcBorders>
                    <w:tl2br w:val="nil"/>
                    <w:tr2bl w:val="nil"/>
                  </w:tcBorders>
                  <w:vAlign w:val="center"/>
                </w:tcPr>
                <w:p w14:paraId="29E73AC1">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容器和包装物材质、内衬应与盛装的危险废物相容。</w:t>
                  </w:r>
                </w:p>
              </w:tc>
              <w:tc>
                <w:tcPr>
                  <w:tcW w:w="1876" w:type="pct"/>
                  <w:tcBorders>
                    <w:tl2br w:val="nil"/>
                    <w:tr2bl w:val="nil"/>
                  </w:tcBorders>
                  <w:vAlign w:val="center"/>
                </w:tcPr>
                <w:p w14:paraId="37E4F3BF">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项目使用的包装容器与危险废物相容。</w:t>
                  </w:r>
                </w:p>
              </w:tc>
              <w:tc>
                <w:tcPr>
                  <w:tcW w:w="451" w:type="pct"/>
                  <w:tcBorders>
                    <w:tl2br w:val="nil"/>
                    <w:tr2bl w:val="nil"/>
                  </w:tcBorders>
                  <w:vAlign w:val="center"/>
                </w:tcPr>
                <w:p w14:paraId="2EFDEECF">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符合</w:t>
                  </w:r>
                </w:p>
              </w:tc>
            </w:tr>
            <w:tr w14:paraId="47AAF60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55" w:hRule="atLeast"/>
              </w:trPr>
              <w:tc>
                <w:tcPr>
                  <w:tcW w:w="303" w:type="pct"/>
                  <w:tcBorders>
                    <w:tl2br w:val="nil"/>
                    <w:tr2bl w:val="nil"/>
                  </w:tcBorders>
                  <w:vAlign w:val="center"/>
                </w:tcPr>
                <w:p w14:paraId="26652BD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Times New Roman" w:cs="Times New Roman"/>
                      <w:color w:val="auto"/>
                      <w:spacing w:val="0"/>
                      <w:w w:val="100"/>
                      <w:sz w:val="21"/>
                      <w:szCs w:val="21"/>
                    </w:rPr>
                  </w:pPr>
                  <w:r>
                    <w:rPr>
                      <w:rFonts w:hint="default" w:ascii="Times New Roman" w:hAnsi="Times New Roman" w:eastAsia="Times New Roman" w:cs="Times New Roman"/>
                      <w:color w:val="auto"/>
                      <w:spacing w:val="0"/>
                      <w:w w:val="100"/>
                      <w:sz w:val="21"/>
                      <w:szCs w:val="21"/>
                    </w:rPr>
                    <w:t>7.2</w:t>
                  </w:r>
                </w:p>
              </w:tc>
              <w:tc>
                <w:tcPr>
                  <w:tcW w:w="2367" w:type="pct"/>
                  <w:tcBorders>
                    <w:tl2br w:val="nil"/>
                    <w:tr2bl w:val="nil"/>
                  </w:tcBorders>
                  <w:vAlign w:val="center"/>
                </w:tcPr>
                <w:p w14:paraId="233E23D0">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针对不同类别、形态、物理化学性质的危险废物，其容器和包装物应满足相应的防渗、防漏、防腐和强度等要求。</w:t>
                  </w:r>
                </w:p>
              </w:tc>
              <w:tc>
                <w:tcPr>
                  <w:tcW w:w="1876" w:type="pct"/>
                  <w:tcBorders>
                    <w:tl2br w:val="nil"/>
                    <w:tr2bl w:val="nil"/>
                  </w:tcBorders>
                  <w:vAlign w:val="center"/>
                </w:tcPr>
                <w:p w14:paraId="44CBF6F8">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项目使用容器和包装物满足相应的防渗、防漏、防腐和强度等要求。</w:t>
                  </w:r>
                </w:p>
              </w:tc>
              <w:tc>
                <w:tcPr>
                  <w:tcW w:w="451" w:type="pct"/>
                  <w:tcBorders>
                    <w:tl2br w:val="nil"/>
                    <w:tr2bl w:val="nil"/>
                  </w:tcBorders>
                  <w:vAlign w:val="center"/>
                </w:tcPr>
                <w:p w14:paraId="547CE974">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符合</w:t>
                  </w:r>
                </w:p>
              </w:tc>
            </w:tr>
            <w:tr w14:paraId="1B56C21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303" w:type="pct"/>
                  <w:tcBorders>
                    <w:tl2br w:val="nil"/>
                    <w:tr2bl w:val="nil"/>
                  </w:tcBorders>
                  <w:vAlign w:val="center"/>
                </w:tcPr>
                <w:p w14:paraId="05760F8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Times New Roman" w:cs="Times New Roman"/>
                      <w:color w:val="auto"/>
                      <w:spacing w:val="0"/>
                      <w:w w:val="100"/>
                      <w:sz w:val="21"/>
                      <w:szCs w:val="21"/>
                    </w:rPr>
                  </w:pPr>
                  <w:r>
                    <w:rPr>
                      <w:rFonts w:hint="default" w:ascii="Times New Roman" w:hAnsi="Times New Roman" w:eastAsia="Times New Roman" w:cs="Times New Roman"/>
                      <w:color w:val="auto"/>
                      <w:spacing w:val="0"/>
                      <w:w w:val="100"/>
                      <w:sz w:val="21"/>
                      <w:szCs w:val="21"/>
                    </w:rPr>
                    <w:t>7.3</w:t>
                  </w:r>
                </w:p>
              </w:tc>
              <w:tc>
                <w:tcPr>
                  <w:tcW w:w="2367" w:type="pct"/>
                  <w:tcBorders>
                    <w:tl2br w:val="nil"/>
                    <w:tr2bl w:val="nil"/>
                  </w:tcBorders>
                  <w:vAlign w:val="center"/>
                </w:tcPr>
                <w:p w14:paraId="4BC092B2">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硬质容器和包装物及其支护结构堆叠码放时不应有明显变形，无破损泄漏。</w:t>
                  </w:r>
                </w:p>
              </w:tc>
              <w:tc>
                <w:tcPr>
                  <w:tcW w:w="1876" w:type="pct"/>
                  <w:tcBorders>
                    <w:tl2br w:val="nil"/>
                    <w:tr2bl w:val="nil"/>
                  </w:tcBorders>
                  <w:vAlign w:val="center"/>
                </w:tcPr>
                <w:p w14:paraId="0D240685">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项目使用的包装容器满足硬度要求。</w:t>
                  </w:r>
                </w:p>
              </w:tc>
              <w:tc>
                <w:tcPr>
                  <w:tcW w:w="451" w:type="pct"/>
                  <w:tcBorders>
                    <w:tl2br w:val="nil"/>
                    <w:tr2bl w:val="nil"/>
                  </w:tcBorders>
                  <w:vAlign w:val="center"/>
                </w:tcPr>
                <w:p w14:paraId="0B0BEB9B">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符合</w:t>
                  </w:r>
                </w:p>
              </w:tc>
            </w:tr>
            <w:tr w14:paraId="4AA3F82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303" w:type="pct"/>
                  <w:tcBorders>
                    <w:tl2br w:val="nil"/>
                    <w:tr2bl w:val="nil"/>
                  </w:tcBorders>
                  <w:vAlign w:val="center"/>
                </w:tcPr>
                <w:p w14:paraId="453D398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Times New Roman" w:cs="Times New Roman"/>
                      <w:color w:val="auto"/>
                      <w:spacing w:val="0"/>
                      <w:w w:val="100"/>
                      <w:sz w:val="21"/>
                      <w:szCs w:val="21"/>
                    </w:rPr>
                  </w:pPr>
                  <w:r>
                    <w:rPr>
                      <w:rFonts w:hint="default" w:ascii="Times New Roman" w:hAnsi="Times New Roman" w:eastAsia="Times New Roman" w:cs="Times New Roman"/>
                      <w:color w:val="auto"/>
                      <w:spacing w:val="0"/>
                      <w:w w:val="100"/>
                      <w:sz w:val="21"/>
                      <w:szCs w:val="21"/>
                    </w:rPr>
                    <w:t>7.4</w:t>
                  </w:r>
                </w:p>
              </w:tc>
              <w:tc>
                <w:tcPr>
                  <w:tcW w:w="2367" w:type="pct"/>
                  <w:tcBorders>
                    <w:tl2br w:val="nil"/>
                    <w:tr2bl w:val="nil"/>
                  </w:tcBorders>
                  <w:vAlign w:val="center"/>
                </w:tcPr>
                <w:p w14:paraId="2914248B">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柔性容器和包装物堆叠码放时应封口严密，无破损泄漏。</w:t>
                  </w:r>
                </w:p>
              </w:tc>
              <w:tc>
                <w:tcPr>
                  <w:tcW w:w="1876" w:type="pct"/>
                  <w:tcBorders>
                    <w:tl2br w:val="nil"/>
                    <w:tr2bl w:val="nil"/>
                  </w:tcBorders>
                  <w:vAlign w:val="center"/>
                </w:tcPr>
                <w:p w14:paraId="5485974F">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项目使用的包装容器封口严密，无破损泄漏。</w:t>
                  </w:r>
                </w:p>
              </w:tc>
              <w:tc>
                <w:tcPr>
                  <w:tcW w:w="451" w:type="pct"/>
                  <w:tcBorders>
                    <w:tl2br w:val="nil"/>
                    <w:tr2bl w:val="nil"/>
                  </w:tcBorders>
                  <w:vAlign w:val="center"/>
                </w:tcPr>
                <w:p w14:paraId="04810CC2">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符合</w:t>
                  </w:r>
                </w:p>
              </w:tc>
            </w:tr>
            <w:tr w14:paraId="7F5D0B2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303" w:type="pct"/>
                  <w:tcBorders>
                    <w:tl2br w:val="nil"/>
                    <w:tr2bl w:val="nil"/>
                  </w:tcBorders>
                  <w:vAlign w:val="center"/>
                </w:tcPr>
                <w:p w14:paraId="02395BE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Times New Roman" w:cs="Times New Roman"/>
                      <w:color w:val="auto"/>
                      <w:spacing w:val="0"/>
                      <w:w w:val="100"/>
                      <w:sz w:val="21"/>
                      <w:szCs w:val="21"/>
                    </w:rPr>
                  </w:pPr>
                  <w:r>
                    <w:rPr>
                      <w:rFonts w:hint="default" w:ascii="Times New Roman" w:hAnsi="Times New Roman" w:eastAsia="Times New Roman" w:cs="Times New Roman"/>
                      <w:color w:val="auto"/>
                      <w:spacing w:val="0"/>
                      <w:w w:val="100"/>
                      <w:sz w:val="21"/>
                      <w:szCs w:val="21"/>
                    </w:rPr>
                    <w:t>7.5</w:t>
                  </w:r>
                </w:p>
              </w:tc>
              <w:tc>
                <w:tcPr>
                  <w:tcW w:w="2367" w:type="pct"/>
                  <w:tcBorders>
                    <w:tl2br w:val="nil"/>
                    <w:tr2bl w:val="nil"/>
                  </w:tcBorders>
                  <w:vAlign w:val="center"/>
                </w:tcPr>
                <w:p w14:paraId="12F5AC22">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使用容器盛装液态、半固态危险废物时，容器内部应留有适当的空间，以适应因温度变化等可能引发的收缩和膨胀，防止其导致容器渗漏或永久变形。</w:t>
                  </w:r>
                </w:p>
              </w:tc>
              <w:tc>
                <w:tcPr>
                  <w:tcW w:w="1876" w:type="pct"/>
                  <w:tcBorders>
                    <w:tl2br w:val="nil"/>
                    <w:tr2bl w:val="nil"/>
                  </w:tcBorders>
                  <w:vAlign w:val="center"/>
                </w:tcPr>
                <w:p w14:paraId="3ACC1FD0">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项目盛装液态、半固态危险废物时，容器内部留有适当的空间。</w:t>
                  </w:r>
                </w:p>
              </w:tc>
              <w:tc>
                <w:tcPr>
                  <w:tcW w:w="451" w:type="pct"/>
                  <w:tcBorders>
                    <w:tl2br w:val="nil"/>
                    <w:tr2bl w:val="nil"/>
                  </w:tcBorders>
                  <w:vAlign w:val="center"/>
                </w:tcPr>
                <w:p w14:paraId="1A28FD5D">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符合</w:t>
                  </w:r>
                </w:p>
              </w:tc>
            </w:tr>
            <w:tr w14:paraId="16C49B6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303" w:type="pct"/>
                  <w:tcBorders>
                    <w:tl2br w:val="nil"/>
                    <w:tr2bl w:val="nil"/>
                  </w:tcBorders>
                  <w:vAlign w:val="center"/>
                </w:tcPr>
                <w:p w14:paraId="7D726C2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Times New Roman" w:cs="Times New Roman"/>
                      <w:color w:val="auto"/>
                      <w:spacing w:val="0"/>
                      <w:w w:val="100"/>
                      <w:sz w:val="21"/>
                      <w:szCs w:val="21"/>
                    </w:rPr>
                  </w:pPr>
                  <w:r>
                    <w:rPr>
                      <w:rFonts w:hint="default" w:ascii="Times New Roman" w:hAnsi="Times New Roman" w:eastAsia="Times New Roman" w:cs="Times New Roman"/>
                      <w:color w:val="auto"/>
                      <w:spacing w:val="0"/>
                      <w:w w:val="100"/>
                      <w:sz w:val="21"/>
                      <w:szCs w:val="21"/>
                    </w:rPr>
                    <w:t>7.6</w:t>
                  </w:r>
                </w:p>
              </w:tc>
              <w:tc>
                <w:tcPr>
                  <w:tcW w:w="2367" w:type="pct"/>
                  <w:tcBorders>
                    <w:tl2br w:val="nil"/>
                    <w:tr2bl w:val="nil"/>
                  </w:tcBorders>
                  <w:vAlign w:val="center"/>
                </w:tcPr>
                <w:p w14:paraId="6A9E4EE0">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容器和包装物外表面应保持清洁。</w:t>
                  </w:r>
                </w:p>
              </w:tc>
              <w:tc>
                <w:tcPr>
                  <w:tcW w:w="1876" w:type="pct"/>
                  <w:tcBorders>
                    <w:tl2br w:val="nil"/>
                    <w:tr2bl w:val="nil"/>
                  </w:tcBorders>
                  <w:vAlign w:val="center"/>
                </w:tcPr>
                <w:p w14:paraId="15513B88">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容器和包装物外表面保持清洁。</w:t>
                  </w:r>
                </w:p>
              </w:tc>
              <w:tc>
                <w:tcPr>
                  <w:tcW w:w="451" w:type="pct"/>
                  <w:tcBorders>
                    <w:tl2br w:val="nil"/>
                    <w:tr2bl w:val="nil"/>
                  </w:tcBorders>
                  <w:vAlign w:val="center"/>
                </w:tcPr>
                <w:p w14:paraId="429E560E">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符合</w:t>
                  </w:r>
                </w:p>
              </w:tc>
            </w:tr>
            <w:tr w14:paraId="1FE2018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5000" w:type="pct"/>
                  <w:gridSpan w:val="4"/>
                  <w:tcBorders>
                    <w:tl2br w:val="nil"/>
                    <w:tr2bl w:val="nil"/>
                  </w:tcBorders>
                  <w:vAlign w:val="center"/>
                </w:tcPr>
                <w:p w14:paraId="03A4C57F">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w w:val="100"/>
                      <w:sz w:val="21"/>
                      <w:szCs w:val="21"/>
                    </w:rPr>
                  </w:pPr>
                  <w:r>
                    <w:rPr>
                      <w:rFonts w:hint="default" w:ascii="Times New Roman" w:hAnsi="Times New Roman" w:eastAsia="Times New Roman" w:cs="Times New Roman"/>
                      <w:color w:val="auto"/>
                      <w:spacing w:val="0"/>
                      <w:w w:val="100"/>
                      <w:sz w:val="21"/>
                      <w:szCs w:val="21"/>
                    </w:rPr>
                    <w:t>8</w:t>
                  </w:r>
                  <w:r>
                    <w:rPr>
                      <w:rFonts w:hint="eastAsia" w:ascii="Times New Roman" w:hAnsi="Times New Roman" w:eastAsia="宋体" w:cs="Times New Roman"/>
                      <w:color w:val="auto"/>
                      <w:spacing w:val="0"/>
                      <w:w w:val="100"/>
                      <w:sz w:val="21"/>
                      <w:szCs w:val="21"/>
                      <w:lang w:eastAsia="zh-CN"/>
                    </w:rPr>
                    <w:t>、</w:t>
                  </w:r>
                  <w:r>
                    <w:rPr>
                      <w:rFonts w:hint="default" w:ascii="Times New Roman" w:hAnsi="Times New Roman" w:cs="Times New Roman"/>
                      <w:color w:val="auto"/>
                      <w:spacing w:val="0"/>
                      <w:w w:val="100"/>
                      <w:sz w:val="21"/>
                      <w:szCs w:val="21"/>
                    </w:rPr>
                    <w:t>贮存过程污染控制要求</w:t>
                  </w:r>
                </w:p>
              </w:tc>
            </w:tr>
            <w:tr w14:paraId="682F3D1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5000" w:type="pct"/>
                  <w:gridSpan w:val="4"/>
                  <w:tcBorders>
                    <w:tl2br w:val="nil"/>
                    <w:tr2bl w:val="nil"/>
                  </w:tcBorders>
                  <w:vAlign w:val="center"/>
                </w:tcPr>
                <w:p w14:paraId="0B6A32F8">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8.1一般规定</w:t>
                  </w:r>
                </w:p>
              </w:tc>
            </w:tr>
            <w:tr w14:paraId="17F22A4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303" w:type="pct"/>
                  <w:tcBorders>
                    <w:tl2br w:val="nil"/>
                    <w:tr2bl w:val="nil"/>
                  </w:tcBorders>
                  <w:vAlign w:val="center"/>
                </w:tcPr>
                <w:p w14:paraId="49BB8C5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Times New Roman" w:cs="Times New Roman"/>
                      <w:color w:val="auto"/>
                      <w:spacing w:val="0"/>
                      <w:w w:val="100"/>
                      <w:sz w:val="21"/>
                      <w:szCs w:val="21"/>
                    </w:rPr>
                  </w:pPr>
                  <w:r>
                    <w:rPr>
                      <w:rFonts w:hint="default" w:ascii="Times New Roman" w:hAnsi="Times New Roman" w:eastAsia="Times New Roman" w:cs="Times New Roman"/>
                      <w:color w:val="auto"/>
                      <w:spacing w:val="0"/>
                      <w:w w:val="100"/>
                      <w:sz w:val="21"/>
                      <w:szCs w:val="21"/>
                    </w:rPr>
                    <w:t>8.1.1</w:t>
                  </w:r>
                </w:p>
              </w:tc>
              <w:tc>
                <w:tcPr>
                  <w:tcW w:w="2367" w:type="pct"/>
                  <w:tcBorders>
                    <w:tl2br w:val="nil"/>
                    <w:tr2bl w:val="nil"/>
                  </w:tcBorders>
                  <w:vAlign w:val="center"/>
                </w:tcPr>
                <w:p w14:paraId="2D740610">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在常温常压下不易水解、不易挥发的固态危险废物可分类堆放贮存，其他固态危险废物应装入容器或包装物内贮存。</w:t>
                  </w:r>
                </w:p>
              </w:tc>
              <w:tc>
                <w:tcPr>
                  <w:tcW w:w="1876" w:type="pct"/>
                  <w:tcBorders>
                    <w:tl2br w:val="nil"/>
                    <w:tr2bl w:val="nil"/>
                  </w:tcBorders>
                  <w:vAlign w:val="center"/>
                </w:tcPr>
                <w:p w14:paraId="2D8B641D">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项目危险废物均装入包装容器内，其中固体危险废物采用袋装或桶装，液态危险废物均采用桶装。</w:t>
                  </w:r>
                </w:p>
              </w:tc>
              <w:tc>
                <w:tcPr>
                  <w:tcW w:w="451" w:type="pct"/>
                  <w:tcBorders>
                    <w:tl2br w:val="nil"/>
                    <w:tr2bl w:val="nil"/>
                  </w:tcBorders>
                  <w:vAlign w:val="center"/>
                </w:tcPr>
                <w:p w14:paraId="7CEF76A4">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符合</w:t>
                  </w:r>
                </w:p>
              </w:tc>
            </w:tr>
            <w:tr w14:paraId="39B4C92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07" w:hRule="atLeast"/>
              </w:trPr>
              <w:tc>
                <w:tcPr>
                  <w:tcW w:w="303" w:type="pct"/>
                  <w:tcBorders>
                    <w:tl2br w:val="nil"/>
                    <w:tr2bl w:val="nil"/>
                  </w:tcBorders>
                  <w:vAlign w:val="center"/>
                </w:tcPr>
                <w:p w14:paraId="308D7EC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Times New Roman" w:cs="Times New Roman"/>
                      <w:color w:val="auto"/>
                      <w:spacing w:val="0"/>
                      <w:w w:val="100"/>
                      <w:sz w:val="21"/>
                      <w:szCs w:val="21"/>
                    </w:rPr>
                  </w:pPr>
                  <w:r>
                    <w:rPr>
                      <w:rFonts w:hint="default" w:ascii="Times New Roman" w:hAnsi="Times New Roman" w:eastAsia="Times New Roman" w:cs="Times New Roman"/>
                      <w:color w:val="auto"/>
                      <w:spacing w:val="0"/>
                      <w:w w:val="100"/>
                      <w:sz w:val="21"/>
                      <w:szCs w:val="21"/>
                    </w:rPr>
                    <w:t>8.1.2</w:t>
                  </w:r>
                </w:p>
              </w:tc>
              <w:tc>
                <w:tcPr>
                  <w:tcW w:w="2367" w:type="pct"/>
                  <w:tcBorders>
                    <w:tl2br w:val="nil"/>
                    <w:tr2bl w:val="nil"/>
                  </w:tcBorders>
                  <w:vAlign w:val="center"/>
                </w:tcPr>
                <w:p w14:paraId="1EBF608E">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液态危险废物应装入容器内贮存，或直接采用贮存池、贮存罐区贮存。</w:t>
                  </w:r>
                </w:p>
              </w:tc>
              <w:tc>
                <w:tcPr>
                  <w:tcW w:w="1876" w:type="pct"/>
                  <w:tcBorders>
                    <w:tl2br w:val="nil"/>
                    <w:tr2bl w:val="nil"/>
                  </w:tcBorders>
                  <w:vAlign w:val="center"/>
                </w:tcPr>
                <w:p w14:paraId="592C6011">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项目收集液态危险废物</w:t>
                  </w:r>
                  <w:r>
                    <w:rPr>
                      <w:rFonts w:hint="eastAsia" w:ascii="Times New Roman" w:hAnsi="Times New Roman" w:cs="Times New Roman"/>
                      <w:color w:val="auto"/>
                      <w:spacing w:val="0"/>
                      <w:w w:val="100"/>
                      <w:sz w:val="21"/>
                      <w:szCs w:val="21"/>
                      <w:lang w:val="en-US" w:eastAsia="zh-CN"/>
                    </w:rPr>
                    <w:t>采用桶装，不分装</w:t>
                  </w:r>
                  <w:r>
                    <w:rPr>
                      <w:rFonts w:hint="default" w:ascii="Times New Roman" w:hAnsi="Times New Roman" w:cs="Times New Roman"/>
                      <w:color w:val="auto"/>
                      <w:spacing w:val="0"/>
                      <w:w w:val="100"/>
                      <w:sz w:val="21"/>
                      <w:szCs w:val="21"/>
                    </w:rPr>
                    <w:t>。</w:t>
                  </w:r>
                </w:p>
              </w:tc>
              <w:tc>
                <w:tcPr>
                  <w:tcW w:w="451" w:type="pct"/>
                  <w:tcBorders>
                    <w:tl2br w:val="nil"/>
                    <w:tr2bl w:val="nil"/>
                  </w:tcBorders>
                  <w:vAlign w:val="center"/>
                </w:tcPr>
                <w:p w14:paraId="28B7FCD9">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符合</w:t>
                  </w:r>
                </w:p>
              </w:tc>
            </w:tr>
            <w:tr w14:paraId="5D0CB68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4" w:hRule="atLeast"/>
              </w:trPr>
              <w:tc>
                <w:tcPr>
                  <w:tcW w:w="303" w:type="pct"/>
                  <w:tcBorders>
                    <w:tl2br w:val="nil"/>
                    <w:tr2bl w:val="nil"/>
                  </w:tcBorders>
                  <w:vAlign w:val="center"/>
                </w:tcPr>
                <w:p w14:paraId="60637E2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Times New Roman" w:cs="Times New Roman"/>
                      <w:color w:val="auto"/>
                      <w:spacing w:val="0"/>
                      <w:w w:val="100"/>
                      <w:sz w:val="21"/>
                      <w:szCs w:val="21"/>
                    </w:rPr>
                  </w:pPr>
                  <w:r>
                    <w:rPr>
                      <w:rFonts w:hint="default" w:ascii="Times New Roman" w:hAnsi="Times New Roman" w:eastAsia="Times New Roman" w:cs="Times New Roman"/>
                      <w:color w:val="auto"/>
                      <w:spacing w:val="0"/>
                      <w:w w:val="100"/>
                      <w:sz w:val="21"/>
                      <w:szCs w:val="21"/>
                    </w:rPr>
                    <w:t>8.1.3</w:t>
                  </w:r>
                </w:p>
              </w:tc>
              <w:tc>
                <w:tcPr>
                  <w:tcW w:w="2367" w:type="pct"/>
                  <w:tcBorders>
                    <w:tl2br w:val="nil"/>
                    <w:tr2bl w:val="nil"/>
                  </w:tcBorders>
                  <w:vAlign w:val="center"/>
                </w:tcPr>
                <w:p w14:paraId="48FCEF38">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半固态危险废物应装入容器或包装袋内贮存，或直接采用贮存池贮存。</w:t>
                  </w:r>
                </w:p>
              </w:tc>
              <w:tc>
                <w:tcPr>
                  <w:tcW w:w="1876" w:type="pct"/>
                  <w:tcBorders>
                    <w:tl2br w:val="nil"/>
                    <w:tr2bl w:val="nil"/>
                  </w:tcBorders>
                  <w:vAlign w:val="center"/>
                </w:tcPr>
                <w:p w14:paraId="620A0CED">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本项目半固态危险废物贮存在包装桶中。</w:t>
                  </w:r>
                </w:p>
              </w:tc>
              <w:tc>
                <w:tcPr>
                  <w:tcW w:w="451" w:type="pct"/>
                  <w:tcBorders>
                    <w:tl2br w:val="nil"/>
                    <w:tr2bl w:val="nil"/>
                  </w:tcBorders>
                  <w:vAlign w:val="center"/>
                </w:tcPr>
                <w:p w14:paraId="0F4E68C4">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符合</w:t>
                  </w:r>
                </w:p>
              </w:tc>
            </w:tr>
            <w:tr w14:paraId="450F397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53" w:hRule="atLeast"/>
              </w:trPr>
              <w:tc>
                <w:tcPr>
                  <w:tcW w:w="303" w:type="pct"/>
                  <w:tcBorders>
                    <w:tl2br w:val="nil"/>
                    <w:tr2bl w:val="nil"/>
                  </w:tcBorders>
                  <w:vAlign w:val="center"/>
                </w:tcPr>
                <w:p w14:paraId="572A1C4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Times New Roman" w:cs="Times New Roman"/>
                      <w:color w:val="auto"/>
                      <w:spacing w:val="0"/>
                      <w:w w:val="100"/>
                      <w:sz w:val="21"/>
                      <w:szCs w:val="21"/>
                    </w:rPr>
                  </w:pPr>
                  <w:r>
                    <w:rPr>
                      <w:rFonts w:hint="default" w:ascii="Times New Roman" w:hAnsi="Times New Roman" w:eastAsia="Times New Roman" w:cs="Times New Roman"/>
                      <w:color w:val="auto"/>
                      <w:spacing w:val="0"/>
                      <w:w w:val="100"/>
                      <w:sz w:val="21"/>
                      <w:szCs w:val="21"/>
                    </w:rPr>
                    <w:t>8.1.4</w:t>
                  </w:r>
                </w:p>
              </w:tc>
              <w:tc>
                <w:tcPr>
                  <w:tcW w:w="2367" w:type="pct"/>
                  <w:tcBorders>
                    <w:tl2br w:val="nil"/>
                    <w:tr2bl w:val="nil"/>
                  </w:tcBorders>
                  <w:vAlign w:val="center"/>
                </w:tcPr>
                <w:p w14:paraId="146D33A1">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具有热塑性的危险废物应装入容器或包装袋内进行贮存。</w:t>
                  </w:r>
                </w:p>
              </w:tc>
              <w:tc>
                <w:tcPr>
                  <w:tcW w:w="1876" w:type="pct"/>
                  <w:tcBorders>
                    <w:tl2br w:val="nil"/>
                    <w:tr2bl w:val="nil"/>
                  </w:tcBorders>
                  <w:vAlign w:val="center"/>
                </w:tcPr>
                <w:p w14:paraId="68D47F36">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本项目具有热塑性危险废物贮存在包装桶中。</w:t>
                  </w:r>
                </w:p>
              </w:tc>
              <w:tc>
                <w:tcPr>
                  <w:tcW w:w="451" w:type="pct"/>
                  <w:tcBorders>
                    <w:tl2br w:val="nil"/>
                    <w:tr2bl w:val="nil"/>
                  </w:tcBorders>
                  <w:vAlign w:val="center"/>
                </w:tcPr>
                <w:p w14:paraId="20218A46">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符合</w:t>
                  </w:r>
                </w:p>
              </w:tc>
            </w:tr>
            <w:tr w14:paraId="606DFF8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303" w:type="pct"/>
                  <w:tcBorders>
                    <w:tl2br w:val="nil"/>
                    <w:tr2bl w:val="nil"/>
                  </w:tcBorders>
                  <w:vAlign w:val="center"/>
                </w:tcPr>
                <w:p w14:paraId="59E8979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Times New Roman" w:cs="Times New Roman"/>
                      <w:color w:val="auto"/>
                      <w:spacing w:val="0"/>
                      <w:w w:val="100"/>
                      <w:sz w:val="21"/>
                      <w:szCs w:val="21"/>
                    </w:rPr>
                  </w:pPr>
                  <w:r>
                    <w:rPr>
                      <w:rFonts w:hint="default" w:ascii="Times New Roman" w:hAnsi="Times New Roman" w:eastAsia="Times New Roman" w:cs="Times New Roman"/>
                      <w:color w:val="auto"/>
                      <w:spacing w:val="0"/>
                      <w:w w:val="100"/>
                      <w:sz w:val="21"/>
                      <w:szCs w:val="21"/>
                    </w:rPr>
                    <w:t>8.1.5</w:t>
                  </w:r>
                </w:p>
              </w:tc>
              <w:tc>
                <w:tcPr>
                  <w:tcW w:w="2367" w:type="pct"/>
                  <w:tcBorders>
                    <w:tl2br w:val="nil"/>
                    <w:tr2bl w:val="nil"/>
                  </w:tcBorders>
                  <w:vAlign w:val="center"/>
                </w:tcPr>
                <w:p w14:paraId="5CE0B32D">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易产生粉尘、</w:t>
                  </w:r>
                  <w:r>
                    <w:rPr>
                      <w:rFonts w:hint="eastAsia" w:ascii="Times New Roman" w:hAnsi="Times New Roman" w:eastAsia="宋体" w:cs="Times New Roman"/>
                      <w:color w:val="auto"/>
                      <w:spacing w:val="0"/>
                      <w:w w:val="100"/>
                      <w:sz w:val="21"/>
                      <w:szCs w:val="21"/>
                      <w:lang w:eastAsia="zh-CN"/>
                    </w:rPr>
                    <w:t>VOCs（以非甲烷总烃计）</w:t>
                  </w:r>
                  <w:r>
                    <w:rPr>
                      <w:rFonts w:hint="default" w:ascii="Times New Roman" w:hAnsi="Times New Roman" w:cs="Times New Roman"/>
                      <w:color w:val="auto"/>
                      <w:spacing w:val="0"/>
                      <w:w w:val="100"/>
                      <w:sz w:val="21"/>
                      <w:szCs w:val="21"/>
                    </w:rPr>
                    <w:t>、酸雾、有毒有害大气污染物和刺激性气味气体的危险废物应装入闭口容器或包装物内贮存。</w:t>
                  </w:r>
                </w:p>
              </w:tc>
              <w:tc>
                <w:tcPr>
                  <w:tcW w:w="1876" w:type="pct"/>
                  <w:tcBorders>
                    <w:tl2br w:val="nil"/>
                    <w:tr2bl w:val="nil"/>
                  </w:tcBorders>
                  <w:vAlign w:val="center"/>
                </w:tcPr>
                <w:p w14:paraId="74F3D5ED">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项目易产生粉尘、</w:t>
                  </w:r>
                  <w:r>
                    <w:rPr>
                      <w:rFonts w:hint="eastAsia" w:ascii="Times New Roman" w:hAnsi="Times New Roman" w:cs="Times New Roman"/>
                      <w:color w:val="auto"/>
                      <w:spacing w:val="0"/>
                      <w:w w:val="100"/>
                      <w:sz w:val="21"/>
                      <w:szCs w:val="21"/>
                      <w:lang w:eastAsia="zh-CN"/>
                    </w:rPr>
                    <w:t>VOCs（以非甲烷总烃计）</w:t>
                  </w:r>
                  <w:r>
                    <w:rPr>
                      <w:rFonts w:hint="default" w:ascii="Times New Roman" w:hAnsi="Times New Roman" w:cs="Times New Roman"/>
                      <w:color w:val="auto"/>
                      <w:spacing w:val="0"/>
                      <w:w w:val="100"/>
                      <w:sz w:val="21"/>
                      <w:szCs w:val="21"/>
                    </w:rPr>
                    <w:t>、酸雾、有毒有害大气污染物和刺激性气味气体的危险废物</w:t>
                  </w:r>
                  <w:r>
                    <w:rPr>
                      <w:rFonts w:hint="eastAsia" w:ascii="Times New Roman" w:hAnsi="Times New Roman" w:cs="Times New Roman"/>
                      <w:color w:val="auto"/>
                      <w:spacing w:val="0"/>
                      <w:w w:val="100"/>
                      <w:sz w:val="21"/>
                      <w:szCs w:val="21"/>
                      <w:lang w:val="en-US" w:eastAsia="zh-CN"/>
                    </w:rPr>
                    <w:t>采用密封容器贮存</w:t>
                  </w:r>
                  <w:r>
                    <w:rPr>
                      <w:rFonts w:hint="default" w:ascii="Times New Roman" w:hAnsi="Times New Roman" w:cs="Times New Roman"/>
                      <w:color w:val="auto"/>
                      <w:spacing w:val="0"/>
                      <w:w w:val="100"/>
                      <w:sz w:val="21"/>
                      <w:szCs w:val="21"/>
                    </w:rPr>
                    <w:t>。</w:t>
                  </w:r>
                </w:p>
              </w:tc>
              <w:tc>
                <w:tcPr>
                  <w:tcW w:w="451" w:type="pct"/>
                  <w:tcBorders>
                    <w:tl2br w:val="nil"/>
                    <w:tr2bl w:val="nil"/>
                  </w:tcBorders>
                  <w:vAlign w:val="center"/>
                </w:tcPr>
                <w:p w14:paraId="000C6EE8">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符合</w:t>
                  </w:r>
                </w:p>
              </w:tc>
            </w:tr>
            <w:tr w14:paraId="324E181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303" w:type="pct"/>
                  <w:tcBorders>
                    <w:tl2br w:val="nil"/>
                    <w:tr2bl w:val="nil"/>
                  </w:tcBorders>
                  <w:vAlign w:val="center"/>
                </w:tcPr>
                <w:p w14:paraId="5190AA3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Times New Roman" w:cs="Times New Roman"/>
                      <w:color w:val="auto"/>
                      <w:spacing w:val="0"/>
                      <w:w w:val="100"/>
                      <w:sz w:val="21"/>
                      <w:szCs w:val="21"/>
                      <w:u w:val="none" w:color="auto"/>
                    </w:rPr>
                  </w:pPr>
                  <w:r>
                    <w:rPr>
                      <w:rFonts w:hint="default" w:ascii="Times New Roman" w:hAnsi="Times New Roman" w:eastAsia="Times New Roman" w:cs="Times New Roman"/>
                      <w:color w:val="auto"/>
                      <w:spacing w:val="0"/>
                      <w:w w:val="100"/>
                      <w:sz w:val="21"/>
                      <w:szCs w:val="21"/>
                      <w:u w:val="none" w:color="auto"/>
                    </w:rPr>
                    <w:t>8.1.6</w:t>
                  </w:r>
                </w:p>
              </w:tc>
              <w:tc>
                <w:tcPr>
                  <w:tcW w:w="2367" w:type="pct"/>
                  <w:tcBorders>
                    <w:tl2br w:val="nil"/>
                    <w:tr2bl w:val="nil"/>
                  </w:tcBorders>
                  <w:vAlign w:val="center"/>
                </w:tcPr>
                <w:p w14:paraId="4468BF48">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宋体" w:cs="Times New Roman"/>
                      <w:color w:val="auto"/>
                      <w:spacing w:val="0"/>
                      <w:w w:val="100"/>
                      <w:sz w:val="21"/>
                      <w:szCs w:val="21"/>
                      <w:u w:val="none" w:color="auto"/>
                      <w:lang w:eastAsia="zh-CN"/>
                    </w:rPr>
                  </w:pPr>
                  <w:r>
                    <w:rPr>
                      <w:rFonts w:hint="default" w:ascii="Times New Roman" w:hAnsi="Times New Roman" w:cs="Times New Roman"/>
                      <w:color w:val="auto"/>
                      <w:spacing w:val="0"/>
                      <w:w w:val="100"/>
                      <w:sz w:val="21"/>
                      <w:szCs w:val="21"/>
                      <w:u w:val="none" w:color="auto"/>
                    </w:rPr>
                    <w:t>危险废物贮存过程中易产生粉尘等无组织排放的，应采取抑尘等有效措施。</w:t>
                  </w:r>
                </w:p>
              </w:tc>
              <w:tc>
                <w:tcPr>
                  <w:tcW w:w="1876" w:type="pct"/>
                  <w:tcBorders>
                    <w:tl2br w:val="nil"/>
                    <w:tr2bl w:val="nil"/>
                  </w:tcBorders>
                  <w:vAlign w:val="center"/>
                </w:tcPr>
                <w:p w14:paraId="4C5E870B">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w w:val="100"/>
                      <w:sz w:val="21"/>
                      <w:szCs w:val="21"/>
                      <w:u w:val="none" w:color="auto"/>
                    </w:rPr>
                  </w:pPr>
                  <w:r>
                    <w:rPr>
                      <w:rFonts w:hint="default" w:ascii="Times New Roman" w:hAnsi="Times New Roman" w:cs="Times New Roman"/>
                      <w:color w:val="auto"/>
                      <w:spacing w:val="0"/>
                      <w:w w:val="100"/>
                      <w:sz w:val="21"/>
                      <w:szCs w:val="21"/>
                      <w:u w:val="none" w:color="auto"/>
                    </w:rPr>
                    <w:t>项目</w:t>
                  </w:r>
                  <w:r>
                    <w:rPr>
                      <w:rFonts w:hint="eastAsia" w:ascii="Times New Roman" w:hAnsi="Times New Roman" w:cs="Times New Roman"/>
                      <w:color w:val="auto"/>
                      <w:spacing w:val="0"/>
                      <w:w w:val="100"/>
                      <w:sz w:val="21"/>
                      <w:szCs w:val="21"/>
                      <w:u w:val="none" w:color="auto"/>
                      <w:lang w:val="en-US" w:eastAsia="zh-CN"/>
                    </w:rPr>
                    <w:t>采取密封包装，有效抑尘</w:t>
                  </w:r>
                  <w:r>
                    <w:rPr>
                      <w:rFonts w:hint="default" w:ascii="Times New Roman" w:hAnsi="Times New Roman" w:cs="Times New Roman"/>
                      <w:color w:val="auto"/>
                      <w:spacing w:val="0"/>
                      <w:w w:val="100"/>
                      <w:sz w:val="21"/>
                      <w:szCs w:val="21"/>
                      <w:u w:val="none" w:color="auto"/>
                    </w:rPr>
                    <w:t>。</w:t>
                  </w:r>
                </w:p>
              </w:tc>
              <w:tc>
                <w:tcPr>
                  <w:tcW w:w="451" w:type="pct"/>
                  <w:tcBorders>
                    <w:tl2br w:val="nil"/>
                    <w:tr2bl w:val="nil"/>
                  </w:tcBorders>
                  <w:vAlign w:val="center"/>
                </w:tcPr>
                <w:p w14:paraId="13DAE6BC">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w w:val="100"/>
                      <w:sz w:val="21"/>
                      <w:szCs w:val="21"/>
                      <w:u w:val="none" w:color="auto"/>
                    </w:rPr>
                  </w:pPr>
                  <w:r>
                    <w:rPr>
                      <w:rFonts w:hint="default" w:ascii="Times New Roman" w:hAnsi="Times New Roman" w:cs="Times New Roman"/>
                      <w:color w:val="auto"/>
                      <w:spacing w:val="0"/>
                      <w:w w:val="100"/>
                      <w:sz w:val="21"/>
                      <w:szCs w:val="21"/>
                      <w:u w:val="none" w:color="auto"/>
                    </w:rPr>
                    <w:t>符合</w:t>
                  </w:r>
                </w:p>
              </w:tc>
            </w:tr>
            <w:tr w14:paraId="6F4EEE9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5000" w:type="pct"/>
                  <w:gridSpan w:val="4"/>
                  <w:tcBorders>
                    <w:left w:val="single" w:color="000000" w:sz="2" w:space="0"/>
                    <w:right w:val="single" w:color="000000" w:sz="8" w:space="0"/>
                  </w:tcBorders>
                  <w:vAlign w:val="center"/>
                </w:tcPr>
                <w:p w14:paraId="69226AE3">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8.2贮存设施运行环境管理要求</w:t>
                  </w:r>
                </w:p>
              </w:tc>
            </w:tr>
            <w:tr w14:paraId="53B6558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2" w:hRule="atLeast"/>
              </w:trPr>
              <w:tc>
                <w:tcPr>
                  <w:tcW w:w="303" w:type="pct"/>
                  <w:tcBorders>
                    <w:left w:val="single" w:color="000000" w:sz="2" w:space="0"/>
                  </w:tcBorders>
                  <w:vAlign w:val="center"/>
                </w:tcPr>
                <w:p w14:paraId="0DAD842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Times New Roman" w:cs="Times New Roman"/>
                      <w:color w:val="auto"/>
                      <w:spacing w:val="0"/>
                      <w:w w:val="100"/>
                      <w:sz w:val="21"/>
                      <w:szCs w:val="21"/>
                    </w:rPr>
                  </w:pPr>
                  <w:r>
                    <w:rPr>
                      <w:rFonts w:hint="default" w:ascii="Times New Roman" w:hAnsi="Times New Roman" w:eastAsia="Times New Roman" w:cs="Times New Roman"/>
                      <w:color w:val="auto"/>
                      <w:spacing w:val="0"/>
                      <w:w w:val="100"/>
                      <w:sz w:val="21"/>
                      <w:szCs w:val="21"/>
                    </w:rPr>
                    <w:t>8.2.1</w:t>
                  </w:r>
                </w:p>
              </w:tc>
              <w:tc>
                <w:tcPr>
                  <w:tcW w:w="2367" w:type="pct"/>
                  <w:vAlign w:val="center"/>
                </w:tcPr>
                <w:p w14:paraId="075CE650">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危险废物存入贮存设施前应对危险废物类别和特性与危险废物标签等危险废物识别标志的一致性进行核验，不一致的或类别、特性不明的不应存入。</w:t>
                  </w:r>
                </w:p>
              </w:tc>
              <w:tc>
                <w:tcPr>
                  <w:tcW w:w="1876" w:type="pct"/>
                  <w:vAlign w:val="center"/>
                </w:tcPr>
                <w:p w14:paraId="7763A873">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项目危险废物</w:t>
                  </w:r>
                  <w:r>
                    <w:rPr>
                      <w:rFonts w:hint="eastAsia" w:ascii="Times New Roman" w:hAnsi="Times New Roman" w:cs="Times New Roman"/>
                      <w:color w:val="auto"/>
                      <w:spacing w:val="0"/>
                      <w:w w:val="100"/>
                      <w:sz w:val="21"/>
                      <w:szCs w:val="21"/>
                      <w:lang w:val="en-US" w:eastAsia="zh-CN"/>
                    </w:rPr>
                    <w:t>入库</w:t>
                  </w:r>
                  <w:r>
                    <w:rPr>
                      <w:rFonts w:hint="default" w:ascii="Times New Roman" w:hAnsi="Times New Roman" w:cs="Times New Roman"/>
                      <w:color w:val="auto"/>
                      <w:spacing w:val="0"/>
                      <w:w w:val="100"/>
                      <w:sz w:val="21"/>
                      <w:szCs w:val="21"/>
                    </w:rPr>
                    <w:t>前会对危险废物类别和特性与危险废物标签等危险废物识别标志的一致性进行核验。</w:t>
                  </w:r>
                </w:p>
              </w:tc>
              <w:tc>
                <w:tcPr>
                  <w:tcW w:w="451" w:type="pct"/>
                  <w:tcBorders>
                    <w:right w:val="single" w:color="000000" w:sz="8" w:space="0"/>
                  </w:tcBorders>
                  <w:vAlign w:val="center"/>
                </w:tcPr>
                <w:p w14:paraId="26BDB606">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符合</w:t>
                  </w:r>
                </w:p>
              </w:tc>
            </w:tr>
            <w:tr w14:paraId="6B2A536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303" w:type="pct"/>
                  <w:tcBorders>
                    <w:left w:val="single" w:color="000000" w:sz="2" w:space="0"/>
                  </w:tcBorders>
                  <w:vAlign w:val="center"/>
                </w:tcPr>
                <w:p w14:paraId="4812EE7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Times New Roman" w:cs="Times New Roman"/>
                      <w:color w:val="auto"/>
                      <w:spacing w:val="0"/>
                      <w:w w:val="100"/>
                      <w:sz w:val="21"/>
                      <w:szCs w:val="21"/>
                    </w:rPr>
                  </w:pPr>
                  <w:r>
                    <w:rPr>
                      <w:rFonts w:hint="default" w:ascii="Times New Roman" w:hAnsi="Times New Roman" w:eastAsia="Times New Roman" w:cs="Times New Roman"/>
                      <w:color w:val="auto"/>
                      <w:spacing w:val="0"/>
                      <w:w w:val="100"/>
                      <w:sz w:val="21"/>
                      <w:szCs w:val="21"/>
                    </w:rPr>
                    <w:t>8.2.2</w:t>
                  </w:r>
                </w:p>
              </w:tc>
              <w:tc>
                <w:tcPr>
                  <w:tcW w:w="2367" w:type="pct"/>
                  <w:vAlign w:val="center"/>
                </w:tcPr>
                <w:p w14:paraId="5929E0B9">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应定期检查危险废物的贮存况，及时清理贮存设施地面，更换破损泄漏的危险废物贮存容器和包装物，保证堆存危险废物的防雨、防风、防扬尘等设施功能完好。</w:t>
                  </w:r>
                </w:p>
              </w:tc>
              <w:tc>
                <w:tcPr>
                  <w:tcW w:w="1876" w:type="pct"/>
                  <w:vAlign w:val="center"/>
                </w:tcPr>
                <w:p w14:paraId="333A27A1">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项目定期检查危险废物的贮存状况，及时清理贮存设施地面，更换破损泄漏的危险废物贮存容器和包装物，保证堆存危险废物的防雨、防风、防扬尘等设施功能完好。</w:t>
                  </w:r>
                </w:p>
              </w:tc>
              <w:tc>
                <w:tcPr>
                  <w:tcW w:w="451" w:type="pct"/>
                  <w:tcBorders>
                    <w:right w:val="single" w:color="000000" w:sz="8" w:space="0"/>
                  </w:tcBorders>
                  <w:vAlign w:val="center"/>
                </w:tcPr>
                <w:p w14:paraId="586CF9AB">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符合</w:t>
                  </w:r>
                </w:p>
              </w:tc>
            </w:tr>
            <w:tr w14:paraId="38427B6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303" w:type="pct"/>
                  <w:tcBorders>
                    <w:left w:val="single" w:color="000000" w:sz="2" w:space="0"/>
                  </w:tcBorders>
                  <w:vAlign w:val="center"/>
                </w:tcPr>
                <w:p w14:paraId="2ED46F8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Times New Roman" w:cs="Times New Roman"/>
                      <w:color w:val="auto"/>
                      <w:spacing w:val="0"/>
                      <w:w w:val="100"/>
                      <w:sz w:val="21"/>
                      <w:szCs w:val="21"/>
                    </w:rPr>
                  </w:pPr>
                  <w:r>
                    <w:rPr>
                      <w:rFonts w:hint="default" w:ascii="Times New Roman" w:hAnsi="Times New Roman" w:eastAsia="Times New Roman" w:cs="Times New Roman"/>
                      <w:color w:val="auto"/>
                      <w:spacing w:val="0"/>
                      <w:w w:val="100"/>
                      <w:sz w:val="21"/>
                      <w:szCs w:val="21"/>
                    </w:rPr>
                    <w:t>8.2.3</w:t>
                  </w:r>
                </w:p>
              </w:tc>
              <w:tc>
                <w:tcPr>
                  <w:tcW w:w="2367" w:type="pct"/>
                  <w:vAlign w:val="center"/>
                </w:tcPr>
                <w:p w14:paraId="6E731BDD">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作业设备及车辆等结束作业离开贮存设施时，应对其残留的危险废物进行清理，清理的废物或清洗废水应收集处理。</w:t>
                  </w:r>
                </w:p>
              </w:tc>
              <w:tc>
                <w:tcPr>
                  <w:tcW w:w="1876" w:type="pct"/>
                  <w:vAlign w:val="center"/>
                </w:tcPr>
                <w:p w14:paraId="41980520">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项目作业设备及车辆等结束作业离开时，会对其残留的危险废物进行清理，清理的废物会收集处理。</w:t>
                  </w:r>
                </w:p>
              </w:tc>
              <w:tc>
                <w:tcPr>
                  <w:tcW w:w="451" w:type="pct"/>
                  <w:tcBorders>
                    <w:right w:val="single" w:color="000000" w:sz="8" w:space="0"/>
                  </w:tcBorders>
                  <w:vAlign w:val="center"/>
                </w:tcPr>
                <w:p w14:paraId="02FA43A4">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符合</w:t>
                  </w:r>
                </w:p>
              </w:tc>
            </w:tr>
            <w:tr w14:paraId="0E47ED8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303" w:type="pct"/>
                  <w:tcBorders>
                    <w:left w:val="single" w:color="000000" w:sz="2" w:space="0"/>
                  </w:tcBorders>
                  <w:vAlign w:val="center"/>
                </w:tcPr>
                <w:p w14:paraId="6AB78A5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Times New Roman" w:cs="Times New Roman"/>
                      <w:color w:val="auto"/>
                      <w:spacing w:val="0"/>
                      <w:w w:val="100"/>
                      <w:sz w:val="21"/>
                      <w:szCs w:val="21"/>
                    </w:rPr>
                  </w:pPr>
                  <w:r>
                    <w:rPr>
                      <w:rFonts w:hint="default" w:ascii="Times New Roman" w:hAnsi="Times New Roman" w:eastAsia="Times New Roman" w:cs="Times New Roman"/>
                      <w:color w:val="auto"/>
                      <w:spacing w:val="0"/>
                      <w:w w:val="100"/>
                      <w:sz w:val="21"/>
                      <w:szCs w:val="21"/>
                    </w:rPr>
                    <w:t>8.2.4</w:t>
                  </w:r>
                </w:p>
              </w:tc>
              <w:tc>
                <w:tcPr>
                  <w:tcW w:w="2367" w:type="pct"/>
                  <w:vAlign w:val="center"/>
                </w:tcPr>
                <w:p w14:paraId="1AE99A75">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贮存设施运行期间，应按国家有关标准和规定建立危险废物管理台账并保存。</w:t>
                  </w:r>
                </w:p>
              </w:tc>
              <w:tc>
                <w:tcPr>
                  <w:tcW w:w="1876" w:type="pct"/>
                  <w:vAlign w:val="center"/>
                </w:tcPr>
                <w:p w14:paraId="635B9BE6">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项目按国家有关标准和规定建立危险废物管理台账并保存。</w:t>
                  </w:r>
                </w:p>
              </w:tc>
              <w:tc>
                <w:tcPr>
                  <w:tcW w:w="451" w:type="pct"/>
                  <w:tcBorders>
                    <w:right w:val="single" w:color="000000" w:sz="8" w:space="0"/>
                  </w:tcBorders>
                  <w:vAlign w:val="center"/>
                </w:tcPr>
                <w:p w14:paraId="77A78063">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符合</w:t>
                  </w:r>
                </w:p>
              </w:tc>
            </w:tr>
            <w:tr w14:paraId="0E2DA84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303" w:type="pct"/>
                  <w:tcBorders>
                    <w:left w:val="single" w:color="000000" w:sz="2" w:space="0"/>
                  </w:tcBorders>
                  <w:vAlign w:val="center"/>
                </w:tcPr>
                <w:p w14:paraId="4F18767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Times New Roman" w:cs="Times New Roman"/>
                      <w:color w:val="auto"/>
                      <w:spacing w:val="0"/>
                      <w:w w:val="100"/>
                      <w:sz w:val="21"/>
                      <w:szCs w:val="21"/>
                    </w:rPr>
                  </w:pPr>
                  <w:r>
                    <w:rPr>
                      <w:rFonts w:hint="default" w:ascii="Times New Roman" w:hAnsi="Times New Roman" w:eastAsia="Times New Roman" w:cs="Times New Roman"/>
                      <w:color w:val="auto"/>
                      <w:spacing w:val="0"/>
                      <w:w w:val="100"/>
                      <w:sz w:val="21"/>
                      <w:szCs w:val="21"/>
                    </w:rPr>
                    <w:t>8.2.5</w:t>
                  </w:r>
                </w:p>
              </w:tc>
              <w:tc>
                <w:tcPr>
                  <w:tcW w:w="2367" w:type="pct"/>
                  <w:vAlign w:val="center"/>
                </w:tcPr>
                <w:p w14:paraId="116FA71A">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6"/>
                      <w:w w:val="100"/>
                      <w:sz w:val="21"/>
                      <w:szCs w:val="21"/>
                    </w:rPr>
                    <w:t>贮存设施所有者或运营者应建立贮存设施环境管理制度、管理人员岗位职责制度、设施运行操作制度、人员岗位培训制度等。</w:t>
                  </w:r>
                </w:p>
              </w:tc>
              <w:tc>
                <w:tcPr>
                  <w:tcW w:w="1876" w:type="pct"/>
                  <w:vAlign w:val="center"/>
                </w:tcPr>
                <w:p w14:paraId="119C1337">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w w:val="100"/>
                      <w:sz w:val="21"/>
                      <w:szCs w:val="21"/>
                    </w:rPr>
                  </w:pPr>
                  <w:r>
                    <w:rPr>
                      <w:rFonts w:hint="eastAsia" w:ascii="Times New Roman" w:hAnsi="Times New Roman" w:cs="Times New Roman"/>
                      <w:color w:val="auto"/>
                      <w:spacing w:val="0"/>
                      <w:w w:val="100"/>
                      <w:sz w:val="21"/>
                      <w:szCs w:val="21"/>
                      <w:lang w:val="en-US" w:eastAsia="zh-CN"/>
                    </w:rPr>
                    <w:t>企业</w:t>
                  </w:r>
                  <w:r>
                    <w:rPr>
                      <w:rFonts w:hint="default" w:ascii="Times New Roman" w:hAnsi="Times New Roman" w:cs="Times New Roman"/>
                      <w:color w:val="auto"/>
                      <w:spacing w:val="0"/>
                      <w:w w:val="100"/>
                      <w:sz w:val="21"/>
                      <w:szCs w:val="21"/>
                    </w:rPr>
                    <w:t>建立贮存设施环境管理制度、管理人员岗位职责制度、设施运行操作制度、人员岗位培训制度等。</w:t>
                  </w:r>
                </w:p>
              </w:tc>
              <w:tc>
                <w:tcPr>
                  <w:tcW w:w="451" w:type="pct"/>
                  <w:tcBorders>
                    <w:right w:val="single" w:color="000000" w:sz="8" w:space="0"/>
                  </w:tcBorders>
                  <w:vAlign w:val="center"/>
                </w:tcPr>
                <w:p w14:paraId="4CB71DA1">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符合</w:t>
                  </w:r>
                </w:p>
              </w:tc>
            </w:tr>
            <w:tr w14:paraId="5FCF947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303" w:type="pct"/>
                  <w:tcBorders>
                    <w:left w:val="single" w:color="000000" w:sz="2" w:space="0"/>
                  </w:tcBorders>
                  <w:vAlign w:val="center"/>
                </w:tcPr>
                <w:p w14:paraId="461494F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Times New Roman" w:cs="Times New Roman"/>
                      <w:color w:val="auto"/>
                      <w:spacing w:val="0"/>
                      <w:w w:val="100"/>
                      <w:sz w:val="21"/>
                      <w:szCs w:val="21"/>
                    </w:rPr>
                  </w:pPr>
                  <w:r>
                    <w:rPr>
                      <w:rFonts w:hint="default" w:ascii="Times New Roman" w:hAnsi="Times New Roman" w:eastAsia="Times New Roman" w:cs="Times New Roman"/>
                      <w:color w:val="auto"/>
                      <w:spacing w:val="0"/>
                      <w:w w:val="100"/>
                      <w:sz w:val="21"/>
                      <w:szCs w:val="21"/>
                    </w:rPr>
                    <w:t>8.2.6</w:t>
                  </w:r>
                </w:p>
              </w:tc>
              <w:tc>
                <w:tcPr>
                  <w:tcW w:w="2367" w:type="pct"/>
                  <w:vAlign w:val="center"/>
                </w:tcPr>
                <w:p w14:paraId="0D1D1C1A">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贮存设施所有者或运营者应依据国家土壤和地下水污染防治的有关规定，结合贮存设施特点建立土壤和地下水污染隐患排查制度，并定期开展隐患排查；发现隐患应及时采取措施消除隐患，并建立档案。</w:t>
                  </w:r>
                </w:p>
              </w:tc>
              <w:tc>
                <w:tcPr>
                  <w:tcW w:w="1876" w:type="pct"/>
                  <w:vAlign w:val="center"/>
                </w:tcPr>
                <w:p w14:paraId="5D259CCE">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项目运营者会依据国家土壤和地下水污染防治的有关规定，结合贮存设施特点建立土壤和地下水污染隐患排查制度，定期开展隐患排查；发现隐患及时采取措施消除隐患，并建立档案。</w:t>
                  </w:r>
                </w:p>
              </w:tc>
              <w:tc>
                <w:tcPr>
                  <w:tcW w:w="451" w:type="pct"/>
                  <w:tcBorders>
                    <w:right w:val="single" w:color="000000" w:sz="8" w:space="0"/>
                  </w:tcBorders>
                  <w:vAlign w:val="center"/>
                </w:tcPr>
                <w:p w14:paraId="17AA7C11">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符合</w:t>
                  </w:r>
                </w:p>
              </w:tc>
            </w:tr>
            <w:tr w14:paraId="219C339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303" w:type="pct"/>
                  <w:tcBorders>
                    <w:left w:val="single" w:color="000000" w:sz="2" w:space="0"/>
                  </w:tcBorders>
                  <w:vAlign w:val="center"/>
                </w:tcPr>
                <w:p w14:paraId="43AB737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Times New Roman" w:cs="Times New Roman"/>
                      <w:color w:val="auto"/>
                      <w:spacing w:val="0"/>
                      <w:w w:val="100"/>
                      <w:sz w:val="21"/>
                      <w:szCs w:val="21"/>
                    </w:rPr>
                  </w:pPr>
                  <w:r>
                    <w:rPr>
                      <w:rFonts w:hint="default" w:ascii="Times New Roman" w:hAnsi="Times New Roman" w:eastAsia="Times New Roman" w:cs="Times New Roman"/>
                      <w:color w:val="auto"/>
                      <w:spacing w:val="0"/>
                      <w:w w:val="100"/>
                      <w:sz w:val="21"/>
                      <w:szCs w:val="21"/>
                    </w:rPr>
                    <w:t>8.2.7</w:t>
                  </w:r>
                </w:p>
              </w:tc>
              <w:tc>
                <w:tcPr>
                  <w:tcW w:w="2367" w:type="pct"/>
                  <w:vAlign w:val="center"/>
                </w:tcPr>
                <w:p w14:paraId="4CE71FF9">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贮存设施所有者或运营者应建立贮存设施全部档案，包括设计、施工验收、运行、监测和环境应急等，应按国家有关档案管理的法律法规进行整理和归档。</w:t>
                  </w:r>
                </w:p>
              </w:tc>
              <w:tc>
                <w:tcPr>
                  <w:tcW w:w="1876" w:type="pct"/>
                  <w:vAlign w:val="center"/>
                </w:tcPr>
                <w:p w14:paraId="0A257623">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项目运营者建立贮存设施全部档案，包括设计、施工、验收、运行、监测和环境应急等，按国家有关档案管理的法律法规进行整理和归档。</w:t>
                  </w:r>
                </w:p>
              </w:tc>
              <w:tc>
                <w:tcPr>
                  <w:tcW w:w="451" w:type="pct"/>
                  <w:tcBorders>
                    <w:right w:val="single" w:color="000000" w:sz="8" w:space="0"/>
                  </w:tcBorders>
                  <w:vAlign w:val="center"/>
                </w:tcPr>
                <w:p w14:paraId="2ED14006">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符合</w:t>
                  </w:r>
                </w:p>
              </w:tc>
            </w:tr>
            <w:tr w14:paraId="112250F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5000" w:type="pct"/>
                  <w:gridSpan w:val="4"/>
                  <w:tcBorders>
                    <w:left w:val="single" w:color="000000" w:sz="2" w:space="0"/>
                    <w:right w:val="single" w:color="000000" w:sz="8" w:space="0"/>
                  </w:tcBorders>
                  <w:vAlign w:val="center"/>
                </w:tcPr>
                <w:p w14:paraId="6C6788D1">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w w:val="100"/>
                      <w:sz w:val="21"/>
                      <w:szCs w:val="21"/>
                    </w:rPr>
                  </w:pPr>
                  <w:r>
                    <w:rPr>
                      <w:rFonts w:hint="default" w:ascii="Times New Roman" w:hAnsi="Times New Roman" w:eastAsia="Times New Roman" w:cs="Times New Roman"/>
                      <w:color w:val="auto"/>
                      <w:spacing w:val="0"/>
                      <w:w w:val="100"/>
                      <w:sz w:val="21"/>
                      <w:szCs w:val="21"/>
                    </w:rPr>
                    <w:t>9</w:t>
                  </w:r>
                  <w:r>
                    <w:rPr>
                      <w:rFonts w:hint="eastAsia" w:ascii="Times New Roman" w:hAnsi="Times New Roman" w:eastAsia="宋体" w:cs="Times New Roman"/>
                      <w:color w:val="auto"/>
                      <w:spacing w:val="0"/>
                      <w:w w:val="100"/>
                      <w:sz w:val="21"/>
                      <w:szCs w:val="21"/>
                      <w:lang w:eastAsia="zh-CN"/>
                    </w:rPr>
                    <w:t>、</w:t>
                  </w:r>
                  <w:r>
                    <w:rPr>
                      <w:rFonts w:hint="default" w:ascii="Times New Roman" w:hAnsi="Times New Roman" w:cs="Times New Roman"/>
                      <w:color w:val="auto"/>
                      <w:spacing w:val="0"/>
                      <w:w w:val="100"/>
                      <w:sz w:val="21"/>
                      <w:szCs w:val="21"/>
                    </w:rPr>
                    <w:t>污染物排放控制要求</w:t>
                  </w:r>
                </w:p>
              </w:tc>
            </w:tr>
            <w:tr w14:paraId="40665B9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72" w:hRule="atLeast"/>
              </w:trPr>
              <w:tc>
                <w:tcPr>
                  <w:tcW w:w="303" w:type="pct"/>
                  <w:tcBorders>
                    <w:left w:val="single" w:color="000000" w:sz="2" w:space="0"/>
                    <w:bottom w:val="single" w:color="000000" w:sz="6" w:space="0"/>
                  </w:tcBorders>
                  <w:vAlign w:val="center"/>
                </w:tcPr>
                <w:p w14:paraId="4DA50F6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Times New Roman" w:cs="Times New Roman"/>
                      <w:color w:val="auto"/>
                      <w:spacing w:val="0"/>
                      <w:w w:val="100"/>
                      <w:sz w:val="21"/>
                      <w:szCs w:val="21"/>
                    </w:rPr>
                  </w:pPr>
                  <w:r>
                    <w:rPr>
                      <w:rFonts w:hint="default" w:ascii="Times New Roman" w:hAnsi="Times New Roman" w:eastAsia="Times New Roman" w:cs="Times New Roman"/>
                      <w:color w:val="auto"/>
                      <w:spacing w:val="0"/>
                      <w:w w:val="100"/>
                      <w:sz w:val="21"/>
                      <w:szCs w:val="21"/>
                    </w:rPr>
                    <w:t>9.1</w:t>
                  </w:r>
                </w:p>
              </w:tc>
              <w:tc>
                <w:tcPr>
                  <w:tcW w:w="2367" w:type="pct"/>
                  <w:tcBorders>
                    <w:bottom w:val="single" w:color="000000" w:sz="6" w:space="0"/>
                  </w:tcBorders>
                  <w:vAlign w:val="center"/>
                </w:tcPr>
                <w:p w14:paraId="0BF9E0E2">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贮存设施产生的废水（包括贮存设施、作业设备、车辆等清洗废水，贮存罐区积存雨水，贮存事故废水等）应进行收集处理，废水排放应符合GB8978规定的要求。</w:t>
                  </w:r>
                </w:p>
              </w:tc>
              <w:tc>
                <w:tcPr>
                  <w:tcW w:w="1876" w:type="pct"/>
                  <w:tcBorders>
                    <w:bottom w:val="single" w:color="000000" w:sz="6" w:space="0"/>
                  </w:tcBorders>
                  <w:vAlign w:val="center"/>
                </w:tcPr>
                <w:p w14:paraId="4C487BA2">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w w:val="100"/>
                      <w:sz w:val="21"/>
                      <w:szCs w:val="21"/>
                    </w:rPr>
                  </w:pPr>
                  <w:r>
                    <w:rPr>
                      <w:rFonts w:hint="eastAsia" w:ascii="Times New Roman" w:hAnsi="Times New Roman" w:cs="Times New Roman"/>
                      <w:color w:val="auto"/>
                      <w:spacing w:val="0"/>
                      <w:w w:val="100"/>
                      <w:sz w:val="21"/>
                      <w:szCs w:val="21"/>
                      <w:lang w:val="en-US" w:eastAsia="zh-CN"/>
                    </w:rPr>
                    <w:t>项目不进行设备、车辆等清洗，不设储罐，</w:t>
                  </w:r>
                  <w:r>
                    <w:rPr>
                      <w:rFonts w:hint="default" w:ascii="Times New Roman" w:hAnsi="Times New Roman" w:cs="Times New Roman"/>
                      <w:color w:val="auto"/>
                      <w:spacing w:val="0"/>
                      <w:w w:val="100"/>
                      <w:sz w:val="21"/>
                      <w:szCs w:val="21"/>
                    </w:rPr>
                    <w:t>不产生</w:t>
                  </w:r>
                  <w:r>
                    <w:rPr>
                      <w:rFonts w:hint="eastAsia" w:ascii="Times New Roman" w:hAnsi="Times New Roman" w:cs="Times New Roman"/>
                      <w:color w:val="auto"/>
                      <w:spacing w:val="0"/>
                      <w:w w:val="100"/>
                      <w:sz w:val="21"/>
                      <w:szCs w:val="21"/>
                      <w:lang w:val="en-US" w:eastAsia="zh-CN"/>
                    </w:rPr>
                    <w:t>清洗</w:t>
                  </w:r>
                  <w:r>
                    <w:rPr>
                      <w:rFonts w:hint="default" w:ascii="Times New Roman" w:hAnsi="Times New Roman" w:cs="Times New Roman"/>
                      <w:color w:val="auto"/>
                      <w:spacing w:val="0"/>
                      <w:w w:val="100"/>
                      <w:sz w:val="21"/>
                      <w:szCs w:val="21"/>
                    </w:rPr>
                    <w:t>废水，如有</w:t>
                  </w:r>
                  <w:r>
                    <w:rPr>
                      <w:rFonts w:hint="eastAsia" w:ascii="Times New Roman" w:hAnsi="Times New Roman" w:cs="Times New Roman"/>
                      <w:color w:val="auto"/>
                      <w:spacing w:val="0"/>
                      <w:w w:val="100"/>
                      <w:sz w:val="21"/>
                      <w:szCs w:val="21"/>
                      <w:lang w:val="en-US" w:eastAsia="zh-CN"/>
                    </w:rPr>
                    <w:t>泄漏</w:t>
                  </w:r>
                  <w:r>
                    <w:rPr>
                      <w:rFonts w:hint="default" w:ascii="Times New Roman" w:hAnsi="Times New Roman" w:cs="Times New Roman"/>
                      <w:color w:val="auto"/>
                      <w:spacing w:val="0"/>
                      <w:w w:val="100"/>
                      <w:sz w:val="21"/>
                      <w:szCs w:val="21"/>
                    </w:rPr>
                    <w:t>则</w:t>
                  </w:r>
                  <w:r>
                    <w:rPr>
                      <w:rFonts w:hint="eastAsia" w:ascii="Times New Roman" w:hAnsi="Times New Roman" w:cs="Times New Roman"/>
                      <w:color w:val="auto"/>
                      <w:spacing w:val="0"/>
                      <w:w w:val="100"/>
                      <w:sz w:val="21"/>
                      <w:szCs w:val="21"/>
                      <w:lang w:val="en-US" w:eastAsia="zh-CN"/>
                    </w:rPr>
                    <w:t>经导流沟收集至</w:t>
                  </w:r>
                  <w:r>
                    <w:rPr>
                      <w:rFonts w:hint="default" w:ascii="Times New Roman" w:hAnsi="Times New Roman" w:cs="Times New Roman"/>
                      <w:color w:val="auto"/>
                      <w:spacing w:val="0"/>
                      <w:w w:val="100"/>
                      <w:sz w:val="21"/>
                      <w:szCs w:val="21"/>
                    </w:rPr>
                    <w:t>收集</w:t>
                  </w:r>
                  <w:r>
                    <w:rPr>
                      <w:rFonts w:hint="eastAsia" w:ascii="Times New Roman" w:hAnsi="Times New Roman" w:cs="Times New Roman"/>
                      <w:color w:val="auto"/>
                      <w:spacing w:val="0"/>
                      <w:w w:val="100"/>
                      <w:sz w:val="21"/>
                      <w:szCs w:val="21"/>
                      <w:lang w:val="en-US" w:eastAsia="zh-CN"/>
                    </w:rPr>
                    <w:t>池，</w:t>
                  </w:r>
                  <w:r>
                    <w:rPr>
                      <w:rFonts w:hint="default" w:ascii="Times New Roman" w:hAnsi="Times New Roman" w:cs="Times New Roman"/>
                      <w:color w:val="auto"/>
                      <w:spacing w:val="0"/>
                      <w:w w:val="100"/>
                      <w:sz w:val="21"/>
                      <w:szCs w:val="21"/>
                    </w:rPr>
                    <w:t>交由资质单位处置。</w:t>
                  </w:r>
                </w:p>
              </w:tc>
              <w:tc>
                <w:tcPr>
                  <w:tcW w:w="451" w:type="pct"/>
                  <w:tcBorders>
                    <w:bottom w:val="single" w:color="000000" w:sz="6" w:space="0"/>
                    <w:right w:val="single" w:color="000000" w:sz="8" w:space="0"/>
                  </w:tcBorders>
                  <w:vAlign w:val="center"/>
                </w:tcPr>
                <w:p w14:paraId="3718C1EE">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符合</w:t>
                  </w:r>
                </w:p>
              </w:tc>
            </w:tr>
            <w:tr w14:paraId="5D4862A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27" w:hRule="atLeast"/>
              </w:trPr>
              <w:tc>
                <w:tcPr>
                  <w:tcW w:w="303" w:type="pct"/>
                  <w:tcBorders>
                    <w:left w:val="single" w:color="000000" w:sz="2" w:space="0"/>
                  </w:tcBorders>
                  <w:vAlign w:val="center"/>
                </w:tcPr>
                <w:p w14:paraId="5D28BF6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Times New Roman" w:cs="Times New Roman"/>
                      <w:color w:val="auto"/>
                      <w:spacing w:val="0"/>
                      <w:w w:val="100"/>
                      <w:sz w:val="21"/>
                      <w:szCs w:val="21"/>
                    </w:rPr>
                  </w:pPr>
                  <w:r>
                    <w:rPr>
                      <w:rFonts w:hint="default" w:ascii="Times New Roman" w:hAnsi="Times New Roman" w:eastAsia="Times New Roman" w:cs="Times New Roman"/>
                      <w:color w:val="auto"/>
                      <w:spacing w:val="0"/>
                      <w:w w:val="100"/>
                      <w:sz w:val="21"/>
                      <w:szCs w:val="21"/>
                    </w:rPr>
                    <w:t>9.2</w:t>
                  </w:r>
                </w:p>
              </w:tc>
              <w:tc>
                <w:tcPr>
                  <w:tcW w:w="2367" w:type="pct"/>
                  <w:vAlign w:val="center"/>
                </w:tcPr>
                <w:p w14:paraId="62141087">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贮存设施产生的废气（含无组织废气）的排放应符合GB16297和GB37822规定的要求。</w:t>
                  </w:r>
                </w:p>
              </w:tc>
              <w:tc>
                <w:tcPr>
                  <w:tcW w:w="1876" w:type="pct"/>
                  <w:vAlign w:val="center"/>
                </w:tcPr>
                <w:p w14:paraId="1FFE15E9">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项目产生的废气的排放符合GB16297和GB37822规定的要求。</w:t>
                  </w:r>
                </w:p>
              </w:tc>
              <w:tc>
                <w:tcPr>
                  <w:tcW w:w="451" w:type="pct"/>
                  <w:tcBorders>
                    <w:right w:val="single" w:color="000000" w:sz="8" w:space="0"/>
                  </w:tcBorders>
                  <w:vAlign w:val="center"/>
                </w:tcPr>
                <w:p w14:paraId="42F4C709">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符合</w:t>
                  </w:r>
                </w:p>
              </w:tc>
            </w:tr>
            <w:tr w14:paraId="43A40B4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303" w:type="pct"/>
                  <w:tcBorders>
                    <w:left w:val="single" w:color="000000" w:sz="2" w:space="0"/>
                  </w:tcBorders>
                  <w:vAlign w:val="center"/>
                </w:tcPr>
                <w:p w14:paraId="54CBCA2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Times New Roman" w:cs="Times New Roman"/>
                      <w:color w:val="auto"/>
                      <w:spacing w:val="0"/>
                      <w:w w:val="100"/>
                      <w:sz w:val="21"/>
                      <w:szCs w:val="21"/>
                    </w:rPr>
                  </w:pPr>
                  <w:r>
                    <w:rPr>
                      <w:rFonts w:hint="default" w:ascii="Times New Roman" w:hAnsi="Times New Roman" w:eastAsia="Times New Roman" w:cs="Times New Roman"/>
                      <w:color w:val="auto"/>
                      <w:spacing w:val="0"/>
                      <w:w w:val="100"/>
                      <w:sz w:val="21"/>
                      <w:szCs w:val="21"/>
                    </w:rPr>
                    <w:t>9.3</w:t>
                  </w:r>
                </w:p>
              </w:tc>
              <w:tc>
                <w:tcPr>
                  <w:tcW w:w="2367" w:type="pct"/>
                  <w:vAlign w:val="center"/>
                </w:tcPr>
                <w:p w14:paraId="76756928">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贮存设施产生的恶臭气体的排放应符合GB14554规定的要求。</w:t>
                  </w:r>
                </w:p>
              </w:tc>
              <w:tc>
                <w:tcPr>
                  <w:tcW w:w="1876" w:type="pct"/>
                  <w:vAlign w:val="center"/>
                </w:tcPr>
                <w:p w14:paraId="2A3E18A7">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项目产生的恶臭气体的排放符合GB14554规定的要求。</w:t>
                  </w:r>
                </w:p>
              </w:tc>
              <w:tc>
                <w:tcPr>
                  <w:tcW w:w="451" w:type="pct"/>
                  <w:tcBorders>
                    <w:right w:val="single" w:color="000000" w:sz="8" w:space="0"/>
                  </w:tcBorders>
                  <w:vAlign w:val="center"/>
                </w:tcPr>
                <w:p w14:paraId="7F0B680D">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符合</w:t>
                  </w:r>
                </w:p>
              </w:tc>
            </w:tr>
            <w:tr w14:paraId="3A118FE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303" w:type="pct"/>
                  <w:tcBorders>
                    <w:left w:val="single" w:color="000000" w:sz="2" w:space="0"/>
                  </w:tcBorders>
                  <w:vAlign w:val="center"/>
                </w:tcPr>
                <w:p w14:paraId="2800BD9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Times New Roman" w:cs="Times New Roman"/>
                      <w:color w:val="auto"/>
                      <w:spacing w:val="0"/>
                      <w:w w:val="100"/>
                      <w:sz w:val="21"/>
                      <w:szCs w:val="21"/>
                    </w:rPr>
                  </w:pPr>
                  <w:r>
                    <w:rPr>
                      <w:rFonts w:hint="default" w:ascii="Times New Roman" w:hAnsi="Times New Roman" w:eastAsia="Times New Roman" w:cs="Times New Roman"/>
                      <w:color w:val="auto"/>
                      <w:spacing w:val="0"/>
                      <w:w w:val="100"/>
                      <w:sz w:val="21"/>
                      <w:szCs w:val="21"/>
                    </w:rPr>
                    <w:t>9.4</w:t>
                  </w:r>
                </w:p>
              </w:tc>
              <w:tc>
                <w:tcPr>
                  <w:tcW w:w="2367" w:type="pct"/>
                  <w:vAlign w:val="center"/>
                </w:tcPr>
                <w:p w14:paraId="2458AE52">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贮存设施内产生以及清理的固体废物应按固体废物分类管理要求妥善处理。</w:t>
                  </w:r>
                </w:p>
              </w:tc>
              <w:tc>
                <w:tcPr>
                  <w:tcW w:w="1876" w:type="pct"/>
                  <w:vAlign w:val="center"/>
                </w:tcPr>
                <w:p w14:paraId="13B60F07">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6"/>
                      <w:w w:val="100"/>
                      <w:sz w:val="21"/>
                      <w:szCs w:val="21"/>
                    </w:rPr>
                    <w:t>项目产生以及清理的固体废物按固体废物分类管理要求处理。</w:t>
                  </w:r>
                </w:p>
              </w:tc>
              <w:tc>
                <w:tcPr>
                  <w:tcW w:w="451" w:type="pct"/>
                  <w:tcBorders>
                    <w:right w:val="single" w:color="000000" w:sz="8" w:space="0"/>
                  </w:tcBorders>
                  <w:vAlign w:val="center"/>
                </w:tcPr>
                <w:p w14:paraId="24F0B8D3">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符合</w:t>
                  </w:r>
                </w:p>
              </w:tc>
            </w:tr>
            <w:tr w14:paraId="416CE8A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303" w:type="pct"/>
                  <w:tcBorders>
                    <w:left w:val="single" w:color="000000" w:sz="2" w:space="0"/>
                  </w:tcBorders>
                  <w:vAlign w:val="center"/>
                </w:tcPr>
                <w:p w14:paraId="03712F1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Times New Roman" w:cs="Times New Roman"/>
                      <w:color w:val="auto"/>
                      <w:spacing w:val="0"/>
                      <w:w w:val="100"/>
                      <w:sz w:val="21"/>
                      <w:szCs w:val="21"/>
                    </w:rPr>
                  </w:pPr>
                  <w:r>
                    <w:rPr>
                      <w:rFonts w:hint="default" w:ascii="Times New Roman" w:hAnsi="Times New Roman" w:eastAsia="Times New Roman" w:cs="Times New Roman"/>
                      <w:color w:val="auto"/>
                      <w:spacing w:val="0"/>
                      <w:w w:val="100"/>
                      <w:sz w:val="21"/>
                      <w:szCs w:val="21"/>
                    </w:rPr>
                    <w:t>9.5</w:t>
                  </w:r>
                </w:p>
              </w:tc>
              <w:tc>
                <w:tcPr>
                  <w:tcW w:w="2367" w:type="pct"/>
                  <w:vAlign w:val="center"/>
                </w:tcPr>
                <w:p w14:paraId="56B074C7">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贮存设施排放的环境噪声应符合GB12348规定的要求。</w:t>
                  </w:r>
                </w:p>
              </w:tc>
              <w:tc>
                <w:tcPr>
                  <w:tcW w:w="1876" w:type="pct"/>
                  <w:vAlign w:val="center"/>
                </w:tcPr>
                <w:p w14:paraId="2D0D7AA7">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项目排放的环境噪声符合GB12348规定的要求。</w:t>
                  </w:r>
                </w:p>
              </w:tc>
              <w:tc>
                <w:tcPr>
                  <w:tcW w:w="451" w:type="pct"/>
                  <w:tcBorders>
                    <w:right w:val="single" w:color="000000" w:sz="8" w:space="0"/>
                  </w:tcBorders>
                  <w:vAlign w:val="center"/>
                </w:tcPr>
                <w:p w14:paraId="2C4ECA57">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符合</w:t>
                  </w:r>
                </w:p>
              </w:tc>
            </w:tr>
            <w:tr w14:paraId="663EB87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5000" w:type="pct"/>
                  <w:gridSpan w:val="4"/>
                  <w:tcBorders>
                    <w:left w:val="single" w:color="000000" w:sz="2" w:space="0"/>
                    <w:right w:val="single" w:color="000000" w:sz="8" w:space="0"/>
                  </w:tcBorders>
                  <w:vAlign w:val="center"/>
                </w:tcPr>
                <w:p w14:paraId="48897011">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w w:val="100"/>
                      <w:sz w:val="21"/>
                      <w:szCs w:val="21"/>
                    </w:rPr>
                  </w:pPr>
                  <w:r>
                    <w:rPr>
                      <w:rFonts w:hint="default" w:ascii="Times New Roman" w:hAnsi="Times New Roman" w:eastAsia="Times New Roman" w:cs="Times New Roman"/>
                      <w:color w:val="auto"/>
                      <w:spacing w:val="0"/>
                      <w:w w:val="100"/>
                      <w:sz w:val="21"/>
                      <w:szCs w:val="21"/>
                    </w:rPr>
                    <w:t>10</w:t>
                  </w:r>
                  <w:r>
                    <w:rPr>
                      <w:rFonts w:hint="eastAsia" w:ascii="Times New Roman" w:hAnsi="Times New Roman" w:eastAsia="宋体" w:cs="Times New Roman"/>
                      <w:color w:val="auto"/>
                      <w:spacing w:val="0"/>
                      <w:w w:val="100"/>
                      <w:sz w:val="21"/>
                      <w:szCs w:val="21"/>
                      <w:lang w:eastAsia="zh-CN"/>
                    </w:rPr>
                    <w:t>、</w:t>
                  </w:r>
                  <w:r>
                    <w:rPr>
                      <w:rFonts w:hint="default" w:ascii="Times New Roman" w:hAnsi="Times New Roman" w:cs="Times New Roman"/>
                      <w:color w:val="auto"/>
                      <w:spacing w:val="0"/>
                      <w:w w:val="100"/>
                      <w:sz w:val="21"/>
                      <w:szCs w:val="21"/>
                    </w:rPr>
                    <w:t>环境监测要求</w:t>
                  </w:r>
                </w:p>
              </w:tc>
            </w:tr>
            <w:tr w14:paraId="25E7308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303" w:type="pct"/>
                  <w:tcBorders>
                    <w:left w:val="single" w:color="000000" w:sz="2" w:space="0"/>
                  </w:tcBorders>
                  <w:vAlign w:val="center"/>
                </w:tcPr>
                <w:p w14:paraId="0EC4635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Times New Roman" w:cs="Times New Roman"/>
                      <w:color w:val="auto"/>
                      <w:spacing w:val="0"/>
                      <w:w w:val="100"/>
                      <w:sz w:val="21"/>
                      <w:szCs w:val="21"/>
                    </w:rPr>
                  </w:pPr>
                  <w:r>
                    <w:rPr>
                      <w:rFonts w:hint="default" w:ascii="Times New Roman" w:hAnsi="Times New Roman" w:eastAsia="Times New Roman" w:cs="Times New Roman"/>
                      <w:color w:val="auto"/>
                      <w:spacing w:val="0"/>
                      <w:w w:val="100"/>
                      <w:sz w:val="21"/>
                      <w:szCs w:val="21"/>
                    </w:rPr>
                    <w:t>10.1</w:t>
                  </w:r>
                </w:p>
              </w:tc>
              <w:tc>
                <w:tcPr>
                  <w:tcW w:w="2367" w:type="pct"/>
                  <w:vAlign w:val="center"/>
                </w:tcPr>
                <w:p w14:paraId="2F59E87E">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贮存设施的环境监测应纳入主体设施的环境监测计划。</w:t>
                  </w:r>
                </w:p>
              </w:tc>
              <w:tc>
                <w:tcPr>
                  <w:tcW w:w="1876" w:type="pct"/>
                  <w:vAlign w:val="center"/>
                </w:tcPr>
                <w:p w14:paraId="2A3D4CAA">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项目</w:t>
                  </w:r>
                  <w:r>
                    <w:rPr>
                      <w:rFonts w:hint="eastAsia" w:ascii="Times New Roman" w:hAnsi="Times New Roman" w:cs="Times New Roman"/>
                      <w:color w:val="auto"/>
                      <w:spacing w:val="0"/>
                      <w:w w:val="100"/>
                      <w:sz w:val="21"/>
                      <w:szCs w:val="21"/>
                      <w:lang w:val="en-US" w:eastAsia="zh-CN"/>
                    </w:rPr>
                    <w:t>设置了</w:t>
                  </w:r>
                  <w:r>
                    <w:rPr>
                      <w:rFonts w:hint="default" w:ascii="Times New Roman" w:hAnsi="Times New Roman" w:cs="Times New Roman"/>
                      <w:color w:val="auto"/>
                      <w:spacing w:val="0"/>
                      <w:w w:val="100"/>
                      <w:sz w:val="21"/>
                      <w:szCs w:val="21"/>
                    </w:rPr>
                    <w:t>环境监测计划。</w:t>
                  </w:r>
                </w:p>
              </w:tc>
              <w:tc>
                <w:tcPr>
                  <w:tcW w:w="451" w:type="pct"/>
                  <w:tcBorders>
                    <w:right w:val="single" w:color="000000" w:sz="8" w:space="0"/>
                  </w:tcBorders>
                  <w:vAlign w:val="center"/>
                </w:tcPr>
                <w:p w14:paraId="200F1037">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符合</w:t>
                  </w:r>
                </w:p>
              </w:tc>
            </w:tr>
            <w:tr w14:paraId="7369FAC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303" w:type="pct"/>
                  <w:tcBorders>
                    <w:left w:val="single" w:color="000000" w:sz="2" w:space="0"/>
                  </w:tcBorders>
                  <w:vAlign w:val="center"/>
                </w:tcPr>
                <w:p w14:paraId="308A106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Times New Roman" w:cs="Times New Roman"/>
                      <w:color w:val="auto"/>
                      <w:spacing w:val="0"/>
                      <w:w w:val="100"/>
                      <w:sz w:val="21"/>
                      <w:szCs w:val="21"/>
                    </w:rPr>
                  </w:pPr>
                  <w:r>
                    <w:rPr>
                      <w:rFonts w:hint="default" w:ascii="Times New Roman" w:hAnsi="Times New Roman" w:eastAsia="Times New Roman" w:cs="Times New Roman"/>
                      <w:color w:val="auto"/>
                      <w:spacing w:val="0"/>
                      <w:w w:val="100"/>
                      <w:sz w:val="21"/>
                      <w:szCs w:val="21"/>
                    </w:rPr>
                    <w:t>10.2</w:t>
                  </w:r>
                </w:p>
              </w:tc>
              <w:tc>
                <w:tcPr>
                  <w:tcW w:w="2367" w:type="pct"/>
                  <w:vAlign w:val="center"/>
                </w:tcPr>
                <w:p w14:paraId="62A8390B">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贮存设施所有者或运营者应依据《大气污染防治法》《水污染防治法》《土壤污染防治法》等有关法律、《排污许可管理条例》等行政法规和</w:t>
                  </w:r>
                  <w:r>
                    <w:rPr>
                      <w:rFonts w:hint="default" w:ascii="Times New Roman" w:hAnsi="Times New Roman" w:eastAsia="Times New Roman" w:cs="Times New Roman"/>
                      <w:color w:val="auto"/>
                      <w:spacing w:val="0"/>
                      <w:w w:val="100"/>
                      <w:sz w:val="21"/>
                      <w:szCs w:val="21"/>
                    </w:rPr>
                    <w:t>HJ819</w:t>
                  </w:r>
                  <w:r>
                    <w:rPr>
                      <w:rFonts w:hint="default" w:ascii="Times New Roman" w:hAnsi="Times New Roman" w:cs="Times New Roman"/>
                      <w:color w:val="auto"/>
                      <w:spacing w:val="0"/>
                      <w:w w:val="100"/>
                      <w:sz w:val="21"/>
                      <w:szCs w:val="21"/>
                    </w:rPr>
                    <w:t>、</w:t>
                  </w:r>
                  <w:r>
                    <w:rPr>
                      <w:rFonts w:hint="default" w:ascii="Times New Roman" w:hAnsi="Times New Roman" w:eastAsia="Times New Roman" w:cs="Times New Roman"/>
                      <w:color w:val="auto"/>
                      <w:spacing w:val="0"/>
                      <w:w w:val="100"/>
                      <w:sz w:val="21"/>
                      <w:szCs w:val="21"/>
                    </w:rPr>
                    <w:t>HJ1250</w:t>
                  </w:r>
                  <w:r>
                    <w:rPr>
                      <w:rFonts w:hint="default" w:ascii="Times New Roman" w:hAnsi="Times New Roman" w:cs="Times New Roman"/>
                      <w:color w:val="auto"/>
                      <w:spacing w:val="0"/>
                      <w:w w:val="100"/>
                      <w:sz w:val="21"/>
                      <w:szCs w:val="21"/>
                    </w:rPr>
                    <w:t>等规定制订监测方案，对贮存设施污染物排放状况开展自行监测，保存原始监测记录，并公布监测结果。</w:t>
                  </w:r>
                </w:p>
              </w:tc>
              <w:tc>
                <w:tcPr>
                  <w:tcW w:w="1876" w:type="pct"/>
                  <w:vAlign w:val="center"/>
                </w:tcPr>
                <w:p w14:paraId="3193056D">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w w:val="100"/>
                      <w:sz w:val="21"/>
                      <w:szCs w:val="21"/>
                    </w:rPr>
                  </w:pPr>
                  <w:r>
                    <w:rPr>
                      <w:rFonts w:hint="eastAsia" w:ascii="Times New Roman" w:hAnsi="Times New Roman" w:cs="Times New Roman"/>
                      <w:color w:val="auto"/>
                      <w:spacing w:val="0"/>
                      <w:w w:val="100"/>
                      <w:sz w:val="21"/>
                      <w:szCs w:val="21"/>
                      <w:lang w:val="en-US" w:eastAsia="zh-CN"/>
                    </w:rPr>
                    <w:t>企业</w:t>
                  </w:r>
                  <w:r>
                    <w:rPr>
                      <w:rFonts w:hint="default" w:ascii="Times New Roman" w:hAnsi="Times New Roman" w:cs="Times New Roman"/>
                      <w:color w:val="auto"/>
                      <w:spacing w:val="0"/>
                      <w:w w:val="100"/>
                      <w:sz w:val="21"/>
                      <w:szCs w:val="21"/>
                    </w:rPr>
                    <w:t>依据</w:t>
                  </w:r>
                  <w:r>
                    <w:rPr>
                      <w:rFonts w:hint="eastAsia" w:ascii="Times New Roman" w:hAnsi="Times New Roman" w:cs="Times New Roman"/>
                      <w:color w:val="auto"/>
                      <w:spacing w:val="0"/>
                      <w:w w:val="100"/>
                      <w:sz w:val="21"/>
                      <w:szCs w:val="21"/>
                      <w:lang w:val="en-US" w:eastAsia="zh-CN"/>
                    </w:rPr>
                    <w:t>相关</w:t>
                  </w:r>
                  <w:r>
                    <w:rPr>
                      <w:rFonts w:hint="default" w:ascii="Times New Roman" w:hAnsi="Times New Roman" w:cs="Times New Roman"/>
                      <w:color w:val="auto"/>
                      <w:spacing w:val="0"/>
                      <w:w w:val="100"/>
                      <w:sz w:val="21"/>
                      <w:szCs w:val="21"/>
                    </w:rPr>
                    <w:t>规定制订监测方案，对贮存设施污染物排放状况开展自行监测，保存原始监测记录，并公布监测结果。</w:t>
                  </w:r>
                </w:p>
              </w:tc>
              <w:tc>
                <w:tcPr>
                  <w:tcW w:w="451" w:type="pct"/>
                  <w:tcBorders>
                    <w:right w:val="single" w:color="000000" w:sz="8" w:space="0"/>
                  </w:tcBorders>
                  <w:vAlign w:val="center"/>
                </w:tcPr>
                <w:p w14:paraId="02270C47">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符合</w:t>
                  </w:r>
                </w:p>
              </w:tc>
            </w:tr>
            <w:tr w14:paraId="526ADE9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9" w:hRule="atLeast"/>
              </w:trPr>
              <w:tc>
                <w:tcPr>
                  <w:tcW w:w="303" w:type="pct"/>
                  <w:tcBorders>
                    <w:left w:val="single" w:color="000000" w:sz="2" w:space="0"/>
                  </w:tcBorders>
                  <w:vAlign w:val="center"/>
                </w:tcPr>
                <w:p w14:paraId="747D13E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Times New Roman" w:cs="Times New Roman"/>
                      <w:color w:val="auto"/>
                      <w:spacing w:val="0"/>
                      <w:w w:val="100"/>
                      <w:sz w:val="21"/>
                      <w:szCs w:val="21"/>
                    </w:rPr>
                  </w:pPr>
                  <w:r>
                    <w:rPr>
                      <w:rFonts w:hint="default" w:ascii="Times New Roman" w:hAnsi="Times New Roman" w:eastAsia="Times New Roman" w:cs="Times New Roman"/>
                      <w:color w:val="auto"/>
                      <w:spacing w:val="0"/>
                      <w:w w:val="100"/>
                      <w:sz w:val="21"/>
                      <w:szCs w:val="21"/>
                    </w:rPr>
                    <w:t>10.3</w:t>
                  </w:r>
                </w:p>
              </w:tc>
              <w:tc>
                <w:tcPr>
                  <w:tcW w:w="2367" w:type="pct"/>
                  <w:vAlign w:val="center"/>
                </w:tcPr>
                <w:p w14:paraId="4210E73B">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贮存设施废水污染物排放的监测方法和监测指标应符合国家相关标准要求。</w:t>
                  </w:r>
                </w:p>
              </w:tc>
              <w:tc>
                <w:tcPr>
                  <w:tcW w:w="1876" w:type="pct"/>
                  <w:vAlign w:val="center"/>
                </w:tcPr>
                <w:p w14:paraId="48CBD20F">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宋体" w:cs="Times New Roman"/>
                      <w:color w:val="auto"/>
                      <w:spacing w:val="0"/>
                      <w:w w:val="100"/>
                      <w:sz w:val="21"/>
                      <w:szCs w:val="21"/>
                      <w:lang w:val="en-US" w:eastAsia="zh-CN"/>
                    </w:rPr>
                  </w:pPr>
                  <w:r>
                    <w:rPr>
                      <w:rFonts w:hint="default" w:ascii="Times New Roman" w:hAnsi="Times New Roman" w:cs="Times New Roman"/>
                      <w:color w:val="auto"/>
                      <w:spacing w:val="0"/>
                      <w:w w:val="100"/>
                      <w:sz w:val="21"/>
                      <w:szCs w:val="21"/>
                    </w:rPr>
                    <w:t>本项目无生产废水产生</w:t>
                  </w:r>
                  <w:r>
                    <w:rPr>
                      <w:rFonts w:hint="eastAsia" w:ascii="Times New Roman" w:hAnsi="Times New Roman" w:cs="Times New Roman"/>
                      <w:color w:val="auto"/>
                      <w:spacing w:val="0"/>
                      <w:w w:val="100"/>
                      <w:sz w:val="21"/>
                      <w:szCs w:val="21"/>
                      <w:lang w:eastAsia="zh-CN"/>
                    </w:rPr>
                    <w:t>，</w:t>
                  </w:r>
                  <w:r>
                    <w:rPr>
                      <w:rFonts w:hint="default" w:ascii="Times New Roman" w:hAnsi="Times New Roman" w:cs="Times New Roman"/>
                      <w:color w:val="auto"/>
                      <w:spacing w:val="0"/>
                      <w:w w:val="100"/>
                      <w:sz w:val="21"/>
                      <w:szCs w:val="21"/>
                    </w:rPr>
                    <w:t>生活污水</w:t>
                  </w:r>
                  <w:r>
                    <w:rPr>
                      <w:rFonts w:hint="eastAsia" w:ascii="Times New Roman" w:hAnsi="Times New Roman" w:cs="Times New Roman"/>
                      <w:color w:val="auto"/>
                      <w:spacing w:val="0"/>
                      <w:w w:val="100"/>
                      <w:sz w:val="21"/>
                      <w:szCs w:val="21"/>
                      <w:lang w:val="en-US" w:eastAsia="zh-CN"/>
                    </w:rPr>
                    <w:t>经</w:t>
                  </w:r>
                  <w:r>
                    <w:rPr>
                      <w:rFonts w:hint="default" w:ascii="Times New Roman" w:hAnsi="Times New Roman" w:cs="Times New Roman"/>
                      <w:color w:val="auto"/>
                      <w:spacing w:val="0"/>
                      <w:w w:val="100"/>
                      <w:sz w:val="21"/>
                      <w:szCs w:val="21"/>
                    </w:rPr>
                    <w:t>化粪池</w:t>
                  </w:r>
                  <w:r>
                    <w:rPr>
                      <w:rFonts w:hint="eastAsia" w:ascii="Times New Roman" w:hAnsi="Times New Roman" w:cs="Times New Roman"/>
                      <w:color w:val="auto"/>
                      <w:spacing w:val="0"/>
                      <w:w w:val="100"/>
                      <w:sz w:val="21"/>
                      <w:szCs w:val="21"/>
                      <w:lang w:val="en-US" w:eastAsia="zh-CN"/>
                    </w:rPr>
                    <w:t>暂存</w:t>
                  </w:r>
                  <w:r>
                    <w:rPr>
                      <w:rFonts w:hint="default" w:ascii="Times New Roman" w:hAnsi="Times New Roman" w:cs="Times New Roman"/>
                      <w:color w:val="auto"/>
                      <w:spacing w:val="0"/>
                      <w:w w:val="100"/>
                      <w:sz w:val="21"/>
                      <w:szCs w:val="21"/>
                    </w:rPr>
                    <w:t>后</w:t>
                  </w:r>
                  <w:r>
                    <w:rPr>
                      <w:rFonts w:hint="eastAsia" w:ascii="Times New Roman" w:hAnsi="Times New Roman" w:cs="Times New Roman"/>
                      <w:color w:val="auto"/>
                      <w:spacing w:val="0"/>
                      <w:w w:val="100"/>
                      <w:sz w:val="21"/>
                      <w:szCs w:val="21"/>
                      <w:lang w:eastAsia="zh-CN"/>
                    </w:rPr>
                    <w:t>，</w:t>
                  </w:r>
                  <w:r>
                    <w:rPr>
                      <w:rFonts w:hint="eastAsia" w:ascii="Times New Roman" w:hAnsi="Times New Roman" w:cs="Times New Roman"/>
                      <w:color w:val="auto"/>
                      <w:spacing w:val="0"/>
                      <w:w w:val="100"/>
                      <w:sz w:val="21"/>
                      <w:szCs w:val="21"/>
                      <w:lang w:val="en-US" w:eastAsia="zh-CN"/>
                    </w:rPr>
                    <w:t>环卫部门清运</w:t>
                  </w:r>
                </w:p>
              </w:tc>
              <w:tc>
                <w:tcPr>
                  <w:tcW w:w="451" w:type="pct"/>
                  <w:tcBorders>
                    <w:right w:val="single" w:color="000000" w:sz="8" w:space="0"/>
                  </w:tcBorders>
                  <w:vAlign w:val="center"/>
                </w:tcPr>
                <w:p w14:paraId="22776531">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符合</w:t>
                  </w:r>
                </w:p>
              </w:tc>
            </w:tr>
            <w:tr w14:paraId="55B0544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303" w:type="pct"/>
                  <w:tcBorders>
                    <w:left w:val="single" w:color="000000" w:sz="2" w:space="0"/>
                  </w:tcBorders>
                  <w:vAlign w:val="center"/>
                </w:tcPr>
                <w:p w14:paraId="513B0DB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Times New Roman" w:cs="Times New Roman"/>
                      <w:color w:val="auto"/>
                      <w:spacing w:val="0"/>
                      <w:w w:val="100"/>
                      <w:sz w:val="21"/>
                      <w:szCs w:val="21"/>
                    </w:rPr>
                  </w:pPr>
                  <w:r>
                    <w:rPr>
                      <w:rFonts w:hint="default" w:ascii="Times New Roman" w:hAnsi="Times New Roman" w:eastAsia="Times New Roman" w:cs="Times New Roman"/>
                      <w:color w:val="auto"/>
                      <w:spacing w:val="0"/>
                      <w:w w:val="100"/>
                      <w:sz w:val="21"/>
                      <w:szCs w:val="21"/>
                    </w:rPr>
                    <w:t>10.4</w:t>
                  </w:r>
                </w:p>
              </w:tc>
              <w:tc>
                <w:tcPr>
                  <w:tcW w:w="2367" w:type="pct"/>
                  <w:vAlign w:val="center"/>
                </w:tcPr>
                <w:p w14:paraId="7A8E96E5">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w w:val="100"/>
                      <w:sz w:val="21"/>
                      <w:szCs w:val="21"/>
                    </w:rPr>
                  </w:pPr>
                  <w:r>
                    <w:rPr>
                      <w:rFonts w:hint="default" w:ascii="Times New Roman" w:hAnsi="Times New Roman" w:eastAsia="Times New Roman" w:cs="Times New Roman"/>
                      <w:color w:val="auto"/>
                      <w:spacing w:val="0"/>
                      <w:w w:val="100"/>
                      <w:sz w:val="21"/>
                      <w:szCs w:val="21"/>
                    </w:rPr>
                    <w:t>HJ1259</w:t>
                  </w:r>
                  <w:r>
                    <w:rPr>
                      <w:rFonts w:hint="default" w:ascii="Times New Roman" w:hAnsi="Times New Roman" w:cs="Times New Roman"/>
                      <w:color w:val="auto"/>
                      <w:spacing w:val="0"/>
                      <w:w w:val="100"/>
                      <w:sz w:val="21"/>
                      <w:szCs w:val="21"/>
                    </w:rPr>
                    <w:t>规定的危险废物环境重点监管单位贮存设施地下水环境监测点布设应符合</w:t>
                  </w:r>
                  <w:r>
                    <w:rPr>
                      <w:rFonts w:hint="default" w:ascii="Times New Roman" w:hAnsi="Times New Roman" w:eastAsia="Times New Roman" w:cs="Times New Roman"/>
                      <w:color w:val="auto"/>
                      <w:spacing w:val="0"/>
                      <w:w w:val="100"/>
                      <w:sz w:val="21"/>
                      <w:szCs w:val="21"/>
                    </w:rPr>
                    <w:t>HJ164</w:t>
                  </w:r>
                  <w:r>
                    <w:rPr>
                      <w:rFonts w:hint="default" w:ascii="Times New Roman" w:hAnsi="Times New Roman" w:cs="Times New Roman"/>
                      <w:color w:val="auto"/>
                      <w:spacing w:val="0"/>
                      <w:w w:val="100"/>
                      <w:sz w:val="21"/>
                      <w:szCs w:val="21"/>
                    </w:rPr>
                    <w:t>要求，监测因子应根据贮存废物的特性选择具有代表性且能表征危险废物特性的指标，地下水监测因子分析方法按照</w:t>
                  </w:r>
                  <w:r>
                    <w:rPr>
                      <w:rFonts w:hint="default" w:ascii="Times New Roman" w:hAnsi="Times New Roman" w:eastAsia="Times New Roman" w:cs="Times New Roman"/>
                      <w:color w:val="auto"/>
                      <w:spacing w:val="0"/>
                      <w:w w:val="100"/>
                      <w:sz w:val="21"/>
                      <w:szCs w:val="21"/>
                    </w:rPr>
                    <w:t>GB/T14848</w:t>
                  </w:r>
                  <w:r>
                    <w:rPr>
                      <w:rFonts w:hint="default" w:ascii="Times New Roman" w:hAnsi="Times New Roman" w:cs="Times New Roman"/>
                      <w:color w:val="auto"/>
                      <w:spacing w:val="0"/>
                      <w:w w:val="100"/>
                      <w:sz w:val="21"/>
                      <w:szCs w:val="21"/>
                    </w:rPr>
                    <w:t>执行。</w:t>
                  </w:r>
                </w:p>
              </w:tc>
              <w:tc>
                <w:tcPr>
                  <w:tcW w:w="1876" w:type="pct"/>
                  <w:vAlign w:val="center"/>
                </w:tcPr>
                <w:p w14:paraId="78A74257">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项目地下水环境监测点布设符合</w:t>
                  </w:r>
                  <w:r>
                    <w:rPr>
                      <w:rFonts w:hint="default" w:ascii="Times New Roman" w:hAnsi="Times New Roman" w:eastAsia="Times New Roman" w:cs="Times New Roman"/>
                      <w:color w:val="auto"/>
                      <w:spacing w:val="0"/>
                      <w:w w:val="100"/>
                      <w:sz w:val="21"/>
                      <w:szCs w:val="21"/>
                    </w:rPr>
                    <w:t>HJ164</w:t>
                  </w:r>
                  <w:r>
                    <w:rPr>
                      <w:rFonts w:hint="default" w:ascii="Times New Roman" w:hAnsi="Times New Roman" w:cs="Times New Roman"/>
                      <w:color w:val="auto"/>
                      <w:spacing w:val="0"/>
                      <w:w w:val="100"/>
                      <w:sz w:val="21"/>
                      <w:szCs w:val="21"/>
                    </w:rPr>
                    <w:t>要求，监测因子选择具有代表性且能表征危险废物特性的指标，地下水监测因子分析方法按照</w:t>
                  </w:r>
                  <w:r>
                    <w:rPr>
                      <w:rFonts w:hint="default" w:ascii="Times New Roman" w:hAnsi="Times New Roman" w:eastAsia="Times New Roman" w:cs="Times New Roman"/>
                      <w:color w:val="auto"/>
                      <w:spacing w:val="0"/>
                      <w:w w:val="100"/>
                      <w:sz w:val="21"/>
                      <w:szCs w:val="21"/>
                    </w:rPr>
                    <w:t>GB/T14848</w:t>
                  </w:r>
                  <w:r>
                    <w:rPr>
                      <w:rFonts w:hint="default" w:ascii="Times New Roman" w:hAnsi="Times New Roman" w:cs="Times New Roman"/>
                      <w:color w:val="auto"/>
                      <w:spacing w:val="0"/>
                      <w:w w:val="100"/>
                      <w:sz w:val="21"/>
                      <w:szCs w:val="21"/>
                    </w:rPr>
                    <w:t>执行。</w:t>
                  </w:r>
                </w:p>
              </w:tc>
              <w:tc>
                <w:tcPr>
                  <w:tcW w:w="451" w:type="pct"/>
                  <w:tcBorders>
                    <w:right w:val="single" w:color="000000" w:sz="8" w:space="0"/>
                  </w:tcBorders>
                  <w:vAlign w:val="center"/>
                </w:tcPr>
                <w:p w14:paraId="2EE489D8">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符合</w:t>
                  </w:r>
                </w:p>
              </w:tc>
            </w:tr>
            <w:tr w14:paraId="52EF8F4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5" w:hRule="atLeast"/>
              </w:trPr>
              <w:tc>
                <w:tcPr>
                  <w:tcW w:w="303" w:type="pct"/>
                  <w:tcBorders>
                    <w:left w:val="single" w:color="000000" w:sz="2" w:space="0"/>
                  </w:tcBorders>
                  <w:vAlign w:val="center"/>
                </w:tcPr>
                <w:p w14:paraId="18ED05D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Times New Roman" w:cs="Times New Roman"/>
                      <w:color w:val="auto"/>
                      <w:spacing w:val="0"/>
                      <w:w w:val="100"/>
                      <w:sz w:val="21"/>
                      <w:szCs w:val="21"/>
                    </w:rPr>
                  </w:pPr>
                  <w:r>
                    <w:rPr>
                      <w:rFonts w:hint="default" w:ascii="Times New Roman" w:hAnsi="Times New Roman" w:eastAsia="Times New Roman" w:cs="Times New Roman"/>
                      <w:color w:val="auto"/>
                      <w:spacing w:val="0"/>
                      <w:w w:val="100"/>
                      <w:sz w:val="21"/>
                      <w:szCs w:val="21"/>
                    </w:rPr>
                    <w:t>10.5</w:t>
                  </w:r>
                </w:p>
              </w:tc>
              <w:tc>
                <w:tcPr>
                  <w:tcW w:w="2367" w:type="pct"/>
                  <w:vAlign w:val="center"/>
                </w:tcPr>
                <w:p w14:paraId="41042F27">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配有收集净化系统的贮存设施大气污染物排放的监测采样应按</w:t>
                  </w:r>
                  <w:r>
                    <w:rPr>
                      <w:rFonts w:hint="default" w:ascii="Times New Roman" w:hAnsi="Times New Roman" w:eastAsia="Times New Roman" w:cs="Times New Roman"/>
                      <w:color w:val="auto"/>
                      <w:spacing w:val="0"/>
                      <w:w w:val="100"/>
                      <w:sz w:val="21"/>
                      <w:szCs w:val="21"/>
                    </w:rPr>
                    <w:t>GB/T16157</w:t>
                  </w:r>
                  <w:r>
                    <w:rPr>
                      <w:rFonts w:hint="default" w:ascii="Times New Roman" w:hAnsi="Times New Roman" w:cs="Times New Roman"/>
                      <w:color w:val="auto"/>
                      <w:spacing w:val="0"/>
                      <w:w w:val="100"/>
                      <w:sz w:val="21"/>
                      <w:szCs w:val="21"/>
                    </w:rPr>
                    <w:t>、</w:t>
                  </w:r>
                  <w:r>
                    <w:rPr>
                      <w:rFonts w:hint="default" w:ascii="Times New Roman" w:hAnsi="Times New Roman" w:eastAsia="Times New Roman" w:cs="Times New Roman"/>
                      <w:color w:val="auto"/>
                      <w:spacing w:val="0"/>
                      <w:w w:val="100"/>
                      <w:sz w:val="21"/>
                      <w:szCs w:val="21"/>
                    </w:rPr>
                    <w:t>HJ/T397</w:t>
                  </w:r>
                  <w:r>
                    <w:rPr>
                      <w:rFonts w:hint="default" w:ascii="Times New Roman" w:hAnsi="Times New Roman" w:cs="Times New Roman"/>
                      <w:color w:val="auto"/>
                      <w:spacing w:val="0"/>
                      <w:w w:val="100"/>
                      <w:sz w:val="21"/>
                      <w:szCs w:val="21"/>
                    </w:rPr>
                    <w:t>、</w:t>
                  </w:r>
                  <w:r>
                    <w:rPr>
                      <w:rFonts w:hint="default" w:ascii="Times New Roman" w:hAnsi="Times New Roman" w:eastAsia="Times New Roman" w:cs="Times New Roman"/>
                      <w:color w:val="auto"/>
                      <w:spacing w:val="0"/>
                      <w:w w:val="100"/>
                      <w:sz w:val="21"/>
                      <w:szCs w:val="21"/>
                    </w:rPr>
                    <w:t>HJ732</w:t>
                  </w:r>
                  <w:r>
                    <w:rPr>
                      <w:rFonts w:hint="default" w:ascii="Times New Roman" w:hAnsi="Times New Roman" w:cs="Times New Roman"/>
                      <w:color w:val="auto"/>
                      <w:spacing w:val="0"/>
                      <w:w w:val="100"/>
                      <w:sz w:val="21"/>
                      <w:szCs w:val="21"/>
                    </w:rPr>
                    <w:t>的规定执行。</w:t>
                  </w:r>
                </w:p>
              </w:tc>
              <w:tc>
                <w:tcPr>
                  <w:tcW w:w="1876" w:type="pct"/>
                  <w:vAlign w:val="center"/>
                </w:tcPr>
                <w:p w14:paraId="55D5926B">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项目大气污染物排放的监测采样应按</w:t>
                  </w:r>
                  <w:r>
                    <w:rPr>
                      <w:rFonts w:hint="default" w:ascii="Times New Roman" w:hAnsi="Times New Roman" w:eastAsia="Times New Roman" w:cs="Times New Roman"/>
                      <w:color w:val="auto"/>
                      <w:spacing w:val="0"/>
                      <w:w w:val="100"/>
                      <w:sz w:val="21"/>
                      <w:szCs w:val="21"/>
                    </w:rPr>
                    <w:t>GB/T16157</w:t>
                  </w:r>
                  <w:r>
                    <w:rPr>
                      <w:rFonts w:hint="default" w:ascii="Times New Roman" w:hAnsi="Times New Roman" w:cs="Times New Roman"/>
                      <w:color w:val="auto"/>
                      <w:spacing w:val="0"/>
                      <w:w w:val="100"/>
                      <w:sz w:val="21"/>
                      <w:szCs w:val="21"/>
                    </w:rPr>
                    <w:t>、</w:t>
                  </w:r>
                  <w:r>
                    <w:rPr>
                      <w:rFonts w:hint="default" w:ascii="Times New Roman" w:hAnsi="Times New Roman" w:eastAsia="Times New Roman" w:cs="Times New Roman"/>
                      <w:color w:val="auto"/>
                      <w:spacing w:val="0"/>
                      <w:w w:val="100"/>
                      <w:sz w:val="21"/>
                      <w:szCs w:val="21"/>
                    </w:rPr>
                    <w:t>HJ/T397</w:t>
                  </w:r>
                  <w:r>
                    <w:rPr>
                      <w:rFonts w:hint="default" w:ascii="Times New Roman" w:hAnsi="Times New Roman" w:cs="Times New Roman"/>
                      <w:color w:val="auto"/>
                      <w:spacing w:val="0"/>
                      <w:w w:val="100"/>
                      <w:sz w:val="21"/>
                      <w:szCs w:val="21"/>
                    </w:rPr>
                    <w:t>、</w:t>
                  </w:r>
                  <w:r>
                    <w:rPr>
                      <w:rFonts w:hint="default" w:ascii="Times New Roman" w:hAnsi="Times New Roman" w:eastAsia="Times New Roman" w:cs="Times New Roman"/>
                      <w:color w:val="auto"/>
                      <w:spacing w:val="0"/>
                      <w:w w:val="100"/>
                      <w:sz w:val="21"/>
                      <w:szCs w:val="21"/>
                    </w:rPr>
                    <w:t>HJ732</w:t>
                  </w:r>
                  <w:r>
                    <w:rPr>
                      <w:rFonts w:hint="default" w:ascii="Times New Roman" w:hAnsi="Times New Roman" w:cs="Times New Roman"/>
                      <w:color w:val="auto"/>
                      <w:spacing w:val="0"/>
                      <w:w w:val="100"/>
                      <w:sz w:val="21"/>
                      <w:szCs w:val="21"/>
                    </w:rPr>
                    <w:t>的规定执行</w:t>
                  </w:r>
                </w:p>
              </w:tc>
              <w:tc>
                <w:tcPr>
                  <w:tcW w:w="451" w:type="pct"/>
                  <w:tcBorders>
                    <w:right w:val="single" w:color="000000" w:sz="8" w:space="0"/>
                  </w:tcBorders>
                  <w:vAlign w:val="center"/>
                </w:tcPr>
                <w:p w14:paraId="09EF704D">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符合</w:t>
                  </w:r>
                </w:p>
              </w:tc>
            </w:tr>
            <w:tr w14:paraId="0658842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8" w:hRule="atLeast"/>
              </w:trPr>
              <w:tc>
                <w:tcPr>
                  <w:tcW w:w="303" w:type="pct"/>
                  <w:tcBorders>
                    <w:left w:val="single" w:color="000000" w:sz="2" w:space="0"/>
                    <w:bottom w:val="single" w:color="000000" w:sz="6" w:space="0"/>
                  </w:tcBorders>
                  <w:vAlign w:val="center"/>
                </w:tcPr>
                <w:p w14:paraId="60A6E05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Times New Roman" w:cs="Times New Roman"/>
                      <w:color w:val="auto"/>
                      <w:spacing w:val="0"/>
                      <w:w w:val="100"/>
                      <w:sz w:val="21"/>
                      <w:szCs w:val="21"/>
                    </w:rPr>
                  </w:pPr>
                  <w:r>
                    <w:rPr>
                      <w:rFonts w:hint="default" w:ascii="Times New Roman" w:hAnsi="Times New Roman" w:eastAsia="Times New Roman" w:cs="Times New Roman"/>
                      <w:color w:val="auto"/>
                      <w:spacing w:val="0"/>
                      <w:w w:val="100"/>
                      <w:sz w:val="21"/>
                      <w:szCs w:val="21"/>
                    </w:rPr>
                    <w:t>10.6</w:t>
                  </w:r>
                </w:p>
              </w:tc>
              <w:tc>
                <w:tcPr>
                  <w:tcW w:w="2367" w:type="pct"/>
                  <w:tcBorders>
                    <w:bottom w:val="single" w:color="000000" w:sz="6" w:space="0"/>
                  </w:tcBorders>
                  <w:vAlign w:val="center"/>
                </w:tcPr>
                <w:p w14:paraId="093815BC">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宋体" w:cs="Times New Roman"/>
                      <w:color w:val="auto"/>
                      <w:spacing w:val="0"/>
                      <w:w w:val="100"/>
                      <w:sz w:val="21"/>
                      <w:szCs w:val="21"/>
                      <w:u w:val="none" w:color="auto"/>
                      <w:lang w:eastAsia="zh-CN"/>
                    </w:rPr>
                  </w:pPr>
                  <w:r>
                    <w:rPr>
                      <w:rFonts w:hint="default" w:ascii="Times New Roman" w:hAnsi="Times New Roman" w:cs="Times New Roman"/>
                      <w:color w:val="auto"/>
                      <w:spacing w:val="0"/>
                      <w:w w:val="100"/>
                      <w:sz w:val="21"/>
                      <w:szCs w:val="21"/>
                      <w:u w:val="none" w:color="auto"/>
                    </w:rPr>
                    <w:t>贮存设施无组织气体排放监测因子应根据贮存废物的特性选</w:t>
                  </w:r>
                  <w:r>
                    <w:rPr>
                      <w:rFonts w:hint="default" w:ascii="Times New Roman" w:hAnsi="Times New Roman" w:cs="Times New Roman"/>
                      <w:color w:val="auto"/>
                      <w:spacing w:val="0"/>
                      <w:w w:val="100"/>
                      <w:sz w:val="21"/>
                      <w:szCs w:val="21"/>
                    </w:rPr>
                    <w:t>择具有代表性且能表征危险废物特性的指标；采样点布设、采样及监测方法可按</w:t>
                  </w:r>
                  <w:r>
                    <w:rPr>
                      <w:rFonts w:hint="default" w:ascii="Times New Roman" w:hAnsi="Times New Roman" w:eastAsia="Times New Roman" w:cs="Times New Roman"/>
                      <w:color w:val="auto"/>
                      <w:spacing w:val="0"/>
                      <w:w w:val="100"/>
                      <w:sz w:val="21"/>
                      <w:szCs w:val="21"/>
                    </w:rPr>
                    <w:t>HJ/T55</w:t>
                  </w:r>
                  <w:r>
                    <w:rPr>
                      <w:rFonts w:hint="default" w:ascii="Times New Roman" w:hAnsi="Times New Roman" w:cs="Times New Roman"/>
                      <w:color w:val="auto"/>
                      <w:spacing w:val="0"/>
                      <w:w w:val="100"/>
                      <w:sz w:val="21"/>
                      <w:szCs w:val="21"/>
                    </w:rPr>
                    <w:t>的规定执行，</w:t>
                  </w:r>
                  <w:r>
                    <w:rPr>
                      <w:rFonts w:hint="eastAsia" w:ascii="Times New Roman" w:hAnsi="Times New Roman" w:eastAsia="宋体" w:cs="Times New Roman"/>
                      <w:color w:val="auto"/>
                      <w:spacing w:val="0"/>
                      <w:w w:val="100"/>
                      <w:sz w:val="21"/>
                      <w:szCs w:val="21"/>
                      <w:lang w:eastAsia="zh-CN"/>
                    </w:rPr>
                    <w:t>VOCs（以非甲烷总烃计）</w:t>
                  </w:r>
                  <w:r>
                    <w:rPr>
                      <w:rFonts w:hint="default" w:ascii="Times New Roman" w:hAnsi="Times New Roman" w:cs="Times New Roman"/>
                      <w:color w:val="auto"/>
                      <w:spacing w:val="0"/>
                      <w:w w:val="100"/>
                      <w:sz w:val="21"/>
                      <w:szCs w:val="21"/>
                    </w:rPr>
                    <w:t>的无组织排放监测还应符合</w:t>
                  </w:r>
                  <w:r>
                    <w:rPr>
                      <w:rFonts w:hint="default" w:ascii="Times New Roman" w:hAnsi="Times New Roman" w:eastAsia="Times New Roman" w:cs="Times New Roman"/>
                      <w:color w:val="auto"/>
                      <w:spacing w:val="0"/>
                      <w:w w:val="100"/>
                      <w:sz w:val="21"/>
                      <w:szCs w:val="21"/>
                    </w:rPr>
                    <w:t>GB37822</w:t>
                  </w:r>
                  <w:r>
                    <w:rPr>
                      <w:rFonts w:hint="default" w:ascii="Times New Roman" w:hAnsi="Times New Roman" w:cs="Times New Roman"/>
                      <w:color w:val="auto"/>
                      <w:spacing w:val="0"/>
                      <w:w w:val="100"/>
                      <w:sz w:val="21"/>
                      <w:szCs w:val="21"/>
                    </w:rPr>
                    <w:t>的规定。</w:t>
                  </w:r>
                </w:p>
              </w:tc>
              <w:tc>
                <w:tcPr>
                  <w:tcW w:w="1876" w:type="pct"/>
                  <w:tcBorders>
                    <w:bottom w:val="single" w:color="000000" w:sz="6" w:space="0"/>
                  </w:tcBorders>
                  <w:vAlign w:val="center"/>
                </w:tcPr>
                <w:p w14:paraId="0E18808C">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宋体" w:cs="Times New Roman"/>
                      <w:color w:val="auto"/>
                      <w:spacing w:val="0"/>
                      <w:w w:val="100"/>
                      <w:sz w:val="21"/>
                      <w:szCs w:val="21"/>
                      <w:u w:val="none" w:color="auto"/>
                      <w:lang w:eastAsia="zh-CN"/>
                    </w:rPr>
                  </w:pPr>
                  <w:r>
                    <w:rPr>
                      <w:rFonts w:hint="default" w:ascii="Times New Roman" w:hAnsi="Times New Roman" w:cs="Times New Roman"/>
                      <w:color w:val="auto"/>
                      <w:spacing w:val="0"/>
                      <w:w w:val="100"/>
                      <w:sz w:val="21"/>
                      <w:szCs w:val="21"/>
                      <w:u w:val="none" w:color="auto"/>
                    </w:rPr>
                    <w:t>项目无组织气体排放监测因子选择具有代</w:t>
                  </w:r>
                  <w:r>
                    <w:rPr>
                      <w:rFonts w:hint="default" w:ascii="Times New Roman" w:hAnsi="Times New Roman" w:cs="Times New Roman"/>
                      <w:color w:val="auto"/>
                      <w:spacing w:val="0"/>
                      <w:w w:val="100"/>
                      <w:sz w:val="21"/>
                      <w:szCs w:val="21"/>
                    </w:rPr>
                    <w:t>表性且能表征危险废物特性的指标；采样点布设、采样及监测方法按</w:t>
                  </w:r>
                  <w:r>
                    <w:rPr>
                      <w:rFonts w:hint="default" w:ascii="Times New Roman" w:hAnsi="Times New Roman" w:eastAsia="Times New Roman" w:cs="Times New Roman"/>
                      <w:color w:val="auto"/>
                      <w:spacing w:val="0"/>
                      <w:w w:val="100"/>
                      <w:sz w:val="21"/>
                      <w:szCs w:val="21"/>
                    </w:rPr>
                    <w:t>HJ/T55</w:t>
                  </w:r>
                  <w:r>
                    <w:rPr>
                      <w:rFonts w:hint="default" w:ascii="Times New Roman" w:hAnsi="Times New Roman" w:cs="Times New Roman"/>
                      <w:color w:val="auto"/>
                      <w:spacing w:val="0"/>
                      <w:w w:val="100"/>
                      <w:sz w:val="21"/>
                      <w:szCs w:val="21"/>
                    </w:rPr>
                    <w:t>的规定执行，</w:t>
                  </w:r>
                  <w:r>
                    <w:rPr>
                      <w:rFonts w:hint="eastAsia" w:ascii="Times New Roman" w:hAnsi="Times New Roman" w:eastAsia="宋体" w:cs="Times New Roman"/>
                      <w:color w:val="auto"/>
                      <w:spacing w:val="0"/>
                      <w:w w:val="100"/>
                      <w:sz w:val="21"/>
                      <w:szCs w:val="21"/>
                      <w:lang w:eastAsia="zh-CN"/>
                    </w:rPr>
                    <w:t>VOCs（以非甲烷总烃计）</w:t>
                  </w:r>
                  <w:r>
                    <w:rPr>
                      <w:rFonts w:hint="default" w:ascii="Times New Roman" w:hAnsi="Times New Roman" w:cs="Times New Roman"/>
                      <w:color w:val="auto"/>
                      <w:spacing w:val="0"/>
                      <w:w w:val="100"/>
                      <w:sz w:val="21"/>
                      <w:szCs w:val="21"/>
                    </w:rPr>
                    <w:t>的无组织排放监测符合</w:t>
                  </w:r>
                  <w:r>
                    <w:rPr>
                      <w:rFonts w:hint="default" w:ascii="Times New Roman" w:hAnsi="Times New Roman" w:eastAsia="Times New Roman" w:cs="Times New Roman"/>
                      <w:color w:val="auto"/>
                      <w:spacing w:val="0"/>
                      <w:w w:val="100"/>
                      <w:sz w:val="21"/>
                      <w:szCs w:val="21"/>
                    </w:rPr>
                    <w:t>GB37822</w:t>
                  </w:r>
                  <w:r>
                    <w:rPr>
                      <w:rFonts w:hint="default" w:ascii="Times New Roman" w:hAnsi="Times New Roman" w:cs="Times New Roman"/>
                      <w:color w:val="auto"/>
                      <w:spacing w:val="0"/>
                      <w:w w:val="100"/>
                      <w:sz w:val="21"/>
                      <w:szCs w:val="21"/>
                    </w:rPr>
                    <w:t>的规定。</w:t>
                  </w:r>
                </w:p>
              </w:tc>
              <w:tc>
                <w:tcPr>
                  <w:tcW w:w="451" w:type="pct"/>
                  <w:tcBorders>
                    <w:bottom w:val="single" w:color="000000" w:sz="6" w:space="0"/>
                    <w:right w:val="single" w:color="000000" w:sz="2" w:space="0"/>
                  </w:tcBorders>
                  <w:vAlign w:val="center"/>
                </w:tcPr>
                <w:p w14:paraId="577BDCF8">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符合</w:t>
                  </w:r>
                </w:p>
              </w:tc>
            </w:tr>
            <w:tr w14:paraId="7B79949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303" w:type="pct"/>
                  <w:tcBorders>
                    <w:tl2br w:val="nil"/>
                    <w:tr2bl w:val="nil"/>
                  </w:tcBorders>
                  <w:vAlign w:val="center"/>
                </w:tcPr>
                <w:p w14:paraId="7E5B18E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Times New Roman" w:cs="Times New Roman"/>
                      <w:color w:val="auto"/>
                      <w:spacing w:val="0"/>
                      <w:w w:val="100"/>
                      <w:sz w:val="21"/>
                      <w:szCs w:val="21"/>
                    </w:rPr>
                  </w:pPr>
                  <w:r>
                    <w:rPr>
                      <w:rFonts w:hint="default" w:ascii="Times New Roman" w:hAnsi="Times New Roman" w:eastAsia="Times New Roman" w:cs="Times New Roman"/>
                      <w:color w:val="auto"/>
                      <w:spacing w:val="0"/>
                      <w:w w:val="100"/>
                      <w:sz w:val="21"/>
                      <w:szCs w:val="21"/>
                    </w:rPr>
                    <w:t>10.7</w:t>
                  </w:r>
                </w:p>
              </w:tc>
              <w:tc>
                <w:tcPr>
                  <w:tcW w:w="2367" w:type="pct"/>
                  <w:tcBorders>
                    <w:tl2br w:val="nil"/>
                    <w:tr2bl w:val="nil"/>
                  </w:tcBorders>
                  <w:vAlign w:val="center"/>
                </w:tcPr>
                <w:p w14:paraId="00AF1A26">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贮存设施恶臭气体的排放监测应符合</w:t>
                  </w:r>
                  <w:r>
                    <w:rPr>
                      <w:rFonts w:hint="default" w:ascii="Times New Roman" w:hAnsi="Times New Roman" w:eastAsia="Times New Roman" w:cs="Times New Roman"/>
                      <w:color w:val="auto"/>
                      <w:spacing w:val="0"/>
                      <w:w w:val="100"/>
                      <w:sz w:val="21"/>
                      <w:szCs w:val="21"/>
                    </w:rPr>
                    <w:t>GB14554</w:t>
                  </w:r>
                  <w:r>
                    <w:rPr>
                      <w:rFonts w:hint="default" w:ascii="Times New Roman" w:hAnsi="Times New Roman" w:cs="Times New Roman"/>
                      <w:color w:val="auto"/>
                      <w:spacing w:val="0"/>
                      <w:w w:val="100"/>
                      <w:sz w:val="21"/>
                      <w:szCs w:val="21"/>
                    </w:rPr>
                    <w:t>、</w:t>
                  </w:r>
                  <w:r>
                    <w:rPr>
                      <w:rFonts w:hint="default" w:ascii="Times New Roman" w:hAnsi="Times New Roman" w:eastAsia="Times New Roman" w:cs="Times New Roman"/>
                      <w:color w:val="auto"/>
                      <w:spacing w:val="0"/>
                      <w:w w:val="100"/>
                      <w:sz w:val="21"/>
                      <w:szCs w:val="21"/>
                    </w:rPr>
                    <w:t>HJ905</w:t>
                  </w:r>
                  <w:r>
                    <w:rPr>
                      <w:rFonts w:hint="default" w:ascii="Times New Roman" w:hAnsi="Times New Roman" w:cs="Times New Roman"/>
                      <w:color w:val="auto"/>
                      <w:spacing w:val="0"/>
                      <w:w w:val="100"/>
                      <w:sz w:val="21"/>
                      <w:szCs w:val="21"/>
                    </w:rPr>
                    <w:t>的规定。</w:t>
                  </w:r>
                </w:p>
              </w:tc>
              <w:tc>
                <w:tcPr>
                  <w:tcW w:w="1876" w:type="pct"/>
                  <w:tcBorders>
                    <w:tl2br w:val="nil"/>
                    <w:tr2bl w:val="nil"/>
                  </w:tcBorders>
                  <w:vAlign w:val="center"/>
                </w:tcPr>
                <w:p w14:paraId="3B2E23E2">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项目恶臭气体的排放监测符合</w:t>
                  </w:r>
                  <w:r>
                    <w:rPr>
                      <w:rFonts w:hint="default" w:ascii="Times New Roman" w:hAnsi="Times New Roman" w:eastAsia="Times New Roman" w:cs="Times New Roman"/>
                      <w:color w:val="auto"/>
                      <w:spacing w:val="0"/>
                      <w:w w:val="100"/>
                      <w:sz w:val="21"/>
                      <w:szCs w:val="21"/>
                    </w:rPr>
                    <w:t>GB14554</w:t>
                  </w:r>
                  <w:r>
                    <w:rPr>
                      <w:rFonts w:hint="default" w:ascii="Times New Roman" w:hAnsi="Times New Roman" w:cs="Times New Roman"/>
                      <w:color w:val="auto"/>
                      <w:spacing w:val="0"/>
                      <w:w w:val="100"/>
                      <w:sz w:val="21"/>
                      <w:szCs w:val="21"/>
                    </w:rPr>
                    <w:t>、</w:t>
                  </w:r>
                  <w:r>
                    <w:rPr>
                      <w:rFonts w:hint="default" w:ascii="Times New Roman" w:hAnsi="Times New Roman" w:eastAsia="Times New Roman" w:cs="Times New Roman"/>
                      <w:color w:val="auto"/>
                      <w:spacing w:val="0"/>
                      <w:w w:val="100"/>
                      <w:sz w:val="21"/>
                      <w:szCs w:val="21"/>
                    </w:rPr>
                    <w:t>HJ905</w:t>
                  </w:r>
                  <w:r>
                    <w:rPr>
                      <w:rFonts w:hint="default" w:ascii="Times New Roman" w:hAnsi="Times New Roman" w:cs="Times New Roman"/>
                      <w:color w:val="auto"/>
                      <w:spacing w:val="0"/>
                      <w:w w:val="100"/>
                      <w:sz w:val="21"/>
                      <w:szCs w:val="21"/>
                    </w:rPr>
                    <w:t>的规定。</w:t>
                  </w:r>
                </w:p>
              </w:tc>
              <w:tc>
                <w:tcPr>
                  <w:tcW w:w="451" w:type="pct"/>
                  <w:tcBorders>
                    <w:tl2br w:val="nil"/>
                    <w:tr2bl w:val="nil"/>
                  </w:tcBorders>
                  <w:vAlign w:val="center"/>
                </w:tcPr>
                <w:p w14:paraId="288A47FE">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符合</w:t>
                  </w:r>
                </w:p>
              </w:tc>
            </w:tr>
            <w:tr w14:paraId="17F874B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5000" w:type="pct"/>
                  <w:gridSpan w:val="4"/>
                  <w:tcBorders>
                    <w:tl2br w:val="nil"/>
                    <w:tr2bl w:val="nil"/>
                  </w:tcBorders>
                  <w:vAlign w:val="center"/>
                </w:tcPr>
                <w:p w14:paraId="20652122">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w w:val="100"/>
                      <w:sz w:val="21"/>
                      <w:szCs w:val="21"/>
                    </w:rPr>
                  </w:pPr>
                  <w:r>
                    <w:rPr>
                      <w:rFonts w:hint="default" w:ascii="Times New Roman" w:hAnsi="Times New Roman" w:eastAsia="Times New Roman" w:cs="Times New Roman"/>
                      <w:color w:val="auto"/>
                      <w:spacing w:val="0"/>
                      <w:w w:val="100"/>
                      <w:sz w:val="21"/>
                      <w:szCs w:val="21"/>
                    </w:rPr>
                    <w:t>11</w:t>
                  </w:r>
                  <w:r>
                    <w:rPr>
                      <w:rFonts w:hint="eastAsia" w:ascii="Times New Roman" w:hAnsi="Times New Roman" w:eastAsia="宋体" w:cs="Times New Roman"/>
                      <w:color w:val="auto"/>
                      <w:spacing w:val="0"/>
                      <w:w w:val="100"/>
                      <w:sz w:val="21"/>
                      <w:szCs w:val="21"/>
                      <w:lang w:eastAsia="zh-CN"/>
                    </w:rPr>
                    <w:t>、</w:t>
                  </w:r>
                  <w:r>
                    <w:rPr>
                      <w:rFonts w:hint="default" w:ascii="Times New Roman" w:hAnsi="Times New Roman" w:cs="Times New Roman"/>
                      <w:color w:val="auto"/>
                      <w:spacing w:val="0"/>
                      <w:w w:val="100"/>
                      <w:sz w:val="21"/>
                      <w:szCs w:val="21"/>
                    </w:rPr>
                    <w:t>环境应急要求</w:t>
                  </w:r>
                </w:p>
              </w:tc>
            </w:tr>
            <w:tr w14:paraId="7C3061E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6" w:hRule="atLeast"/>
              </w:trPr>
              <w:tc>
                <w:tcPr>
                  <w:tcW w:w="303" w:type="pct"/>
                  <w:tcBorders>
                    <w:tl2br w:val="nil"/>
                    <w:tr2bl w:val="nil"/>
                  </w:tcBorders>
                  <w:vAlign w:val="center"/>
                </w:tcPr>
                <w:p w14:paraId="73F178B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Times New Roman" w:cs="Times New Roman"/>
                      <w:color w:val="auto"/>
                      <w:spacing w:val="0"/>
                      <w:w w:val="100"/>
                      <w:sz w:val="21"/>
                      <w:szCs w:val="21"/>
                    </w:rPr>
                  </w:pPr>
                  <w:r>
                    <w:rPr>
                      <w:rFonts w:hint="default" w:ascii="Times New Roman" w:hAnsi="Times New Roman" w:eastAsia="Times New Roman" w:cs="Times New Roman"/>
                      <w:color w:val="auto"/>
                      <w:spacing w:val="0"/>
                      <w:w w:val="100"/>
                      <w:sz w:val="21"/>
                      <w:szCs w:val="21"/>
                    </w:rPr>
                    <w:t>11.1</w:t>
                  </w:r>
                </w:p>
              </w:tc>
              <w:tc>
                <w:tcPr>
                  <w:tcW w:w="2367" w:type="pct"/>
                  <w:tcBorders>
                    <w:tl2br w:val="nil"/>
                    <w:tr2bl w:val="nil"/>
                  </w:tcBorders>
                  <w:vAlign w:val="center"/>
                </w:tcPr>
                <w:p w14:paraId="7A591BD6">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贮存设施所有者或运营者应按照国家有关规定编制突发环境事件应急预案，定期开展必要的培训和环境应急演练，并做好培训、演练记录。</w:t>
                  </w:r>
                </w:p>
              </w:tc>
              <w:tc>
                <w:tcPr>
                  <w:tcW w:w="1876" w:type="pct"/>
                  <w:tcBorders>
                    <w:tl2br w:val="nil"/>
                    <w:tr2bl w:val="nil"/>
                  </w:tcBorders>
                  <w:vAlign w:val="center"/>
                </w:tcPr>
                <w:p w14:paraId="77F71437">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项目运营者按照国家有关规定编制突发环境事件应急预案，定期开展培训和环境应急演练，并做好培训、演练记录。</w:t>
                  </w:r>
                </w:p>
              </w:tc>
              <w:tc>
                <w:tcPr>
                  <w:tcW w:w="451" w:type="pct"/>
                  <w:tcBorders>
                    <w:tl2br w:val="nil"/>
                    <w:tr2bl w:val="nil"/>
                  </w:tcBorders>
                  <w:vAlign w:val="center"/>
                </w:tcPr>
                <w:p w14:paraId="49CB29DB">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符合</w:t>
                  </w:r>
                </w:p>
              </w:tc>
            </w:tr>
            <w:tr w14:paraId="58D80AD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303" w:type="pct"/>
                  <w:tcBorders>
                    <w:tl2br w:val="nil"/>
                    <w:tr2bl w:val="nil"/>
                  </w:tcBorders>
                  <w:vAlign w:val="center"/>
                </w:tcPr>
                <w:p w14:paraId="27301AB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Times New Roman" w:cs="Times New Roman"/>
                      <w:color w:val="auto"/>
                      <w:spacing w:val="0"/>
                      <w:w w:val="100"/>
                      <w:sz w:val="21"/>
                      <w:szCs w:val="21"/>
                    </w:rPr>
                  </w:pPr>
                  <w:r>
                    <w:rPr>
                      <w:rFonts w:hint="default" w:ascii="Times New Roman" w:hAnsi="Times New Roman" w:eastAsia="Times New Roman" w:cs="Times New Roman"/>
                      <w:color w:val="auto"/>
                      <w:spacing w:val="0"/>
                      <w:w w:val="100"/>
                      <w:sz w:val="21"/>
                      <w:szCs w:val="21"/>
                    </w:rPr>
                    <w:t>11.2</w:t>
                  </w:r>
                </w:p>
              </w:tc>
              <w:tc>
                <w:tcPr>
                  <w:tcW w:w="2367" w:type="pct"/>
                  <w:tcBorders>
                    <w:tl2br w:val="nil"/>
                    <w:tr2bl w:val="nil"/>
                  </w:tcBorders>
                  <w:vAlign w:val="center"/>
                </w:tcPr>
                <w:p w14:paraId="19069F65">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贮存设施所有者或运营者应配备满足其突发环境事件应急要求的应急人员、装备和物资，并应设置应急照明系统。</w:t>
                  </w:r>
                </w:p>
              </w:tc>
              <w:tc>
                <w:tcPr>
                  <w:tcW w:w="1876" w:type="pct"/>
                  <w:tcBorders>
                    <w:tl2br w:val="nil"/>
                    <w:tr2bl w:val="nil"/>
                  </w:tcBorders>
                  <w:vAlign w:val="center"/>
                </w:tcPr>
                <w:p w14:paraId="1CAFE1F4">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项目运营者配备满足其突发环境事件应急要求的应急人员、装备和物资，并设置应急照明系统</w:t>
                  </w:r>
                </w:p>
              </w:tc>
              <w:tc>
                <w:tcPr>
                  <w:tcW w:w="451" w:type="pct"/>
                  <w:tcBorders>
                    <w:tl2br w:val="nil"/>
                    <w:tr2bl w:val="nil"/>
                  </w:tcBorders>
                  <w:vAlign w:val="center"/>
                </w:tcPr>
                <w:p w14:paraId="1581E792">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符合</w:t>
                  </w:r>
                </w:p>
              </w:tc>
            </w:tr>
            <w:tr w14:paraId="57466E7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303" w:type="pct"/>
                  <w:tcBorders>
                    <w:tl2br w:val="nil"/>
                    <w:tr2bl w:val="nil"/>
                  </w:tcBorders>
                  <w:vAlign w:val="center"/>
                </w:tcPr>
                <w:p w14:paraId="3807606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Times New Roman" w:cs="Times New Roman"/>
                      <w:color w:val="auto"/>
                      <w:spacing w:val="0"/>
                      <w:w w:val="100"/>
                      <w:sz w:val="21"/>
                      <w:szCs w:val="21"/>
                    </w:rPr>
                  </w:pPr>
                  <w:r>
                    <w:rPr>
                      <w:rFonts w:hint="default" w:ascii="Times New Roman" w:hAnsi="Times New Roman" w:eastAsia="Times New Roman" w:cs="Times New Roman"/>
                      <w:color w:val="auto"/>
                      <w:spacing w:val="0"/>
                      <w:w w:val="100"/>
                      <w:sz w:val="21"/>
                      <w:szCs w:val="21"/>
                    </w:rPr>
                    <w:t>11.3</w:t>
                  </w:r>
                </w:p>
              </w:tc>
              <w:tc>
                <w:tcPr>
                  <w:tcW w:w="2367" w:type="pct"/>
                  <w:tcBorders>
                    <w:tl2br w:val="nil"/>
                    <w:tr2bl w:val="nil"/>
                  </w:tcBorders>
                  <w:vAlign w:val="center"/>
                </w:tcPr>
                <w:p w14:paraId="6F321EBF">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相关部门发布自然灾害或恶劣天气预警后，贮存设施所有者或运营者应启动相应防控措施，若有必要可将危险废物转移至其他具有防护条件的地点贮存。</w:t>
                  </w:r>
                </w:p>
              </w:tc>
              <w:tc>
                <w:tcPr>
                  <w:tcW w:w="1876" w:type="pct"/>
                  <w:tcBorders>
                    <w:tl2br w:val="nil"/>
                    <w:tr2bl w:val="nil"/>
                  </w:tcBorders>
                  <w:vAlign w:val="center"/>
                </w:tcPr>
                <w:p w14:paraId="04E5990D">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当相关部门发布自然灾害或恶劣天气预警后，项目运营者启动相应防控措施，必要时将危险废物转移至其他具有防护条件的地点贮存。</w:t>
                  </w:r>
                </w:p>
              </w:tc>
              <w:tc>
                <w:tcPr>
                  <w:tcW w:w="451" w:type="pct"/>
                  <w:tcBorders>
                    <w:tl2br w:val="nil"/>
                    <w:tr2bl w:val="nil"/>
                  </w:tcBorders>
                  <w:vAlign w:val="center"/>
                </w:tcPr>
                <w:p w14:paraId="7A4EF106">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w w:val="100"/>
                      <w:sz w:val="21"/>
                      <w:szCs w:val="21"/>
                    </w:rPr>
                  </w:pPr>
                  <w:r>
                    <w:rPr>
                      <w:rFonts w:hint="default" w:ascii="Times New Roman" w:hAnsi="Times New Roman" w:cs="Times New Roman"/>
                      <w:color w:val="auto"/>
                      <w:spacing w:val="0"/>
                      <w:w w:val="100"/>
                      <w:sz w:val="21"/>
                      <w:szCs w:val="21"/>
                    </w:rPr>
                    <w:t>符合</w:t>
                  </w:r>
                </w:p>
              </w:tc>
            </w:tr>
          </w:tbl>
          <w:p w14:paraId="2220298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 w:val="0"/>
                <w:bCs w:val="0"/>
                <w:color w:val="auto"/>
                <w:kern w:val="0"/>
                <w:sz w:val="24"/>
                <w:szCs w:val="24"/>
                <w:lang w:val="en-US" w:eastAsia="zh-CN" w:bidi="ar"/>
              </w:rPr>
            </w:pPr>
            <w:r>
              <w:rPr>
                <w:rFonts w:hint="default" w:ascii="Times New Roman" w:hAnsi="Times New Roman" w:cs="Times New Roman"/>
                <w:b w:val="0"/>
                <w:bCs w:val="0"/>
                <w:color w:val="auto"/>
                <w:kern w:val="0"/>
                <w:sz w:val="24"/>
                <w:szCs w:val="24"/>
                <w:lang w:val="en-US" w:eastAsia="zh-CN" w:bidi="ar"/>
              </w:rPr>
              <w:t>综上，本项目的建设满足《危险废物贮存污染控制标准》（GB18597-2023）相关要求。</w:t>
            </w:r>
          </w:p>
          <w:p w14:paraId="43D2812F">
            <w:pPr>
              <w:keepNext w:val="0"/>
              <w:keepLines w:val="0"/>
              <w:pageBreakBefore w:val="0"/>
              <w:widowControl w:val="0"/>
              <w:numPr>
                <w:ilvl w:val="0"/>
                <w:numId w:val="8"/>
              </w:numPr>
              <w:kinsoku/>
              <w:wordWrap/>
              <w:overflowPunct/>
              <w:topLinePunct w:val="0"/>
              <w:autoSpaceDE/>
              <w:autoSpaceDN/>
              <w:bidi w:val="0"/>
              <w:adjustRightInd/>
              <w:snapToGrid/>
              <w:spacing w:line="360" w:lineRule="auto"/>
              <w:ind w:left="0" w:leftChars="0" w:firstLine="425" w:firstLineChars="0"/>
              <w:textAlignment w:val="auto"/>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与</w:t>
            </w:r>
            <w:r>
              <w:rPr>
                <w:color w:val="auto"/>
                <w:spacing w:val="-1"/>
                <w:sz w:val="24"/>
                <w:szCs w:val="24"/>
              </w:rPr>
              <w:t>《危险废物收集、贮存、运输技术规范》</w:t>
            </w:r>
            <w:r>
              <w:rPr>
                <w:rFonts w:hint="eastAsia" w:cs="Times New Roman"/>
                <w:color w:val="auto"/>
                <w:sz w:val="24"/>
                <w:highlight w:val="none"/>
                <w:lang w:val="en-US" w:eastAsia="zh-CN"/>
              </w:rPr>
              <w:t>的符合性分析</w:t>
            </w:r>
          </w:p>
          <w:p w14:paraId="6E0F4B6D">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firstLineChars="200"/>
              <w:textAlignment w:val="auto"/>
              <w:rPr>
                <w:rFonts w:hint="default" w:eastAsia="宋体" w:cs="Times New Roman"/>
                <w:color w:val="auto"/>
                <w:spacing w:val="0"/>
                <w:sz w:val="24"/>
                <w:highlight w:val="none"/>
                <w:lang w:val="en-US" w:eastAsia="zh-CN"/>
              </w:rPr>
            </w:pPr>
            <w:r>
              <w:rPr>
                <w:color w:val="auto"/>
                <w:spacing w:val="0"/>
                <w:sz w:val="24"/>
                <w:szCs w:val="24"/>
              </w:rPr>
              <w:t>本项目收集的危险废物在厂内暂存，定期委托第三方有资质单位进行转运，本次评价主要针对《危险废物收集、贮存、运输技术规范》（</w:t>
            </w:r>
            <w:r>
              <w:rPr>
                <w:rFonts w:ascii="Times New Roman" w:hAnsi="Times New Roman" w:eastAsia="Times New Roman" w:cs="Times New Roman"/>
                <w:color w:val="auto"/>
                <w:spacing w:val="0"/>
                <w:sz w:val="24"/>
                <w:szCs w:val="24"/>
              </w:rPr>
              <w:t>HJ 2025-2012</w:t>
            </w:r>
            <w:r>
              <w:rPr>
                <w:color w:val="auto"/>
                <w:spacing w:val="0"/>
                <w:sz w:val="24"/>
                <w:szCs w:val="24"/>
              </w:rPr>
              <w:t>）中收集运输、装卸和贮存相关内容进行符合性分析，</w:t>
            </w:r>
            <w:r>
              <w:rPr>
                <w:rFonts w:hint="eastAsia"/>
                <w:color w:val="auto"/>
                <w:spacing w:val="0"/>
                <w:sz w:val="24"/>
                <w:szCs w:val="24"/>
                <w:lang w:val="en-US" w:eastAsia="zh-CN"/>
              </w:rPr>
              <w:t>具体如下：</w:t>
            </w:r>
          </w:p>
          <w:p w14:paraId="2413907B">
            <w:pPr>
              <w:keepNext w:val="0"/>
              <w:keepLines w:val="0"/>
              <w:pageBreakBefore w:val="0"/>
              <w:widowControl w:val="0"/>
              <w:numPr>
                <w:ilvl w:val="0"/>
                <w:numId w:val="9"/>
              </w:numPr>
              <w:kinsoku/>
              <w:wordWrap/>
              <w:overflowPunct/>
              <w:topLinePunct w:val="0"/>
              <w:autoSpaceDE w:val="0"/>
              <w:autoSpaceDN w:val="0"/>
              <w:bidi w:val="0"/>
              <w:adjustRightInd w:val="0"/>
              <w:snapToGrid/>
              <w:spacing w:line="360" w:lineRule="auto"/>
              <w:ind w:left="3150" w:leftChars="0" w:hanging="3110" w:firstLineChars="0"/>
              <w:jc w:val="center"/>
              <w:textAlignment w:val="auto"/>
              <w:rPr>
                <w:rFonts w:hint="default" w:ascii="宋体" w:hAnsi="宋体" w:eastAsia="宋体" w:cs="宋体"/>
                <w:b/>
                <w:bCs/>
                <w:color w:val="auto"/>
                <w:kern w:val="0"/>
                <w:sz w:val="24"/>
                <w:szCs w:val="24"/>
                <w:lang w:val="en-US" w:eastAsia="zh-CN" w:bidi="ar"/>
              </w:rPr>
            </w:pPr>
            <w:r>
              <w:rPr>
                <w:rFonts w:hint="default" w:ascii="宋体" w:hAnsi="宋体" w:eastAsia="宋体" w:cs="宋体"/>
                <w:b/>
                <w:bCs/>
                <w:color w:val="auto"/>
                <w:kern w:val="0"/>
                <w:sz w:val="24"/>
                <w:szCs w:val="24"/>
                <w:lang w:val="en-US" w:eastAsia="zh-CN" w:bidi="ar"/>
              </w:rPr>
              <w:t>与</w:t>
            </w:r>
            <w:r>
              <w:rPr>
                <w:rFonts w:hint="eastAsia" w:ascii="宋体" w:hAnsi="宋体" w:eastAsia="宋体" w:cs="宋体"/>
                <w:b/>
                <w:bCs/>
                <w:color w:val="auto"/>
                <w:kern w:val="0"/>
                <w:sz w:val="24"/>
                <w:szCs w:val="24"/>
                <w:lang w:val="en-US" w:eastAsia="zh-CN" w:bidi="ar"/>
              </w:rPr>
              <w:t>《</w:t>
            </w:r>
            <w:r>
              <w:rPr>
                <w:rFonts w:hint="default" w:ascii="宋体" w:hAnsi="宋体" w:eastAsia="宋体" w:cs="宋体"/>
                <w:b/>
                <w:bCs/>
                <w:color w:val="auto"/>
                <w:kern w:val="0"/>
                <w:sz w:val="24"/>
                <w:szCs w:val="24"/>
                <w:lang w:val="en-US" w:eastAsia="zh-CN" w:bidi="ar"/>
              </w:rPr>
              <w:t>危险废物收集、贮存、运输技术规范</w:t>
            </w:r>
            <w:r>
              <w:rPr>
                <w:rFonts w:hint="eastAsia" w:ascii="宋体" w:hAnsi="宋体" w:eastAsia="宋体" w:cs="宋体"/>
                <w:b/>
                <w:bCs/>
                <w:color w:val="auto"/>
                <w:kern w:val="0"/>
                <w:sz w:val="24"/>
                <w:szCs w:val="24"/>
                <w:lang w:val="en-US" w:eastAsia="zh-CN" w:bidi="ar"/>
              </w:rPr>
              <w:t>》</w:t>
            </w:r>
            <w:r>
              <w:rPr>
                <w:rFonts w:hint="default" w:ascii="宋体" w:hAnsi="宋体" w:eastAsia="宋体" w:cs="宋体"/>
                <w:b/>
                <w:bCs/>
                <w:color w:val="auto"/>
                <w:kern w:val="0"/>
                <w:sz w:val="24"/>
                <w:szCs w:val="24"/>
                <w:lang w:val="en-US" w:eastAsia="zh-CN" w:bidi="ar"/>
              </w:rPr>
              <w:t>符合性分析一览表</w:t>
            </w:r>
          </w:p>
          <w:tbl>
            <w:tblPr>
              <w:tblStyle w:val="89"/>
              <w:tblW w:w="4994"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813"/>
              <w:gridCol w:w="3430"/>
              <w:gridCol w:w="2607"/>
              <w:gridCol w:w="806"/>
            </w:tblGrid>
            <w:tr w14:paraId="48A02E1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531" w:type="pct"/>
                  <w:tcBorders>
                    <w:tl2br w:val="nil"/>
                    <w:tr2bl w:val="nil"/>
                  </w:tcBorders>
                  <w:vAlign w:val="center"/>
                </w:tcPr>
                <w:p w14:paraId="7D41723F">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spacing w:val="0"/>
                      <w:sz w:val="21"/>
                      <w:szCs w:val="21"/>
                    </w:rPr>
                  </w:pPr>
                  <w:r>
                    <w:rPr>
                      <w:color w:val="auto"/>
                      <w:spacing w:val="0"/>
                      <w:sz w:val="21"/>
                      <w:szCs w:val="21"/>
                    </w:rPr>
                    <w:t>项目</w:t>
                  </w:r>
                </w:p>
              </w:tc>
              <w:tc>
                <w:tcPr>
                  <w:tcW w:w="2239" w:type="pct"/>
                  <w:tcBorders>
                    <w:tl2br w:val="nil"/>
                    <w:tr2bl w:val="nil"/>
                  </w:tcBorders>
                  <w:vAlign w:val="center"/>
                </w:tcPr>
                <w:p w14:paraId="1A8C20C7">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spacing w:val="0"/>
                      <w:sz w:val="21"/>
                      <w:szCs w:val="21"/>
                    </w:rPr>
                  </w:pPr>
                  <w:r>
                    <w:rPr>
                      <w:color w:val="auto"/>
                      <w:spacing w:val="0"/>
                      <w:sz w:val="21"/>
                      <w:szCs w:val="21"/>
                    </w:rPr>
                    <w:t>标准条款及要求</w:t>
                  </w:r>
                </w:p>
              </w:tc>
              <w:tc>
                <w:tcPr>
                  <w:tcW w:w="1702" w:type="pct"/>
                  <w:tcBorders>
                    <w:tl2br w:val="nil"/>
                    <w:tr2bl w:val="nil"/>
                  </w:tcBorders>
                  <w:vAlign w:val="center"/>
                </w:tcPr>
                <w:p w14:paraId="2A67EF52">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spacing w:val="0"/>
                      <w:sz w:val="21"/>
                      <w:szCs w:val="21"/>
                    </w:rPr>
                  </w:pPr>
                  <w:r>
                    <w:rPr>
                      <w:color w:val="auto"/>
                      <w:spacing w:val="0"/>
                      <w:sz w:val="21"/>
                      <w:szCs w:val="21"/>
                    </w:rPr>
                    <w:t>本项目情况</w:t>
                  </w:r>
                </w:p>
              </w:tc>
              <w:tc>
                <w:tcPr>
                  <w:tcW w:w="526" w:type="pct"/>
                  <w:tcBorders>
                    <w:tl2br w:val="nil"/>
                    <w:tr2bl w:val="nil"/>
                  </w:tcBorders>
                  <w:vAlign w:val="center"/>
                </w:tcPr>
                <w:p w14:paraId="7F6BCCB8">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spacing w:val="0"/>
                      <w:sz w:val="21"/>
                      <w:szCs w:val="21"/>
                    </w:rPr>
                  </w:pPr>
                  <w:r>
                    <w:rPr>
                      <w:color w:val="auto"/>
                      <w:spacing w:val="0"/>
                      <w:sz w:val="21"/>
                      <w:szCs w:val="21"/>
                    </w:rPr>
                    <w:t>符合性</w:t>
                  </w:r>
                </w:p>
              </w:tc>
            </w:tr>
            <w:tr w14:paraId="6D2E23B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531" w:type="pct"/>
                  <w:vMerge w:val="restart"/>
                  <w:tcBorders>
                    <w:tl2br w:val="nil"/>
                    <w:tr2bl w:val="nil"/>
                  </w:tcBorders>
                  <w:vAlign w:val="center"/>
                </w:tcPr>
                <w:p w14:paraId="6CCEB39D">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spacing w:val="0"/>
                      <w:sz w:val="21"/>
                      <w:szCs w:val="21"/>
                    </w:rPr>
                  </w:pPr>
                  <w:r>
                    <w:rPr>
                      <w:color w:val="auto"/>
                      <w:spacing w:val="0"/>
                      <w:sz w:val="21"/>
                      <w:szCs w:val="21"/>
                    </w:rPr>
                    <w:t>一般</w:t>
                  </w:r>
                </w:p>
                <w:p w14:paraId="416E4E6A">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spacing w:val="0"/>
                      <w:sz w:val="21"/>
                      <w:szCs w:val="21"/>
                    </w:rPr>
                  </w:pPr>
                  <w:r>
                    <w:rPr>
                      <w:color w:val="auto"/>
                      <w:spacing w:val="0"/>
                      <w:sz w:val="21"/>
                      <w:szCs w:val="21"/>
                    </w:rPr>
                    <w:t>要求</w:t>
                  </w:r>
                </w:p>
              </w:tc>
              <w:tc>
                <w:tcPr>
                  <w:tcW w:w="2239" w:type="pct"/>
                  <w:tcBorders>
                    <w:tl2br w:val="nil"/>
                    <w:tr2bl w:val="nil"/>
                  </w:tcBorders>
                  <w:vAlign w:val="center"/>
                </w:tcPr>
                <w:p w14:paraId="70807718">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color w:val="auto"/>
                      <w:spacing w:val="0"/>
                      <w:sz w:val="21"/>
                      <w:szCs w:val="21"/>
                    </w:rPr>
                  </w:pPr>
                  <w:r>
                    <w:rPr>
                      <w:rFonts w:ascii="Times New Roman" w:hAnsi="Times New Roman" w:eastAsia="Times New Roman" w:cs="Times New Roman"/>
                      <w:color w:val="auto"/>
                      <w:spacing w:val="0"/>
                      <w:sz w:val="21"/>
                      <w:szCs w:val="21"/>
                    </w:rPr>
                    <w:t>4.1</w:t>
                  </w:r>
                  <w:r>
                    <w:rPr>
                      <w:color w:val="auto"/>
                      <w:spacing w:val="0"/>
                      <w:sz w:val="21"/>
                      <w:szCs w:val="21"/>
                    </w:rPr>
                    <w:t>从事危险废物收集、贮存、运输经营活动的单位应具有危险废物经营许可证</w:t>
                  </w:r>
                </w:p>
              </w:tc>
              <w:tc>
                <w:tcPr>
                  <w:tcW w:w="1702" w:type="pct"/>
                  <w:tcBorders>
                    <w:tl2br w:val="nil"/>
                    <w:tr2bl w:val="nil"/>
                  </w:tcBorders>
                  <w:vAlign w:val="center"/>
                </w:tcPr>
                <w:p w14:paraId="2D35C2D0">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eastAsia="宋体"/>
                      <w:color w:val="auto"/>
                      <w:spacing w:val="0"/>
                      <w:sz w:val="21"/>
                      <w:szCs w:val="21"/>
                      <w:lang w:val="en-US" w:eastAsia="zh-CN"/>
                    </w:rPr>
                  </w:pPr>
                  <w:r>
                    <w:rPr>
                      <w:rFonts w:hint="eastAsia"/>
                      <w:color w:val="auto"/>
                      <w:spacing w:val="0"/>
                      <w:sz w:val="21"/>
                      <w:szCs w:val="21"/>
                      <w:lang w:val="en-US" w:eastAsia="zh-CN"/>
                    </w:rPr>
                    <w:t>现有项目已取得危险废物经营许可证。搬迁后将依规办理经营许可证重新申请</w:t>
                  </w:r>
                </w:p>
              </w:tc>
              <w:tc>
                <w:tcPr>
                  <w:tcW w:w="526" w:type="pct"/>
                  <w:tcBorders>
                    <w:tl2br w:val="nil"/>
                    <w:tr2bl w:val="nil"/>
                  </w:tcBorders>
                  <w:vAlign w:val="center"/>
                </w:tcPr>
                <w:p w14:paraId="4428C920">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spacing w:val="0"/>
                      <w:sz w:val="21"/>
                      <w:szCs w:val="21"/>
                    </w:rPr>
                  </w:pPr>
                  <w:r>
                    <w:rPr>
                      <w:color w:val="auto"/>
                      <w:spacing w:val="0"/>
                      <w:sz w:val="21"/>
                      <w:szCs w:val="21"/>
                    </w:rPr>
                    <w:t>符合</w:t>
                  </w:r>
                </w:p>
              </w:tc>
            </w:tr>
            <w:tr w14:paraId="5C92920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531" w:type="pct"/>
                  <w:vMerge w:val="continue"/>
                  <w:tcBorders>
                    <w:tl2br w:val="nil"/>
                    <w:tr2bl w:val="nil"/>
                  </w:tcBorders>
                  <w:vAlign w:val="center"/>
                </w:tcPr>
                <w:p w14:paraId="15A6BB65">
                  <w:pPr>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ascii="Arial"/>
                      <w:color w:val="auto"/>
                      <w:spacing w:val="0"/>
                      <w:sz w:val="21"/>
                      <w:szCs w:val="21"/>
                    </w:rPr>
                  </w:pPr>
                </w:p>
              </w:tc>
              <w:tc>
                <w:tcPr>
                  <w:tcW w:w="2239" w:type="pct"/>
                  <w:tcBorders>
                    <w:tl2br w:val="nil"/>
                    <w:tr2bl w:val="nil"/>
                  </w:tcBorders>
                  <w:vAlign w:val="center"/>
                </w:tcPr>
                <w:p w14:paraId="68E8679D">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color w:val="auto"/>
                      <w:spacing w:val="0"/>
                      <w:sz w:val="21"/>
                      <w:szCs w:val="21"/>
                    </w:rPr>
                  </w:pPr>
                  <w:r>
                    <w:rPr>
                      <w:rFonts w:ascii="Times New Roman" w:hAnsi="Times New Roman" w:eastAsia="Times New Roman" w:cs="Times New Roman"/>
                      <w:color w:val="auto"/>
                      <w:spacing w:val="0"/>
                      <w:sz w:val="21"/>
                      <w:szCs w:val="21"/>
                    </w:rPr>
                    <w:t>4.2</w:t>
                  </w:r>
                  <w:r>
                    <w:rPr>
                      <w:color w:val="auto"/>
                      <w:spacing w:val="0"/>
                      <w:sz w:val="21"/>
                      <w:szCs w:val="21"/>
                    </w:rPr>
                    <w:t>危险废物转移过程应按《危险废物转移联单管理办法》执行</w:t>
                  </w:r>
                </w:p>
              </w:tc>
              <w:tc>
                <w:tcPr>
                  <w:tcW w:w="1702" w:type="pct"/>
                  <w:tcBorders>
                    <w:tl2br w:val="nil"/>
                    <w:tr2bl w:val="nil"/>
                  </w:tcBorders>
                  <w:vAlign w:val="center"/>
                </w:tcPr>
                <w:p w14:paraId="7E7C7717">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eastAsia" w:eastAsia="宋体"/>
                      <w:color w:val="auto"/>
                      <w:spacing w:val="0"/>
                      <w:sz w:val="21"/>
                      <w:szCs w:val="21"/>
                      <w:lang w:val="en-US" w:eastAsia="zh-CN"/>
                    </w:rPr>
                  </w:pPr>
                  <w:r>
                    <w:rPr>
                      <w:color w:val="auto"/>
                      <w:spacing w:val="0"/>
                      <w:sz w:val="21"/>
                      <w:szCs w:val="21"/>
                    </w:rPr>
                    <w:t>本项目将严格执行《危险废物转移管理办法》制度</w:t>
                  </w:r>
                </w:p>
              </w:tc>
              <w:tc>
                <w:tcPr>
                  <w:tcW w:w="526" w:type="pct"/>
                  <w:tcBorders>
                    <w:tl2br w:val="nil"/>
                    <w:tr2bl w:val="nil"/>
                  </w:tcBorders>
                  <w:vAlign w:val="center"/>
                </w:tcPr>
                <w:p w14:paraId="1C07FCCD">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spacing w:val="0"/>
                      <w:sz w:val="21"/>
                      <w:szCs w:val="21"/>
                    </w:rPr>
                  </w:pPr>
                  <w:r>
                    <w:rPr>
                      <w:color w:val="auto"/>
                      <w:spacing w:val="0"/>
                      <w:sz w:val="21"/>
                      <w:szCs w:val="21"/>
                    </w:rPr>
                    <w:t>符合</w:t>
                  </w:r>
                </w:p>
              </w:tc>
            </w:tr>
            <w:tr w14:paraId="7F29645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531" w:type="pct"/>
                  <w:vMerge w:val="continue"/>
                  <w:tcBorders>
                    <w:tl2br w:val="nil"/>
                    <w:tr2bl w:val="nil"/>
                  </w:tcBorders>
                  <w:vAlign w:val="center"/>
                </w:tcPr>
                <w:p w14:paraId="12D5EEF5">
                  <w:pPr>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ascii="Arial"/>
                      <w:color w:val="auto"/>
                      <w:spacing w:val="0"/>
                      <w:sz w:val="21"/>
                      <w:szCs w:val="21"/>
                    </w:rPr>
                  </w:pPr>
                </w:p>
              </w:tc>
              <w:tc>
                <w:tcPr>
                  <w:tcW w:w="2239" w:type="pct"/>
                  <w:tcBorders>
                    <w:tl2br w:val="nil"/>
                    <w:tr2bl w:val="nil"/>
                  </w:tcBorders>
                  <w:vAlign w:val="center"/>
                </w:tcPr>
                <w:p w14:paraId="7F97FE56">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color w:val="auto"/>
                      <w:spacing w:val="0"/>
                      <w:sz w:val="21"/>
                      <w:szCs w:val="21"/>
                    </w:rPr>
                  </w:pPr>
                  <w:r>
                    <w:rPr>
                      <w:rFonts w:ascii="Times New Roman" w:hAnsi="Times New Roman" w:eastAsia="Times New Roman" w:cs="Times New Roman"/>
                      <w:color w:val="auto"/>
                      <w:spacing w:val="0"/>
                      <w:sz w:val="21"/>
                      <w:szCs w:val="21"/>
                    </w:rPr>
                    <w:t>4.6</w:t>
                  </w:r>
                  <w:r>
                    <w:rPr>
                      <w:color w:val="auto"/>
                      <w:spacing w:val="0"/>
                      <w:sz w:val="21"/>
                      <w:szCs w:val="21"/>
                    </w:rPr>
                    <w:t>危险废物收集、贮存、运输时应按腐蚀性、毒性、易燃性、反应性和感染性等危险特性对危险废物进行分类、包装并设置相应的标志及标签。危险废物特性应根据其产生源特性及</w:t>
                  </w:r>
                  <w:r>
                    <w:rPr>
                      <w:rFonts w:ascii="Times New Roman" w:hAnsi="Times New Roman" w:eastAsia="Times New Roman" w:cs="Times New Roman"/>
                      <w:color w:val="auto"/>
                      <w:spacing w:val="0"/>
                      <w:sz w:val="21"/>
                      <w:szCs w:val="21"/>
                    </w:rPr>
                    <w:t>GB5085.1-7</w:t>
                  </w:r>
                  <w:r>
                    <w:rPr>
                      <w:color w:val="auto"/>
                      <w:spacing w:val="0"/>
                      <w:sz w:val="21"/>
                      <w:szCs w:val="21"/>
                    </w:rPr>
                    <w:t>、</w:t>
                  </w:r>
                  <w:r>
                    <w:rPr>
                      <w:rFonts w:ascii="Times New Roman" w:hAnsi="Times New Roman" w:eastAsia="Times New Roman" w:cs="Times New Roman"/>
                      <w:color w:val="auto"/>
                      <w:spacing w:val="0"/>
                      <w:sz w:val="21"/>
                      <w:szCs w:val="21"/>
                    </w:rPr>
                    <w:t>HJ/T298</w:t>
                  </w:r>
                  <w:r>
                    <w:rPr>
                      <w:color w:val="auto"/>
                      <w:spacing w:val="0"/>
                      <w:sz w:val="21"/>
                      <w:szCs w:val="21"/>
                    </w:rPr>
                    <w:t>进行鉴别</w:t>
                  </w:r>
                </w:p>
              </w:tc>
              <w:tc>
                <w:tcPr>
                  <w:tcW w:w="1702" w:type="pct"/>
                  <w:tcBorders>
                    <w:tl2br w:val="nil"/>
                    <w:tr2bl w:val="nil"/>
                  </w:tcBorders>
                  <w:vAlign w:val="center"/>
                </w:tcPr>
                <w:p w14:paraId="02038182">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color w:val="auto"/>
                      <w:spacing w:val="0"/>
                      <w:sz w:val="21"/>
                      <w:szCs w:val="21"/>
                    </w:rPr>
                  </w:pPr>
                  <w:r>
                    <w:rPr>
                      <w:color w:val="auto"/>
                      <w:spacing w:val="0"/>
                      <w:sz w:val="21"/>
                      <w:szCs w:val="21"/>
                    </w:rPr>
                    <w:t>项目</w:t>
                  </w:r>
                  <w:r>
                    <w:rPr>
                      <w:rFonts w:hint="eastAsia"/>
                      <w:color w:val="auto"/>
                      <w:spacing w:val="0"/>
                      <w:sz w:val="21"/>
                      <w:szCs w:val="21"/>
                      <w:lang w:val="en-US" w:eastAsia="zh-CN"/>
                    </w:rPr>
                    <w:t>按要求</w:t>
                  </w:r>
                  <w:r>
                    <w:rPr>
                      <w:color w:val="auto"/>
                      <w:spacing w:val="0"/>
                      <w:sz w:val="21"/>
                      <w:szCs w:val="21"/>
                    </w:rPr>
                    <w:t>对危险废物进行分类、包装并设置相应的标志及标签。</w:t>
                  </w:r>
                </w:p>
              </w:tc>
              <w:tc>
                <w:tcPr>
                  <w:tcW w:w="526" w:type="pct"/>
                  <w:tcBorders>
                    <w:tl2br w:val="nil"/>
                    <w:tr2bl w:val="nil"/>
                  </w:tcBorders>
                  <w:vAlign w:val="center"/>
                </w:tcPr>
                <w:p w14:paraId="6019DF14">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spacing w:val="0"/>
                      <w:sz w:val="21"/>
                      <w:szCs w:val="21"/>
                    </w:rPr>
                  </w:pPr>
                  <w:r>
                    <w:rPr>
                      <w:color w:val="auto"/>
                      <w:spacing w:val="0"/>
                      <w:sz w:val="21"/>
                      <w:szCs w:val="21"/>
                    </w:rPr>
                    <w:t>符合</w:t>
                  </w:r>
                </w:p>
              </w:tc>
            </w:tr>
            <w:tr w14:paraId="5D9BADC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55" w:hRule="atLeast"/>
              </w:trPr>
              <w:tc>
                <w:tcPr>
                  <w:tcW w:w="531" w:type="pct"/>
                  <w:vMerge w:val="continue"/>
                  <w:tcBorders>
                    <w:tl2br w:val="nil"/>
                    <w:tr2bl w:val="nil"/>
                  </w:tcBorders>
                  <w:vAlign w:val="center"/>
                </w:tcPr>
                <w:p w14:paraId="70A1B5DC">
                  <w:pPr>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ascii="Arial"/>
                      <w:color w:val="auto"/>
                      <w:spacing w:val="0"/>
                      <w:sz w:val="21"/>
                      <w:szCs w:val="21"/>
                    </w:rPr>
                  </w:pPr>
                </w:p>
              </w:tc>
              <w:tc>
                <w:tcPr>
                  <w:tcW w:w="2239" w:type="pct"/>
                  <w:tcBorders>
                    <w:tl2br w:val="nil"/>
                    <w:tr2bl w:val="nil"/>
                  </w:tcBorders>
                  <w:vAlign w:val="center"/>
                </w:tcPr>
                <w:p w14:paraId="69744E41">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color w:val="auto"/>
                      <w:spacing w:val="0"/>
                      <w:sz w:val="21"/>
                      <w:szCs w:val="21"/>
                    </w:rPr>
                  </w:pPr>
                  <w:r>
                    <w:rPr>
                      <w:rFonts w:ascii="Times New Roman" w:hAnsi="Times New Roman" w:eastAsia="Times New Roman" w:cs="Times New Roman"/>
                      <w:color w:val="auto"/>
                      <w:spacing w:val="0"/>
                      <w:sz w:val="21"/>
                      <w:szCs w:val="21"/>
                    </w:rPr>
                    <w:t>5.3</w:t>
                  </w:r>
                  <w:r>
                    <w:rPr>
                      <w:color w:val="auto"/>
                      <w:spacing w:val="0"/>
                      <w:sz w:val="21"/>
                      <w:szCs w:val="21"/>
                    </w:rPr>
                    <w:t>危险废物的收集应制定详细的操作规程，内容至少应包括适用范围、操作程序和方法、专用设备和工具、转移和交接、安全保障和应急防护等。</w:t>
                  </w:r>
                </w:p>
              </w:tc>
              <w:tc>
                <w:tcPr>
                  <w:tcW w:w="1702" w:type="pct"/>
                  <w:tcBorders>
                    <w:tl2br w:val="nil"/>
                    <w:tr2bl w:val="nil"/>
                  </w:tcBorders>
                  <w:vAlign w:val="center"/>
                </w:tcPr>
                <w:p w14:paraId="3C6B1145">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color w:val="auto"/>
                      <w:spacing w:val="0"/>
                      <w:sz w:val="21"/>
                      <w:szCs w:val="21"/>
                    </w:rPr>
                  </w:pPr>
                  <w:r>
                    <w:rPr>
                      <w:color w:val="auto"/>
                      <w:spacing w:val="0"/>
                      <w:sz w:val="21"/>
                      <w:szCs w:val="21"/>
                    </w:rPr>
                    <w:t>项目危险废物在收集时将制定详细的操作规程</w:t>
                  </w:r>
                  <w:r>
                    <w:rPr>
                      <w:rFonts w:hint="eastAsia"/>
                      <w:color w:val="auto"/>
                      <w:spacing w:val="0"/>
                      <w:sz w:val="21"/>
                      <w:szCs w:val="21"/>
                      <w:lang w:val="en-US" w:eastAsia="zh-CN"/>
                    </w:rPr>
                    <w:t>进行</w:t>
                  </w:r>
                  <w:r>
                    <w:rPr>
                      <w:color w:val="auto"/>
                      <w:spacing w:val="0"/>
                      <w:sz w:val="21"/>
                      <w:szCs w:val="21"/>
                    </w:rPr>
                    <w:t>。</w:t>
                  </w:r>
                </w:p>
              </w:tc>
              <w:tc>
                <w:tcPr>
                  <w:tcW w:w="526" w:type="pct"/>
                  <w:tcBorders>
                    <w:tl2br w:val="nil"/>
                    <w:tr2bl w:val="nil"/>
                  </w:tcBorders>
                  <w:vAlign w:val="center"/>
                </w:tcPr>
                <w:p w14:paraId="6FF99217">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spacing w:val="0"/>
                      <w:sz w:val="21"/>
                      <w:szCs w:val="21"/>
                    </w:rPr>
                  </w:pPr>
                  <w:r>
                    <w:rPr>
                      <w:color w:val="auto"/>
                      <w:spacing w:val="0"/>
                      <w:sz w:val="21"/>
                      <w:szCs w:val="21"/>
                    </w:rPr>
                    <w:t>符合</w:t>
                  </w:r>
                </w:p>
              </w:tc>
            </w:tr>
            <w:tr w14:paraId="63374B7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7" w:hRule="atLeast"/>
              </w:trPr>
              <w:tc>
                <w:tcPr>
                  <w:tcW w:w="531" w:type="pct"/>
                  <w:vMerge w:val="continue"/>
                  <w:tcBorders>
                    <w:tl2br w:val="nil"/>
                    <w:tr2bl w:val="nil"/>
                  </w:tcBorders>
                  <w:vAlign w:val="center"/>
                </w:tcPr>
                <w:p w14:paraId="03F706A1">
                  <w:pPr>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ascii="Arial"/>
                      <w:color w:val="auto"/>
                      <w:spacing w:val="0"/>
                      <w:sz w:val="21"/>
                      <w:szCs w:val="21"/>
                    </w:rPr>
                  </w:pPr>
                </w:p>
              </w:tc>
              <w:tc>
                <w:tcPr>
                  <w:tcW w:w="2239" w:type="pct"/>
                  <w:tcBorders>
                    <w:tl2br w:val="nil"/>
                    <w:tr2bl w:val="nil"/>
                  </w:tcBorders>
                  <w:vAlign w:val="center"/>
                </w:tcPr>
                <w:p w14:paraId="762CD343">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color w:val="auto"/>
                      <w:spacing w:val="0"/>
                      <w:sz w:val="21"/>
                      <w:szCs w:val="21"/>
                    </w:rPr>
                  </w:pPr>
                  <w:r>
                    <w:rPr>
                      <w:rFonts w:ascii="Times New Roman" w:hAnsi="Times New Roman" w:eastAsia="Times New Roman" w:cs="Times New Roman"/>
                      <w:color w:val="auto"/>
                      <w:spacing w:val="0"/>
                      <w:sz w:val="21"/>
                      <w:szCs w:val="21"/>
                    </w:rPr>
                    <w:t>5.4</w:t>
                  </w:r>
                  <w:r>
                    <w:rPr>
                      <w:color w:val="auto"/>
                      <w:spacing w:val="0"/>
                      <w:sz w:val="21"/>
                      <w:szCs w:val="21"/>
                    </w:rPr>
                    <w:t>危险废物收集和转运作业人员应根据工作需要配备必要的个人防护装备，如手套、防护镜、防护服、防毒面具或口罩等。</w:t>
                  </w:r>
                </w:p>
              </w:tc>
              <w:tc>
                <w:tcPr>
                  <w:tcW w:w="1702" w:type="pct"/>
                  <w:tcBorders>
                    <w:tl2br w:val="nil"/>
                    <w:tr2bl w:val="nil"/>
                  </w:tcBorders>
                  <w:vAlign w:val="center"/>
                </w:tcPr>
                <w:p w14:paraId="04FA6A3F">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color w:val="auto"/>
                      <w:spacing w:val="0"/>
                      <w:sz w:val="21"/>
                      <w:szCs w:val="21"/>
                    </w:rPr>
                  </w:pPr>
                  <w:r>
                    <w:rPr>
                      <w:color w:val="auto"/>
                      <w:spacing w:val="0"/>
                      <w:sz w:val="21"/>
                      <w:szCs w:val="21"/>
                    </w:rPr>
                    <w:t>项目危险废物收集和转运作业人员将配备手套、防护镜、防护服、防毒面具或口罩等必要的个人防护装备。</w:t>
                  </w:r>
                </w:p>
              </w:tc>
              <w:tc>
                <w:tcPr>
                  <w:tcW w:w="526" w:type="pct"/>
                  <w:tcBorders>
                    <w:tl2br w:val="nil"/>
                    <w:tr2bl w:val="nil"/>
                  </w:tcBorders>
                  <w:vAlign w:val="center"/>
                </w:tcPr>
                <w:p w14:paraId="1EF1A827">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spacing w:val="0"/>
                      <w:sz w:val="21"/>
                      <w:szCs w:val="21"/>
                    </w:rPr>
                  </w:pPr>
                  <w:r>
                    <w:rPr>
                      <w:color w:val="auto"/>
                      <w:spacing w:val="0"/>
                      <w:sz w:val="21"/>
                      <w:szCs w:val="21"/>
                    </w:rPr>
                    <w:t>符合</w:t>
                  </w:r>
                </w:p>
              </w:tc>
            </w:tr>
            <w:tr w14:paraId="45DFEDE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531" w:type="pct"/>
                  <w:vMerge w:val="continue"/>
                  <w:tcBorders>
                    <w:tl2br w:val="nil"/>
                    <w:tr2bl w:val="nil"/>
                  </w:tcBorders>
                  <w:vAlign w:val="center"/>
                </w:tcPr>
                <w:p w14:paraId="51668AAF">
                  <w:pPr>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ascii="Arial"/>
                      <w:color w:val="auto"/>
                      <w:spacing w:val="0"/>
                      <w:sz w:val="21"/>
                      <w:szCs w:val="21"/>
                    </w:rPr>
                  </w:pPr>
                </w:p>
              </w:tc>
              <w:tc>
                <w:tcPr>
                  <w:tcW w:w="2239" w:type="pct"/>
                  <w:tcBorders>
                    <w:tl2br w:val="nil"/>
                    <w:tr2bl w:val="nil"/>
                  </w:tcBorders>
                  <w:vAlign w:val="center"/>
                </w:tcPr>
                <w:p w14:paraId="7E210296">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color w:val="auto"/>
                      <w:spacing w:val="0"/>
                      <w:sz w:val="21"/>
                      <w:szCs w:val="21"/>
                    </w:rPr>
                  </w:pPr>
                  <w:r>
                    <w:rPr>
                      <w:rFonts w:ascii="Times New Roman" w:hAnsi="Times New Roman" w:eastAsia="Times New Roman" w:cs="Times New Roman"/>
                      <w:color w:val="auto"/>
                      <w:spacing w:val="0"/>
                      <w:sz w:val="21"/>
                      <w:szCs w:val="21"/>
                    </w:rPr>
                    <w:t>5.5</w:t>
                  </w:r>
                  <w:r>
                    <w:rPr>
                      <w:color w:val="auto"/>
                      <w:spacing w:val="0"/>
                      <w:sz w:val="21"/>
                      <w:szCs w:val="21"/>
                    </w:rPr>
                    <w:t>在危险废物的收集和转运过程中，应采取相应的安全防护和污染防治措施，包括防爆、防火、防中毒、防感染、防泄漏、防飞扬、防雨或其它防止污染环境的措施。</w:t>
                  </w:r>
                </w:p>
              </w:tc>
              <w:tc>
                <w:tcPr>
                  <w:tcW w:w="1702" w:type="pct"/>
                  <w:tcBorders>
                    <w:tl2br w:val="nil"/>
                    <w:tr2bl w:val="nil"/>
                  </w:tcBorders>
                  <w:vAlign w:val="center"/>
                </w:tcPr>
                <w:p w14:paraId="5C91B3EA">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color w:val="auto"/>
                      <w:spacing w:val="0"/>
                      <w:sz w:val="21"/>
                      <w:szCs w:val="21"/>
                    </w:rPr>
                  </w:pPr>
                  <w:r>
                    <w:rPr>
                      <w:color w:val="auto"/>
                      <w:spacing w:val="0"/>
                      <w:sz w:val="21"/>
                      <w:szCs w:val="21"/>
                    </w:rPr>
                    <w:t>本项目在危险废物的收集和转运过程中将采取防火、防中毒、防感染、防泄漏、防飞扬、防雨等防止污染环境的措施和安全防护措施。</w:t>
                  </w:r>
                </w:p>
              </w:tc>
              <w:tc>
                <w:tcPr>
                  <w:tcW w:w="526" w:type="pct"/>
                  <w:tcBorders>
                    <w:tl2br w:val="nil"/>
                    <w:tr2bl w:val="nil"/>
                  </w:tcBorders>
                  <w:vAlign w:val="center"/>
                </w:tcPr>
                <w:p w14:paraId="03989785">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spacing w:val="0"/>
                      <w:sz w:val="21"/>
                      <w:szCs w:val="21"/>
                    </w:rPr>
                  </w:pPr>
                  <w:r>
                    <w:rPr>
                      <w:color w:val="auto"/>
                      <w:spacing w:val="0"/>
                      <w:sz w:val="21"/>
                      <w:szCs w:val="21"/>
                    </w:rPr>
                    <w:t>符合</w:t>
                  </w:r>
                </w:p>
              </w:tc>
            </w:tr>
            <w:tr w14:paraId="622C6A7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531" w:type="pct"/>
                  <w:vMerge w:val="continue"/>
                  <w:tcBorders>
                    <w:tl2br w:val="nil"/>
                    <w:tr2bl w:val="nil"/>
                  </w:tcBorders>
                  <w:vAlign w:val="center"/>
                </w:tcPr>
                <w:p w14:paraId="2A8A750F">
                  <w:pPr>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ascii="Arial"/>
                      <w:color w:val="auto"/>
                      <w:spacing w:val="0"/>
                      <w:sz w:val="21"/>
                      <w:szCs w:val="21"/>
                    </w:rPr>
                  </w:pPr>
                </w:p>
              </w:tc>
              <w:tc>
                <w:tcPr>
                  <w:tcW w:w="2239" w:type="pct"/>
                  <w:tcBorders>
                    <w:tl2br w:val="nil"/>
                    <w:tr2bl w:val="nil"/>
                  </w:tcBorders>
                  <w:vAlign w:val="center"/>
                </w:tcPr>
                <w:p w14:paraId="13DCBB63">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color w:val="auto"/>
                      <w:spacing w:val="0"/>
                      <w:sz w:val="21"/>
                      <w:szCs w:val="21"/>
                    </w:rPr>
                  </w:pPr>
                  <w:r>
                    <w:rPr>
                      <w:rFonts w:ascii="Times New Roman" w:hAnsi="Times New Roman" w:eastAsia="Times New Roman" w:cs="Times New Roman"/>
                      <w:color w:val="auto"/>
                      <w:spacing w:val="0"/>
                      <w:sz w:val="21"/>
                      <w:szCs w:val="21"/>
                    </w:rPr>
                    <w:t>5.6</w:t>
                  </w:r>
                  <w:r>
                    <w:rPr>
                      <w:color w:val="auto"/>
                      <w:spacing w:val="0"/>
                      <w:sz w:val="21"/>
                      <w:szCs w:val="21"/>
                    </w:rPr>
                    <w:t>危险废物收集时应根据危险废物的种类、数量、危险特性、物理形态、运输要求等因素确定包装形式，具体包装应符合如下要求：（</w:t>
                  </w:r>
                  <w:r>
                    <w:rPr>
                      <w:rFonts w:ascii="Times New Roman" w:hAnsi="Times New Roman" w:eastAsia="Times New Roman" w:cs="Times New Roman"/>
                      <w:color w:val="auto"/>
                      <w:spacing w:val="0"/>
                      <w:sz w:val="21"/>
                      <w:szCs w:val="21"/>
                    </w:rPr>
                    <w:t>1</w:t>
                  </w:r>
                  <w:r>
                    <w:rPr>
                      <w:color w:val="auto"/>
                      <w:spacing w:val="0"/>
                      <w:sz w:val="21"/>
                      <w:szCs w:val="21"/>
                    </w:rPr>
                    <w:t>）包装材质要与危险废物相容，可根据废物特性选择钢、铝、塑料等材质。（</w:t>
                  </w:r>
                  <w:r>
                    <w:rPr>
                      <w:rFonts w:ascii="Times New Roman" w:hAnsi="Times New Roman" w:eastAsia="Times New Roman" w:cs="Times New Roman"/>
                      <w:color w:val="auto"/>
                      <w:spacing w:val="0"/>
                      <w:sz w:val="21"/>
                      <w:szCs w:val="21"/>
                    </w:rPr>
                    <w:t>2</w:t>
                  </w:r>
                  <w:r>
                    <w:rPr>
                      <w:color w:val="auto"/>
                      <w:spacing w:val="0"/>
                      <w:sz w:val="21"/>
                      <w:szCs w:val="21"/>
                    </w:rPr>
                    <w:t>）性质类似的废物可收集到同一容器中，性质不相容的危险废物不应混合包装。（</w:t>
                  </w:r>
                  <w:r>
                    <w:rPr>
                      <w:rFonts w:ascii="Times New Roman" w:hAnsi="Times New Roman" w:eastAsia="Times New Roman" w:cs="Times New Roman"/>
                      <w:color w:val="auto"/>
                      <w:spacing w:val="0"/>
                      <w:sz w:val="21"/>
                      <w:szCs w:val="21"/>
                    </w:rPr>
                    <w:t>3</w:t>
                  </w:r>
                  <w:r>
                    <w:rPr>
                      <w:color w:val="auto"/>
                      <w:spacing w:val="0"/>
                      <w:sz w:val="21"/>
                      <w:szCs w:val="21"/>
                    </w:rPr>
                    <w:t>）危险废物包装应能有效隔断危险废物迁移扩散途径，并达到防渗防漏要求。（</w:t>
                  </w:r>
                  <w:r>
                    <w:rPr>
                      <w:rFonts w:ascii="Times New Roman" w:hAnsi="Times New Roman" w:eastAsia="Times New Roman" w:cs="Times New Roman"/>
                      <w:color w:val="auto"/>
                      <w:spacing w:val="0"/>
                      <w:sz w:val="21"/>
                      <w:szCs w:val="21"/>
                    </w:rPr>
                    <w:t>4</w:t>
                  </w:r>
                  <w:r>
                    <w:rPr>
                      <w:color w:val="auto"/>
                      <w:spacing w:val="0"/>
                      <w:sz w:val="21"/>
                      <w:szCs w:val="21"/>
                    </w:rPr>
                    <w:t>）包装好的危险废物应设置相应的标签，标签信息应填写完整翔实。（5）盛装过危险废物的包装袋或包装容器破损后应按危险废物进行管理和处置。（6）危险废物还应根据</w:t>
                  </w:r>
                  <w:r>
                    <w:rPr>
                      <w:rFonts w:ascii="Times New Roman" w:hAnsi="Times New Roman" w:eastAsia="Times New Roman" w:cs="Times New Roman"/>
                      <w:color w:val="auto"/>
                      <w:spacing w:val="0"/>
                      <w:sz w:val="21"/>
                      <w:szCs w:val="21"/>
                    </w:rPr>
                    <w:t>GB12463</w:t>
                  </w:r>
                  <w:r>
                    <w:rPr>
                      <w:color w:val="auto"/>
                      <w:spacing w:val="0"/>
                      <w:sz w:val="21"/>
                      <w:szCs w:val="21"/>
                    </w:rPr>
                    <w:t>的有关要求进行运输包装</w:t>
                  </w:r>
                </w:p>
              </w:tc>
              <w:tc>
                <w:tcPr>
                  <w:tcW w:w="1702" w:type="pct"/>
                  <w:tcBorders>
                    <w:tl2br w:val="nil"/>
                    <w:tr2bl w:val="nil"/>
                  </w:tcBorders>
                  <w:vAlign w:val="center"/>
                </w:tcPr>
                <w:p w14:paraId="1D84B983">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color w:val="auto"/>
                      <w:spacing w:val="0"/>
                      <w:sz w:val="21"/>
                      <w:szCs w:val="21"/>
                    </w:rPr>
                  </w:pPr>
                  <w:r>
                    <w:rPr>
                      <w:color w:val="auto"/>
                      <w:spacing w:val="0"/>
                      <w:sz w:val="21"/>
                      <w:szCs w:val="21"/>
                    </w:rPr>
                    <w:t>本项目危险废物收集时根据危险废物的种类、数量、危险特性、物理形态、运输要求等因素确定包装形式包装材质与危险废物相容，性质不相容的危险废物不混合包装，包装容器外设置相应的标签，破损的包装桶按危险废物进行管理和处置，危险废物根据</w:t>
                  </w:r>
                  <w:r>
                    <w:rPr>
                      <w:rFonts w:ascii="Times New Roman" w:hAnsi="Times New Roman" w:eastAsia="Times New Roman" w:cs="Times New Roman"/>
                      <w:color w:val="auto"/>
                      <w:spacing w:val="0"/>
                      <w:sz w:val="21"/>
                      <w:szCs w:val="21"/>
                    </w:rPr>
                    <w:t>GB12463</w:t>
                  </w:r>
                  <w:r>
                    <w:rPr>
                      <w:color w:val="auto"/>
                      <w:spacing w:val="0"/>
                      <w:sz w:val="21"/>
                      <w:szCs w:val="21"/>
                    </w:rPr>
                    <w:t>的有关要求进行运输包装。</w:t>
                  </w:r>
                </w:p>
              </w:tc>
              <w:tc>
                <w:tcPr>
                  <w:tcW w:w="526" w:type="pct"/>
                  <w:tcBorders>
                    <w:tl2br w:val="nil"/>
                    <w:tr2bl w:val="nil"/>
                  </w:tcBorders>
                  <w:vAlign w:val="center"/>
                </w:tcPr>
                <w:p w14:paraId="16706053">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spacing w:val="0"/>
                      <w:sz w:val="21"/>
                      <w:szCs w:val="21"/>
                    </w:rPr>
                  </w:pPr>
                  <w:r>
                    <w:rPr>
                      <w:color w:val="auto"/>
                      <w:spacing w:val="0"/>
                      <w:sz w:val="21"/>
                      <w:szCs w:val="21"/>
                    </w:rPr>
                    <w:t>符合</w:t>
                  </w:r>
                </w:p>
              </w:tc>
            </w:tr>
            <w:tr w14:paraId="5404FA8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531" w:type="pct"/>
                  <w:vMerge w:val="continue"/>
                  <w:vAlign w:val="center"/>
                </w:tcPr>
                <w:p w14:paraId="1091582B">
                  <w:pPr>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ascii="Arial"/>
                      <w:color w:val="auto"/>
                      <w:spacing w:val="0"/>
                      <w:sz w:val="21"/>
                      <w:szCs w:val="21"/>
                    </w:rPr>
                  </w:pPr>
                </w:p>
              </w:tc>
              <w:tc>
                <w:tcPr>
                  <w:tcW w:w="2239" w:type="pct"/>
                  <w:vAlign w:val="center"/>
                </w:tcPr>
                <w:p w14:paraId="7F511DCE">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color w:val="auto"/>
                      <w:spacing w:val="0"/>
                      <w:sz w:val="21"/>
                      <w:szCs w:val="21"/>
                    </w:rPr>
                  </w:pPr>
                  <w:r>
                    <w:rPr>
                      <w:rFonts w:ascii="Times New Roman" w:hAnsi="Times New Roman" w:eastAsia="Times New Roman" w:cs="Times New Roman"/>
                      <w:color w:val="auto"/>
                      <w:spacing w:val="0"/>
                      <w:sz w:val="21"/>
                      <w:szCs w:val="21"/>
                    </w:rPr>
                    <w:t>5.7</w:t>
                  </w:r>
                  <w:r>
                    <w:rPr>
                      <w:color w:val="auto"/>
                      <w:spacing w:val="0"/>
                      <w:sz w:val="21"/>
                      <w:szCs w:val="21"/>
                    </w:rPr>
                    <w:t>危险废物的收集作业应满足如下要求：（</w:t>
                  </w:r>
                  <w:r>
                    <w:rPr>
                      <w:rFonts w:ascii="Times New Roman" w:hAnsi="Times New Roman" w:eastAsia="Times New Roman" w:cs="Times New Roman"/>
                      <w:color w:val="auto"/>
                      <w:spacing w:val="0"/>
                      <w:sz w:val="21"/>
                      <w:szCs w:val="21"/>
                    </w:rPr>
                    <w:t>1</w:t>
                  </w:r>
                  <w:r>
                    <w:rPr>
                      <w:color w:val="auto"/>
                      <w:spacing w:val="0"/>
                      <w:sz w:val="21"/>
                      <w:szCs w:val="21"/>
                    </w:rPr>
                    <w:t>）应根据收集设备、转运车辆以及现场人员等实际情况确定相应作业区域，同时要设置作业界限标志和警示牌。（</w:t>
                  </w:r>
                  <w:r>
                    <w:rPr>
                      <w:rFonts w:ascii="Times New Roman" w:hAnsi="Times New Roman" w:eastAsia="Times New Roman" w:cs="Times New Roman"/>
                      <w:color w:val="auto"/>
                      <w:spacing w:val="0"/>
                      <w:sz w:val="21"/>
                      <w:szCs w:val="21"/>
                    </w:rPr>
                    <w:t>2</w:t>
                  </w:r>
                  <w:r>
                    <w:rPr>
                      <w:color w:val="auto"/>
                      <w:spacing w:val="0"/>
                      <w:sz w:val="21"/>
                      <w:szCs w:val="21"/>
                    </w:rPr>
                    <w:t>）作业区域内应设置危险废物收集专用通道和人员避险通道。（</w:t>
                  </w:r>
                  <w:r>
                    <w:rPr>
                      <w:rFonts w:ascii="Times New Roman" w:hAnsi="Times New Roman" w:eastAsia="Times New Roman" w:cs="Times New Roman"/>
                      <w:color w:val="auto"/>
                      <w:spacing w:val="0"/>
                      <w:sz w:val="21"/>
                      <w:szCs w:val="21"/>
                    </w:rPr>
                    <w:t>3</w:t>
                  </w:r>
                  <w:r>
                    <w:rPr>
                      <w:color w:val="auto"/>
                      <w:spacing w:val="0"/>
                      <w:sz w:val="21"/>
                      <w:szCs w:val="21"/>
                    </w:rPr>
                    <w:t>）收集时应配备必要的收集工具和包装物，以及必要的应急监测设备及应急装备。（</w:t>
                  </w:r>
                  <w:r>
                    <w:rPr>
                      <w:rFonts w:ascii="Times New Roman" w:hAnsi="Times New Roman" w:eastAsia="Times New Roman" w:cs="Times New Roman"/>
                      <w:color w:val="auto"/>
                      <w:spacing w:val="0"/>
                      <w:sz w:val="21"/>
                      <w:szCs w:val="21"/>
                    </w:rPr>
                    <w:t>4</w:t>
                  </w:r>
                  <w:r>
                    <w:rPr>
                      <w:color w:val="auto"/>
                      <w:spacing w:val="0"/>
                      <w:sz w:val="21"/>
                      <w:szCs w:val="21"/>
                    </w:rPr>
                    <w:t>）危险废物收集应参照本标准附录</w:t>
                  </w:r>
                  <w:r>
                    <w:rPr>
                      <w:rFonts w:ascii="Times New Roman" w:hAnsi="Times New Roman" w:eastAsia="Times New Roman" w:cs="Times New Roman"/>
                      <w:color w:val="auto"/>
                      <w:spacing w:val="0"/>
                      <w:sz w:val="21"/>
                      <w:szCs w:val="21"/>
                    </w:rPr>
                    <w:t>A</w:t>
                  </w:r>
                  <w:r>
                    <w:rPr>
                      <w:color w:val="auto"/>
                      <w:spacing w:val="0"/>
                      <w:sz w:val="21"/>
                      <w:szCs w:val="21"/>
                    </w:rPr>
                    <w:t>填写记录表，并将记录表作为危险废物管理的重要档案妥善保存。（</w:t>
                  </w:r>
                  <w:r>
                    <w:rPr>
                      <w:rFonts w:ascii="Times New Roman" w:hAnsi="Times New Roman" w:eastAsia="Times New Roman" w:cs="Times New Roman"/>
                      <w:color w:val="auto"/>
                      <w:spacing w:val="0"/>
                      <w:sz w:val="21"/>
                      <w:szCs w:val="21"/>
                    </w:rPr>
                    <w:t>5</w:t>
                  </w:r>
                  <w:r>
                    <w:rPr>
                      <w:color w:val="auto"/>
                      <w:spacing w:val="0"/>
                      <w:sz w:val="21"/>
                      <w:szCs w:val="21"/>
                    </w:rPr>
                    <w:t>）收集结束后应清理和恢复收集作业区域，确保作业区域环境整洁安全。（</w:t>
                  </w:r>
                  <w:r>
                    <w:rPr>
                      <w:rFonts w:ascii="Times New Roman" w:hAnsi="Times New Roman" w:eastAsia="Times New Roman" w:cs="Times New Roman"/>
                      <w:color w:val="auto"/>
                      <w:spacing w:val="0"/>
                      <w:sz w:val="21"/>
                      <w:szCs w:val="21"/>
                    </w:rPr>
                    <w:t>6</w:t>
                  </w:r>
                  <w:r>
                    <w:rPr>
                      <w:color w:val="auto"/>
                      <w:spacing w:val="0"/>
                      <w:sz w:val="21"/>
                      <w:szCs w:val="21"/>
                    </w:rPr>
                    <w:t>）收集过危险废物的容器、设备、设施、场所及其它物品转作它用时，应消除污染，确保其使用安全。</w:t>
                  </w:r>
                </w:p>
              </w:tc>
              <w:tc>
                <w:tcPr>
                  <w:tcW w:w="1702" w:type="pct"/>
                  <w:vAlign w:val="center"/>
                </w:tcPr>
                <w:p w14:paraId="2242C340">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spacing w:val="0"/>
                      <w:sz w:val="21"/>
                      <w:szCs w:val="21"/>
                    </w:rPr>
                  </w:pPr>
                  <w:r>
                    <w:rPr>
                      <w:color w:val="auto"/>
                      <w:spacing w:val="0"/>
                      <w:sz w:val="21"/>
                      <w:szCs w:val="21"/>
                    </w:rPr>
                    <w:t>项目危险废物的收集作业时将根据收集设备、转运车辆以及现场人员等实际情况确定相应作业区域，同时设置作业界限标志和警示牌，作业区域内设置危险废物收集专用通道和人员避险通道，收集时配备必要的收集工具和包装物，以及必要的应急监测设备及应急备，危险废物收集</w:t>
                  </w:r>
                  <w:r>
                    <w:rPr>
                      <w:rFonts w:hint="eastAsia"/>
                      <w:color w:val="auto"/>
                      <w:spacing w:val="0"/>
                      <w:sz w:val="21"/>
                      <w:szCs w:val="21"/>
                      <w:lang w:val="en-US" w:eastAsia="zh-CN"/>
                    </w:rPr>
                    <w:t>按规定</w:t>
                  </w:r>
                  <w:r>
                    <w:rPr>
                      <w:color w:val="auto"/>
                      <w:spacing w:val="0"/>
                      <w:sz w:val="21"/>
                      <w:szCs w:val="21"/>
                    </w:rPr>
                    <w:t>填写记录表，并将记录表作为危险废物管理的重要档案妥善保存，收集结束后将清理和恢复收集作业区域，确保作业区域环境整洁安全；收集过危险废物的容器、设备、设施、场所及其它物品转作它用时，将消除污染，确保其使用安全。</w:t>
                  </w:r>
                </w:p>
              </w:tc>
              <w:tc>
                <w:tcPr>
                  <w:tcW w:w="526" w:type="pct"/>
                  <w:tcBorders>
                    <w:right w:val="single" w:color="000000" w:sz="8" w:space="0"/>
                  </w:tcBorders>
                  <w:vAlign w:val="center"/>
                </w:tcPr>
                <w:p w14:paraId="2A32C735">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spacing w:val="0"/>
                      <w:sz w:val="21"/>
                      <w:szCs w:val="21"/>
                    </w:rPr>
                  </w:pPr>
                  <w:r>
                    <w:rPr>
                      <w:color w:val="auto"/>
                      <w:spacing w:val="0"/>
                      <w:sz w:val="21"/>
                      <w:szCs w:val="21"/>
                    </w:rPr>
                    <w:t>符合</w:t>
                  </w:r>
                </w:p>
              </w:tc>
            </w:tr>
            <w:tr w14:paraId="55505B2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531" w:type="pct"/>
                  <w:vMerge w:val="restart"/>
                  <w:tcBorders>
                    <w:left w:val="single" w:color="000000" w:sz="2" w:space="0"/>
                    <w:bottom w:val="nil"/>
                  </w:tcBorders>
                  <w:vAlign w:val="center"/>
                </w:tcPr>
                <w:p w14:paraId="4E32EDA0">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spacing w:val="0"/>
                      <w:sz w:val="21"/>
                      <w:szCs w:val="21"/>
                    </w:rPr>
                  </w:pPr>
                  <w:r>
                    <w:rPr>
                      <w:color w:val="auto"/>
                      <w:spacing w:val="0"/>
                      <w:sz w:val="21"/>
                      <w:szCs w:val="21"/>
                    </w:rPr>
                    <w:t>危险废</w:t>
                  </w:r>
                </w:p>
                <w:p w14:paraId="18689BC0">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spacing w:val="0"/>
                      <w:sz w:val="21"/>
                      <w:szCs w:val="21"/>
                    </w:rPr>
                  </w:pPr>
                  <w:r>
                    <w:rPr>
                      <w:color w:val="auto"/>
                      <w:spacing w:val="0"/>
                      <w:sz w:val="21"/>
                      <w:szCs w:val="21"/>
                    </w:rPr>
                    <w:t>物的贮</w:t>
                  </w:r>
                </w:p>
                <w:p w14:paraId="6269EF4A">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spacing w:val="0"/>
                      <w:sz w:val="21"/>
                      <w:szCs w:val="21"/>
                    </w:rPr>
                  </w:pPr>
                  <w:r>
                    <w:rPr>
                      <w:color w:val="auto"/>
                      <w:spacing w:val="0"/>
                      <w:sz w:val="21"/>
                      <w:szCs w:val="21"/>
                    </w:rPr>
                    <w:t>存</w:t>
                  </w:r>
                </w:p>
              </w:tc>
              <w:tc>
                <w:tcPr>
                  <w:tcW w:w="2239" w:type="pct"/>
                  <w:vAlign w:val="center"/>
                </w:tcPr>
                <w:p w14:paraId="4D85FE47">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color w:val="auto"/>
                      <w:spacing w:val="0"/>
                      <w:sz w:val="21"/>
                      <w:szCs w:val="21"/>
                    </w:rPr>
                  </w:pPr>
                  <w:r>
                    <w:rPr>
                      <w:rFonts w:ascii="Times New Roman" w:hAnsi="Times New Roman" w:eastAsia="Times New Roman" w:cs="Times New Roman"/>
                      <w:color w:val="auto"/>
                      <w:spacing w:val="-6"/>
                      <w:sz w:val="21"/>
                      <w:szCs w:val="21"/>
                    </w:rPr>
                    <w:t>6.2</w:t>
                  </w:r>
                  <w:r>
                    <w:rPr>
                      <w:color w:val="auto"/>
                      <w:spacing w:val="-6"/>
                      <w:sz w:val="21"/>
                      <w:szCs w:val="21"/>
                    </w:rPr>
                    <w:t>危险废物贮存设施的选址、设计、建设、运行管理应满足</w:t>
                  </w:r>
                  <w:r>
                    <w:rPr>
                      <w:rFonts w:ascii="Times New Roman" w:hAnsi="Times New Roman" w:eastAsia="Times New Roman" w:cs="Times New Roman"/>
                      <w:color w:val="auto"/>
                      <w:spacing w:val="-6"/>
                      <w:sz w:val="21"/>
                      <w:szCs w:val="21"/>
                    </w:rPr>
                    <w:t>GB18597</w:t>
                  </w:r>
                  <w:r>
                    <w:rPr>
                      <w:color w:val="auto"/>
                      <w:spacing w:val="-6"/>
                      <w:sz w:val="21"/>
                      <w:szCs w:val="21"/>
                    </w:rPr>
                    <w:t>、</w:t>
                  </w:r>
                  <w:r>
                    <w:rPr>
                      <w:rFonts w:ascii="Times New Roman" w:hAnsi="Times New Roman" w:eastAsia="Times New Roman" w:cs="Times New Roman"/>
                      <w:color w:val="auto"/>
                      <w:spacing w:val="-6"/>
                      <w:sz w:val="21"/>
                      <w:szCs w:val="21"/>
                    </w:rPr>
                    <w:t>GBZ1</w:t>
                  </w:r>
                  <w:r>
                    <w:rPr>
                      <w:color w:val="auto"/>
                      <w:spacing w:val="-6"/>
                      <w:sz w:val="21"/>
                      <w:szCs w:val="21"/>
                    </w:rPr>
                    <w:t>和</w:t>
                  </w:r>
                  <w:r>
                    <w:rPr>
                      <w:rFonts w:ascii="Times New Roman" w:hAnsi="Times New Roman" w:eastAsia="Times New Roman" w:cs="Times New Roman"/>
                      <w:color w:val="auto"/>
                      <w:spacing w:val="-6"/>
                      <w:sz w:val="21"/>
                      <w:szCs w:val="21"/>
                    </w:rPr>
                    <w:t>GBZ2</w:t>
                  </w:r>
                  <w:r>
                    <w:rPr>
                      <w:color w:val="auto"/>
                      <w:spacing w:val="-6"/>
                      <w:sz w:val="21"/>
                      <w:szCs w:val="21"/>
                    </w:rPr>
                    <w:t>的有关要求。</w:t>
                  </w:r>
                </w:p>
              </w:tc>
              <w:tc>
                <w:tcPr>
                  <w:tcW w:w="1702" w:type="pct"/>
                  <w:vAlign w:val="center"/>
                </w:tcPr>
                <w:p w14:paraId="6D2D3E44">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color w:val="auto"/>
                      <w:spacing w:val="0"/>
                      <w:sz w:val="21"/>
                      <w:szCs w:val="21"/>
                    </w:rPr>
                  </w:pPr>
                  <w:r>
                    <w:rPr>
                      <w:color w:val="auto"/>
                      <w:spacing w:val="0"/>
                      <w:sz w:val="21"/>
                      <w:szCs w:val="21"/>
                    </w:rPr>
                    <w:t>项目危险废物贮存设施的选址、设计、建设、运行管理满足</w:t>
                  </w:r>
                  <w:r>
                    <w:rPr>
                      <w:rFonts w:ascii="Times New Roman" w:hAnsi="Times New Roman" w:eastAsia="Times New Roman" w:cs="Times New Roman"/>
                      <w:color w:val="auto"/>
                      <w:spacing w:val="0"/>
                      <w:sz w:val="21"/>
                      <w:szCs w:val="21"/>
                    </w:rPr>
                    <w:t>GB18597</w:t>
                  </w:r>
                  <w:r>
                    <w:rPr>
                      <w:color w:val="auto"/>
                      <w:spacing w:val="0"/>
                      <w:sz w:val="21"/>
                      <w:szCs w:val="21"/>
                    </w:rPr>
                    <w:t>等有关要求。</w:t>
                  </w:r>
                </w:p>
              </w:tc>
              <w:tc>
                <w:tcPr>
                  <w:tcW w:w="526" w:type="pct"/>
                  <w:tcBorders>
                    <w:right w:val="single" w:color="000000" w:sz="8" w:space="0"/>
                  </w:tcBorders>
                  <w:vAlign w:val="center"/>
                </w:tcPr>
                <w:p w14:paraId="75E05BC8">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spacing w:val="0"/>
                      <w:sz w:val="21"/>
                      <w:szCs w:val="21"/>
                    </w:rPr>
                  </w:pPr>
                  <w:r>
                    <w:rPr>
                      <w:color w:val="auto"/>
                      <w:spacing w:val="0"/>
                      <w:sz w:val="21"/>
                      <w:szCs w:val="21"/>
                    </w:rPr>
                    <w:t>符合</w:t>
                  </w:r>
                </w:p>
              </w:tc>
            </w:tr>
            <w:tr w14:paraId="154862F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531" w:type="pct"/>
                  <w:vMerge w:val="continue"/>
                  <w:tcBorders>
                    <w:top w:val="nil"/>
                    <w:left w:val="single" w:color="000000" w:sz="2" w:space="0"/>
                    <w:bottom w:val="nil"/>
                  </w:tcBorders>
                  <w:vAlign w:val="center"/>
                </w:tcPr>
                <w:p w14:paraId="625C573D">
                  <w:pPr>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ascii="Arial"/>
                      <w:color w:val="auto"/>
                      <w:spacing w:val="0"/>
                      <w:sz w:val="21"/>
                      <w:szCs w:val="21"/>
                    </w:rPr>
                  </w:pPr>
                </w:p>
              </w:tc>
              <w:tc>
                <w:tcPr>
                  <w:tcW w:w="2239" w:type="pct"/>
                  <w:vAlign w:val="center"/>
                </w:tcPr>
                <w:p w14:paraId="288CBCA1">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color w:val="auto"/>
                      <w:spacing w:val="0"/>
                      <w:sz w:val="21"/>
                      <w:szCs w:val="21"/>
                    </w:rPr>
                  </w:pPr>
                  <w:r>
                    <w:rPr>
                      <w:rFonts w:ascii="Times New Roman" w:hAnsi="Times New Roman" w:eastAsia="Times New Roman" w:cs="Times New Roman"/>
                      <w:color w:val="auto"/>
                      <w:spacing w:val="0"/>
                      <w:sz w:val="21"/>
                      <w:szCs w:val="21"/>
                    </w:rPr>
                    <w:t>6.3</w:t>
                  </w:r>
                  <w:r>
                    <w:rPr>
                      <w:color w:val="auto"/>
                      <w:spacing w:val="0"/>
                      <w:sz w:val="21"/>
                      <w:szCs w:val="21"/>
                    </w:rPr>
                    <w:t>危险废物贮存设施应配备通讯设备、照明设施和消防设施。</w:t>
                  </w:r>
                </w:p>
              </w:tc>
              <w:tc>
                <w:tcPr>
                  <w:tcW w:w="1702" w:type="pct"/>
                  <w:vAlign w:val="center"/>
                </w:tcPr>
                <w:p w14:paraId="50F20864">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color w:val="auto"/>
                      <w:spacing w:val="0"/>
                      <w:sz w:val="21"/>
                      <w:szCs w:val="21"/>
                    </w:rPr>
                  </w:pPr>
                  <w:r>
                    <w:rPr>
                      <w:color w:val="auto"/>
                      <w:spacing w:val="0"/>
                      <w:sz w:val="21"/>
                      <w:szCs w:val="21"/>
                    </w:rPr>
                    <w:t>本项目贮存设施配备有通讯设备、照明设施和消防设施等。</w:t>
                  </w:r>
                </w:p>
              </w:tc>
              <w:tc>
                <w:tcPr>
                  <w:tcW w:w="526" w:type="pct"/>
                  <w:tcBorders>
                    <w:right w:val="single" w:color="000000" w:sz="8" w:space="0"/>
                  </w:tcBorders>
                  <w:vAlign w:val="center"/>
                </w:tcPr>
                <w:p w14:paraId="0DEFD33B">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spacing w:val="0"/>
                      <w:sz w:val="21"/>
                      <w:szCs w:val="21"/>
                    </w:rPr>
                  </w:pPr>
                  <w:r>
                    <w:rPr>
                      <w:color w:val="auto"/>
                      <w:spacing w:val="0"/>
                      <w:sz w:val="21"/>
                      <w:szCs w:val="21"/>
                    </w:rPr>
                    <w:t>符合</w:t>
                  </w:r>
                </w:p>
              </w:tc>
            </w:tr>
            <w:tr w14:paraId="1FFFFBD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531" w:type="pct"/>
                  <w:vMerge w:val="continue"/>
                  <w:tcBorders>
                    <w:top w:val="nil"/>
                    <w:left w:val="single" w:color="000000" w:sz="2" w:space="0"/>
                    <w:bottom w:val="single" w:color="000000" w:sz="6" w:space="0"/>
                  </w:tcBorders>
                  <w:vAlign w:val="center"/>
                </w:tcPr>
                <w:p w14:paraId="126176F6">
                  <w:pPr>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ascii="Arial"/>
                      <w:color w:val="auto"/>
                      <w:spacing w:val="0"/>
                      <w:sz w:val="21"/>
                      <w:szCs w:val="21"/>
                    </w:rPr>
                  </w:pPr>
                </w:p>
              </w:tc>
              <w:tc>
                <w:tcPr>
                  <w:tcW w:w="2239" w:type="pct"/>
                  <w:tcBorders>
                    <w:bottom w:val="single" w:color="000000" w:sz="6" w:space="0"/>
                  </w:tcBorders>
                  <w:vAlign w:val="center"/>
                </w:tcPr>
                <w:p w14:paraId="7D249EC9">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color w:val="auto"/>
                      <w:spacing w:val="0"/>
                      <w:sz w:val="21"/>
                      <w:szCs w:val="21"/>
                    </w:rPr>
                  </w:pPr>
                  <w:r>
                    <w:rPr>
                      <w:rFonts w:ascii="Times New Roman" w:hAnsi="Times New Roman" w:eastAsia="Times New Roman" w:cs="Times New Roman"/>
                      <w:color w:val="auto"/>
                      <w:spacing w:val="-6"/>
                      <w:sz w:val="21"/>
                      <w:szCs w:val="21"/>
                    </w:rPr>
                    <w:t>6.4</w:t>
                  </w:r>
                  <w:r>
                    <w:rPr>
                      <w:color w:val="auto"/>
                      <w:spacing w:val="-6"/>
                      <w:sz w:val="21"/>
                      <w:szCs w:val="21"/>
                    </w:rPr>
                    <w:t>贮存危险废物时应按危险废物的种类和特性进行分区贮存，每个贮存区域之间宜设置挡墙间隔，并应设置防雨、防火、防雷、防扬尘装置。</w:t>
                  </w:r>
                </w:p>
              </w:tc>
              <w:tc>
                <w:tcPr>
                  <w:tcW w:w="1702" w:type="pct"/>
                  <w:tcBorders>
                    <w:bottom w:val="single" w:color="000000" w:sz="6" w:space="0"/>
                  </w:tcBorders>
                  <w:vAlign w:val="center"/>
                </w:tcPr>
                <w:p w14:paraId="39349351">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color w:val="auto"/>
                      <w:spacing w:val="0"/>
                      <w:sz w:val="21"/>
                      <w:szCs w:val="21"/>
                    </w:rPr>
                  </w:pPr>
                  <w:r>
                    <w:rPr>
                      <w:color w:val="auto"/>
                      <w:spacing w:val="0"/>
                      <w:sz w:val="21"/>
                      <w:szCs w:val="21"/>
                    </w:rPr>
                    <w:t>本项目</w:t>
                  </w:r>
                  <w:r>
                    <w:rPr>
                      <w:rFonts w:hint="eastAsia"/>
                      <w:color w:val="auto"/>
                      <w:spacing w:val="0"/>
                      <w:sz w:val="21"/>
                      <w:szCs w:val="21"/>
                      <w:lang w:val="en-US" w:eastAsia="zh-CN"/>
                    </w:rPr>
                    <w:t>按危险废物的种类和特性进行分区贮存</w:t>
                  </w:r>
                  <w:r>
                    <w:rPr>
                      <w:color w:val="auto"/>
                      <w:spacing w:val="0"/>
                      <w:sz w:val="21"/>
                      <w:szCs w:val="21"/>
                    </w:rPr>
                    <w:t>，</w:t>
                  </w:r>
                  <w:r>
                    <w:rPr>
                      <w:rFonts w:hint="eastAsia"/>
                      <w:color w:val="auto"/>
                      <w:spacing w:val="0"/>
                      <w:sz w:val="21"/>
                      <w:szCs w:val="21"/>
                      <w:lang w:val="en-US" w:eastAsia="zh-CN"/>
                    </w:rPr>
                    <w:t>设置</w:t>
                  </w:r>
                  <w:r>
                    <w:rPr>
                      <w:color w:val="auto"/>
                      <w:spacing w:val="0"/>
                      <w:sz w:val="21"/>
                      <w:szCs w:val="21"/>
                    </w:rPr>
                    <w:t>间隔分区，并设置有防雨、防火、防雷、防扬尘装置。</w:t>
                  </w:r>
                </w:p>
              </w:tc>
              <w:tc>
                <w:tcPr>
                  <w:tcW w:w="526" w:type="pct"/>
                  <w:tcBorders>
                    <w:bottom w:val="single" w:color="000000" w:sz="6" w:space="0"/>
                    <w:right w:val="single" w:color="000000" w:sz="8" w:space="0"/>
                  </w:tcBorders>
                  <w:vAlign w:val="center"/>
                </w:tcPr>
                <w:p w14:paraId="77237B31">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spacing w:val="0"/>
                      <w:sz w:val="21"/>
                      <w:szCs w:val="21"/>
                    </w:rPr>
                  </w:pPr>
                  <w:r>
                    <w:rPr>
                      <w:color w:val="auto"/>
                      <w:spacing w:val="0"/>
                      <w:sz w:val="21"/>
                      <w:szCs w:val="21"/>
                    </w:rPr>
                    <w:t>符合</w:t>
                  </w:r>
                </w:p>
              </w:tc>
            </w:tr>
            <w:tr w14:paraId="2384B1F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531" w:type="pct"/>
                  <w:vMerge w:val="continue"/>
                  <w:tcBorders>
                    <w:top w:val="nil"/>
                    <w:left w:val="single" w:color="000000" w:sz="2" w:space="0"/>
                    <w:bottom w:val="nil"/>
                  </w:tcBorders>
                  <w:vAlign w:val="center"/>
                </w:tcPr>
                <w:p w14:paraId="4D85BCDA">
                  <w:pPr>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ascii="Arial"/>
                      <w:color w:val="auto"/>
                      <w:spacing w:val="0"/>
                      <w:sz w:val="21"/>
                      <w:szCs w:val="21"/>
                    </w:rPr>
                  </w:pPr>
                </w:p>
              </w:tc>
              <w:tc>
                <w:tcPr>
                  <w:tcW w:w="2239" w:type="pct"/>
                  <w:vAlign w:val="center"/>
                </w:tcPr>
                <w:p w14:paraId="52EE86C7">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color w:val="auto"/>
                      <w:spacing w:val="0"/>
                      <w:sz w:val="21"/>
                      <w:szCs w:val="21"/>
                    </w:rPr>
                  </w:pPr>
                  <w:r>
                    <w:rPr>
                      <w:rFonts w:ascii="Times New Roman" w:hAnsi="Times New Roman" w:eastAsia="Times New Roman" w:cs="Times New Roman"/>
                      <w:color w:val="auto"/>
                      <w:spacing w:val="0"/>
                      <w:sz w:val="21"/>
                      <w:szCs w:val="21"/>
                    </w:rPr>
                    <w:t>6.5</w:t>
                  </w:r>
                  <w:r>
                    <w:rPr>
                      <w:color w:val="auto"/>
                      <w:spacing w:val="0"/>
                      <w:sz w:val="21"/>
                      <w:szCs w:val="21"/>
                    </w:rPr>
                    <w:t>贮存易燃易爆危险废物应配置有机气体报警、火灾报警装置和导出静电的接地装置。</w:t>
                  </w:r>
                </w:p>
              </w:tc>
              <w:tc>
                <w:tcPr>
                  <w:tcW w:w="1702" w:type="pct"/>
                  <w:vAlign w:val="center"/>
                </w:tcPr>
                <w:p w14:paraId="232FC3AC">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spacing w:val="0"/>
                      <w:sz w:val="21"/>
                      <w:szCs w:val="21"/>
                    </w:rPr>
                  </w:pPr>
                  <w:r>
                    <w:rPr>
                      <w:color w:val="auto"/>
                      <w:spacing w:val="0"/>
                      <w:sz w:val="21"/>
                      <w:szCs w:val="21"/>
                    </w:rPr>
                    <w:t>本项目贮存的液体废物采用密闭桶盛装，</w:t>
                  </w:r>
                  <w:r>
                    <w:rPr>
                      <w:rFonts w:hint="eastAsia"/>
                      <w:color w:val="auto"/>
                      <w:spacing w:val="0"/>
                      <w:sz w:val="21"/>
                      <w:szCs w:val="21"/>
                      <w:lang w:val="en-US" w:eastAsia="zh-CN"/>
                    </w:rPr>
                    <w:t>不分装，不开包</w:t>
                  </w:r>
                  <w:r>
                    <w:rPr>
                      <w:color w:val="auto"/>
                      <w:spacing w:val="0"/>
                      <w:sz w:val="21"/>
                      <w:szCs w:val="21"/>
                    </w:rPr>
                    <w:t>，贮存物质可能具有易燃性，</w:t>
                  </w:r>
                  <w:r>
                    <w:rPr>
                      <w:rFonts w:hint="eastAsia"/>
                      <w:color w:val="auto"/>
                      <w:spacing w:val="0"/>
                      <w:sz w:val="21"/>
                      <w:szCs w:val="21"/>
                      <w:lang w:val="en-US" w:eastAsia="zh-CN"/>
                    </w:rPr>
                    <w:t>设有红外烟雾报警系统</w:t>
                  </w:r>
                  <w:r>
                    <w:rPr>
                      <w:color w:val="auto"/>
                      <w:spacing w:val="0"/>
                      <w:sz w:val="21"/>
                      <w:szCs w:val="21"/>
                    </w:rPr>
                    <w:t>。</w:t>
                  </w:r>
                </w:p>
              </w:tc>
              <w:tc>
                <w:tcPr>
                  <w:tcW w:w="526" w:type="pct"/>
                  <w:tcBorders>
                    <w:right w:val="single" w:color="000000" w:sz="8" w:space="0"/>
                  </w:tcBorders>
                  <w:vAlign w:val="center"/>
                </w:tcPr>
                <w:p w14:paraId="6D7E1E64">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spacing w:val="0"/>
                      <w:sz w:val="21"/>
                      <w:szCs w:val="21"/>
                    </w:rPr>
                  </w:pPr>
                  <w:r>
                    <w:rPr>
                      <w:color w:val="auto"/>
                      <w:spacing w:val="0"/>
                      <w:sz w:val="21"/>
                      <w:szCs w:val="21"/>
                    </w:rPr>
                    <w:t>符合</w:t>
                  </w:r>
                </w:p>
              </w:tc>
            </w:tr>
            <w:tr w14:paraId="130392E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531" w:type="pct"/>
                  <w:vMerge w:val="continue"/>
                  <w:tcBorders>
                    <w:top w:val="nil"/>
                    <w:left w:val="single" w:color="000000" w:sz="2" w:space="0"/>
                    <w:bottom w:val="nil"/>
                  </w:tcBorders>
                  <w:vAlign w:val="center"/>
                </w:tcPr>
                <w:p w14:paraId="3782D677">
                  <w:pPr>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ascii="Arial"/>
                      <w:color w:val="auto"/>
                      <w:spacing w:val="0"/>
                      <w:sz w:val="21"/>
                      <w:szCs w:val="21"/>
                    </w:rPr>
                  </w:pPr>
                </w:p>
              </w:tc>
              <w:tc>
                <w:tcPr>
                  <w:tcW w:w="2239" w:type="pct"/>
                  <w:vAlign w:val="center"/>
                </w:tcPr>
                <w:p w14:paraId="2FAB27BA">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color w:val="auto"/>
                      <w:spacing w:val="0"/>
                      <w:sz w:val="21"/>
                      <w:szCs w:val="21"/>
                    </w:rPr>
                  </w:pPr>
                  <w:r>
                    <w:rPr>
                      <w:rFonts w:ascii="Times New Roman" w:hAnsi="Times New Roman" w:eastAsia="Times New Roman" w:cs="Times New Roman"/>
                      <w:color w:val="auto"/>
                      <w:spacing w:val="0"/>
                      <w:sz w:val="21"/>
                      <w:szCs w:val="21"/>
                    </w:rPr>
                    <w:t>6.6</w:t>
                  </w:r>
                  <w:r>
                    <w:rPr>
                      <w:color w:val="auto"/>
                      <w:spacing w:val="0"/>
                      <w:sz w:val="21"/>
                      <w:szCs w:val="21"/>
                    </w:rPr>
                    <w:t>废弃危险化学品贮存应满足</w:t>
                  </w:r>
                  <w:r>
                    <w:rPr>
                      <w:rFonts w:ascii="Times New Roman" w:hAnsi="Times New Roman" w:eastAsia="Times New Roman" w:cs="Times New Roman"/>
                      <w:color w:val="auto"/>
                      <w:spacing w:val="0"/>
                      <w:sz w:val="21"/>
                      <w:szCs w:val="21"/>
                    </w:rPr>
                    <w:t>GB15603</w:t>
                  </w:r>
                  <w:r>
                    <w:rPr>
                      <w:color w:val="auto"/>
                      <w:spacing w:val="0"/>
                      <w:sz w:val="21"/>
                      <w:szCs w:val="21"/>
                    </w:rPr>
                    <w:t>、《危险化学品安全管理条例》、《废弃危险化学品污染环境防治办法》的要求。贮存废弃剧毒化学品还应充分考虑防盗要求，采用双钥匙封闭式管理，且有专人</w:t>
                  </w:r>
                  <w:r>
                    <w:rPr>
                      <w:rFonts w:ascii="Times New Roman" w:hAnsi="Times New Roman" w:eastAsia="Times New Roman" w:cs="Times New Roman"/>
                      <w:color w:val="auto"/>
                      <w:spacing w:val="0"/>
                      <w:sz w:val="21"/>
                      <w:szCs w:val="21"/>
                    </w:rPr>
                    <w:t>24</w:t>
                  </w:r>
                  <w:r>
                    <w:rPr>
                      <w:color w:val="auto"/>
                      <w:spacing w:val="0"/>
                      <w:sz w:val="21"/>
                      <w:szCs w:val="21"/>
                    </w:rPr>
                    <w:t>小时看管。</w:t>
                  </w:r>
                </w:p>
              </w:tc>
              <w:tc>
                <w:tcPr>
                  <w:tcW w:w="1702" w:type="pct"/>
                  <w:vAlign w:val="center"/>
                </w:tcPr>
                <w:p w14:paraId="143B8BD6">
                  <w:pPr>
                    <w:pStyle w:val="8"/>
                    <w:rPr>
                      <w:rFonts w:hint="default" w:eastAsia="宋体"/>
                      <w:color w:val="auto"/>
                      <w:spacing w:val="0"/>
                      <w:sz w:val="21"/>
                      <w:szCs w:val="21"/>
                      <w:lang w:val="en-US" w:eastAsia="zh-CN"/>
                    </w:rPr>
                  </w:pPr>
                  <w:r>
                    <w:rPr>
                      <w:rFonts w:hint="eastAsia" w:ascii="宋体" w:hAnsi="宋体" w:eastAsia="宋体" w:cs="宋体"/>
                      <w:color w:val="auto"/>
                      <w:spacing w:val="0"/>
                      <w:kern w:val="2"/>
                      <w:sz w:val="21"/>
                      <w:szCs w:val="21"/>
                      <w:lang w:val="en-US" w:eastAsia="zh-CN" w:bidi="ar-SA"/>
                    </w:rPr>
                    <w:t>该公司危废经营许可证类别无废弃危险化学品，项目运营过程中不收集该类危废</w:t>
                  </w:r>
                </w:p>
              </w:tc>
              <w:tc>
                <w:tcPr>
                  <w:tcW w:w="526" w:type="pct"/>
                  <w:tcBorders>
                    <w:right w:val="single" w:color="000000" w:sz="8" w:space="0"/>
                  </w:tcBorders>
                  <w:vAlign w:val="center"/>
                </w:tcPr>
                <w:p w14:paraId="4D530FA9">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spacing w:val="0"/>
                      <w:sz w:val="21"/>
                      <w:szCs w:val="21"/>
                    </w:rPr>
                  </w:pPr>
                  <w:r>
                    <w:rPr>
                      <w:color w:val="auto"/>
                      <w:spacing w:val="0"/>
                      <w:sz w:val="21"/>
                      <w:szCs w:val="21"/>
                    </w:rPr>
                    <w:t>符合</w:t>
                  </w:r>
                </w:p>
              </w:tc>
            </w:tr>
            <w:tr w14:paraId="5F2606F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531" w:type="pct"/>
                  <w:vMerge w:val="continue"/>
                  <w:tcBorders>
                    <w:top w:val="nil"/>
                    <w:left w:val="single" w:color="000000" w:sz="2" w:space="0"/>
                    <w:bottom w:val="nil"/>
                  </w:tcBorders>
                  <w:vAlign w:val="center"/>
                </w:tcPr>
                <w:p w14:paraId="78017A9E">
                  <w:pPr>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ascii="Arial"/>
                      <w:color w:val="auto"/>
                      <w:spacing w:val="0"/>
                      <w:sz w:val="21"/>
                      <w:szCs w:val="21"/>
                    </w:rPr>
                  </w:pPr>
                </w:p>
              </w:tc>
              <w:tc>
                <w:tcPr>
                  <w:tcW w:w="2239" w:type="pct"/>
                  <w:vAlign w:val="center"/>
                </w:tcPr>
                <w:p w14:paraId="7C8030C7">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color w:val="auto"/>
                      <w:spacing w:val="0"/>
                      <w:sz w:val="21"/>
                      <w:szCs w:val="21"/>
                    </w:rPr>
                  </w:pPr>
                  <w:r>
                    <w:rPr>
                      <w:rFonts w:ascii="Times New Roman" w:hAnsi="Times New Roman" w:eastAsia="Times New Roman" w:cs="Times New Roman"/>
                      <w:color w:val="auto"/>
                      <w:spacing w:val="0"/>
                      <w:sz w:val="21"/>
                      <w:szCs w:val="21"/>
                    </w:rPr>
                    <w:t>6.7</w:t>
                  </w:r>
                  <w:r>
                    <w:rPr>
                      <w:color w:val="auto"/>
                      <w:spacing w:val="0"/>
                      <w:sz w:val="21"/>
                      <w:szCs w:val="21"/>
                    </w:rPr>
                    <w:t>危险废物贮存期限应符合《中华人民共和国固体废物污染环境防治法》的有关规定。</w:t>
                  </w:r>
                </w:p>
              </w:tc>
              <w:tc>
                <w:tcPr>
                  <w:tcW w:w="1702" w:type="pct"/>
                  <w:vAlign w:val="center"/>
                </w:tcPr>
                <w:p w14:paraId="43616A89">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spacing w:val="0"/>
                      <w:sz w:val="21"/>
                      <w:szCs w:val="21"/>
                    </w:rPr>
                  </w:pPr>
                  <w:r>
                    <w:rPr>
                      <w:rFonts w:hint="eastAsia" w:cs="Times New Roman"/>
                      <w:color w:val="auto"/>
                      <w:spacing w:val="0"/>
                      <w:sz w:val="21"/>
                      <w:szCs w:val="21"/>
                      <w:lang w:val="en-US" w:eastAsia="zh-CN"/>
                    </w:rPr>
                    <w:t>本项目库内危废贮存</w:t>
                  </w:r>
                  <w:r>
                    <w:rPr>
                      <w:color w:val="auto"/>
                      <w:spacing w:val="0"/>
                      <w:sz w:val="21"/>
                      <w:szCs w:val="21"/>
                    </w:rPr>
                    <w:t>符合《中华人民共和国固体废物污染环境防治法》中贮存危险废物一般不得超过一年的规定。</w:t>
                  </w:r>
                </w:p>
              </w:tc>
              <w:tc>
                <w:tcPr>
                  <w:tcW w:w="526" w:type="pct"/>
                  <w:tcBorders>
                    <w:right w:val="single" w:color="000000" w:sz="8" w:space="0"/>
                  </w:tcBorders>
                  <w:vAlign w:val="center"/>
                </w:tcPr>
                <w:p w14:paraId="7659F798">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spacing w:val="0"/>
                      <w:sz w:val="21"/>
                      <w:szCs w:val="21"/>
                    </w:rPr>
                  </w:pPr>
                  <w:r>
                    <w:rPr>
                      <w:color w:val="auto"/>
                      <w:spacing w:val="0"/>
                      <w:sz w:val="21"/>
                      <w:szCs w:val="21"/>
                    </w:rPr>
                    <w:t>符合</w:t>
                  </w:r>
                </w:p>
              </w:tc>
            </w:tr>
            <w:tr w14:paraId="6C88110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9" w:hRule="atLeast"/>
              </w:trPr>
              <w:tc>
                <w:tcPr>
                  <w:tcW w:w="531" w:type="pct"/>
                  <w:vMerge w:val="continue"/>
                  <w:tcBorders>
                    <w:top w:val="nil"/>
                    <w:left w:val="single" w:color="000000" w:sz="2" w:space="0"/>
                    <w:bottom w:val="nil"/>
                  </w:tcBorders>
                  <w:vAlign w:val="center"/>
                </w:tcPr>
                <w:p w14:paraId="5F747813">
                  <w:pPr>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ascii="Arial"/>
                      <w:color w:val="auto"/>
                      <w:spacing w:val="0"/>
                      <w:sz w:val="21"/>
                      <w:szCs w:val="21"/>
                    </w:rPr>
                  </w:pPr>
                </w:p>
              </w:tc>
              <w:tc>
                <w:tcPr>
                  <w:tcW w:w="2239" w:type="pct"/>
                  <w:vAlign w:val="center"/>
                </w:tcPr>
                <w:p w14:paraId="5968E0D1">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color w:val="auto"/>
                      <w:spacing w:val="0"/>
                      <w:sz w:val="21"/>
                      <w:szCs w:val="21"/>
                    </w:rPr>
                  </w:pPr>
                  <w:r>
                    <w:rPr>
                      <w:rFonts w:ascii="Times New Roman" w:hAnsi="Times New Roman" w:eastAsia="Times New Roman" w:cs="Times New Roman"/>
                      <w:color w:val="auto"/>
                      <w:spacing w:val="0"/>
                      <w:sz w:val="21"/>
                      <w:szCs w:val="21"/>
                    </w:rPr>
                    <w:t>6.8</w:t>
                  </w:r>
                  <w:r>
                    <w:rPr>
                      <w:color w:val="auto"/>
                      <w:spacing w:val="0"/>
                      <w:sz w:val="21"/>
                      <w:szCs w:val="21"/>
                    </w:rPr>
                    <w:t>危险废物贮存单位应建立危险废物贮存的台账制度，危险废物出入库交接记录内容应参照本标准附录</w:t>
                  </w:r>
                  <w:r>
                    <w:rPr>
                      <w:rFonts w:ascii="Times New Roman" w:hAnsi="Times New Roman" w:eastAsia="Times New Roman" w:cs="Times New Roman"/>
                      <w:color w:val="auto"/>
                      <w:spacing w:val="0"/>
                      <w:sz w:val="21"/>
                      <w:szCs w:val="21"/>
                    </w:rPr>
                    <w:t>C</w:t>
                  </w:r>
                  <w:r>
                    <w:rPr>
                      <w:color w:val="auto"/>
                      <w:spacing w:val="0"/>
                      <w:sz w:val="21"/>
                      <w:szCs w:val="21"/>
                    </w:rPr>
                    <w:t>执行。</w:t>
                  </w:r>
                </w:p>
              </w:tc>
              <w:tc>
                <w:tcPr>
                  <w:tcW w:w="1702" w:type="pct"/>
                  <w:vAlign w:val="center"/>
                </w:tcPr>
                <w:p w14:paraId="019D363F">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spacing w:val="0"/>
                      <w:sz w:val="21"/>
                      <w:szCs w:val="21"/>
                    </w:rPr>
                  </w:pPr>
                  <w:r>
                    <w:rPr>
                      <w:color w:val="auto"/>
                      <w:spacing w:val="0"/>
                      <w:sz w:val="21"/>
                      <w:szCs w:val="21"/>
                    </w:rPr>
                    <w:t>本项目按要求建立危险废物贮存的台账制度，危废出入库交接记录内容参照</w:t>
                  </w:r>
                  <w:r>
                    <w:rPr>
                      <w:rFonts w:ascii="Times New Roman" w:hAnsi="Times New Roman" w:eastAsia="Times New Roman" w:cs="Times New Roman"/>
                      <w:color w:val="auto"/>
                      <w:spacing w:val="0"/>
                      <w:sz w:val="21"/>
                      <w:szCs w:val="21"/>
                    </w:rPr>
                    <w:t>HJ2025</w:t>
                  </w:r>
                  <w:r>
                    <w:rPr>
                      <w:color w:val="auto"/>
                      <w:spacing w:val="0"/>
                      <w:sz w:val="21"/>
                      <w:szCs w:val="21"/>
                    </w:rPr>
                    <w:t>附录</w:t>
                  </w:r>
                  <w:r>
                    <w:rPr>
                      <w:rFonts w:ascii="Times New Roman" w:hAnsi="Times New Roman" w:eastAsia="Times New Roman" w:cs="Times New Roman"/>
                      <w:color w:val="auto"/>
                      <w:spacing w:val="0"/>
                      <w:sz w:val="21"/>
                      <w:szCs w:val="21"/>
                    </w:rPr>
                    <w:t>C</w:t>
                  </w:r>
                  <w:r>
                    <w:rPr>
                      <w:color w:val="auto"/>
                      <w:spacing w:val="0"/>
                      <w:sz w:val="21"/>
                      <w:szCs w:val="21"/>
                    </w:rPr>
                    <w:t>执行。</w:t>
                  </w:r>
                </w:p>
              </w:tc>
              <w:tc>
                <w:tcPr>
                  <w:tcW w:w="526" w:type="pct"/>
                  <w:tcBorders>
                    <w:right w:val="single" w:color="000000" w:sz="8" w:space="0"/>
                  </w:tcBorders>
                  <w:vAlign w:val="center"/>
                </w:tcPr>
                <w:p w14:paraId="59E38A4A">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spacing w:val="0"/>
                      <w:sz w:val="21"/>
                      <w:szCs w:val="21"/>
                    </w:rPr>
                  </w:pPr>
                  <w:r>
                    <w:rPr>
                      <w:color w:val="auto"/>
                      <w:spacing w:val="0"/>
                      <w:sz w:val="21"/>
                      <w:szCs w:val="21"/>
                    </w:rPr>
                    <w:t>符合</w:t>
                  </w:r>
                </w:p>
              </w:tc>
            </w:tr>
            <w:tr w14:paraId="34090C2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531" w:type="pct"/>
                  <w:vMerge w:val="continue"/>
                  <w:tcBorders>
                    <w:top w:val="nil"/>
                    <w:left w:val="single" w:color="000000" w:sz="2" w:space="0"/>
                  </w:tcBorders>
                  <w:vAlign w:val="center"/>
                </w:tcPr>
                <w:p w14:paraId="5B6A9EF0">
                  <w:pPr>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ascii="Arial"/>
                      <w:color w:val="auto"/>
                      <w:spacing w:val="0"/>
                      <w:sz w:val="21"/>
                      <w:szCs w:val="21"/>
                    </w:rPr>
                  </w:pPr>
                </w:p>
              </w:tc>
              <w:tc>
                <w:tcPr>
                  <w:tcW w:w="2239" w:type="pct"/>
                  <w:vAlign w:val="center"/>
                </w:tcPr>
                <w:p w14:paraId="3B2A071F">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color w:val="auto"/>
                      <w:spacing w:val="0"/>
                      <w:sz w:val="21"/>
                      <w:szCs w:val="21"/>
                    </w:rPr>
                  </w:pPr>
                  <w:r>
                    <w:rPr>
                      <w:rFonts w:ascii="Times New Roman" w:hAnsi="Times New Roman" w:eastAsia="Times New Roman" w:cs="Times New Roman"/>
                      <w:color w:val="auto"/>
                      <w:spacing w:val="0"/>
                      <w:sz w:val="21"/>
                      <w:szCs w:val="21"/>
                    </w:rPr>
                    <w:t>6.9</w:t>
                  </w:r>
                  <w:r>
                    <w:rPr>
                      <w:color w:val="auto"/>
                      <w:spacing w:val="0"/>
                      <w:sz w:val="21"/>
                      <w:szCs w:val="21"/>
                    </w:rPr>
                    <w:t>危险废物贮存设施应根据贮存的废物种类和特性按照</w:t>
                  </w:r>
                  <w:r>
                    <w:rPr>
                      <w:rFonts w:ascii="Times New Roman" w:hAnsi="Times New Roman" w:eastAsia="Times New Roman" w:cs="Times New Roman"/>
                      <w:color w:val="auto"/>
                      <w:spacing w:val="0"/>
                      <w:sz w:val="21"/>
                      <w:szCs w:val="21"/>
                    </w:rPr>
                    <w:t>GB18597</w:t>
                  </w:r>
                  <w:r>
                    <w:rPr>
                      <w:color w:val="auto"/>
                      <w:spacing w:val="0"/>
                      <w:sz w:val="21"/>
                      <w:szCs w:val="21"/>
                    </w:rPr>
                    <w:t>附录</w:t>
                  </w:r>
                  <w:r>
                    <w:rPr>
                      <w:rFonts w:ascii="Times New Roman" w:hAnsi="Times New Roman" w:eastAsia="Times New Roman" w:cs="Times New Roman"/>
                      <w:color w:val="auto"/>
                      <w:spacing w:val="0"/>
                      <w:sz w:val="21"/>
                      <w:szCs w:val="21"/>
                    </w:rPr>
                    <w:t>A</w:t>
                  </w:r>
                  <w:r>
                    <w:rPr>
                      <w:color w:val="auto"/>
                      <w:spacing w:val="0"/>
                      <w:sz w:val="21"/>
                      <w:szCs w:val="21"/>
                    </w:rPr>
                    <w:t>设置标志。</w:t>
                  </w:r>
                </w:p>
              </w:tc>
              <w:tc>
                <w:tcPr>
                  <w:tcW w:w="1702" w:type="pct"/>
                  <w:vAlign w:val="center"/>
                </w:tcPr>
                <w:p w14:paraId="32EF6429">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color w:val="auto"/>
                      <w:spacing w:val="0"/>
                      <w:sz w:val="21"/>
                      <w:szCs w:val="21"/>
                    </w:rPr>
                  </w:pPr>
                  <w:r>
                    <w:rPr>
                      <w:color w:val="auto"/>
                      <w:spacing w:val="0"/>
                      <w:sz w:val="21"/>
                      <w:szCs w:val="21"/>
                    </w:rPr>
                    <w:t>本项目危险废物贮存设施根据贮存的废物种类和特性按照</w:t>
                  </w:r>
                  <w:r>
                    <w:rPr>
                      <w:rFonts w:ascii="Times New Roman" w:hAnsi="Times New Roman" w:eastAsia="Times New Roman" w:cs="Times New Roman"/>
                      <w:color w:val="auto"/>
                      <w:spacing w:val="0"/>
                      <w:sz w:val="21"/>
                      <w:szCs w:val="21"/>
                    </w:rPr>
                    <w:t>GB18597</w:t>
                  </w:r>
                  <w:r>
                    <w:rPr>
                      <w:color w:val="auto"/>
                      <w:spacing w:val="0"/>
                      <w:sz w:val="21"/>
                      <w:szCs w:val="21"/>
                    </w:rPr>
                    <w:t>附录</w:t>
                  </w:r>
                  <w:r>
                    <w:rPr>
                      <w:rFonts w:ascii="Times New Roman" w:hAnsi="Times New Roman" w:eastAsia="Times New Roman" w:cs="Times New Roman"/>
                      <w:color w:val="auto"/>
                      <w:spacing w:val="0"/>
                      <w:sz w:val="21"/>
                      <w:szCs w:val="21"/>
                    </w:rPr>
                    <w:t>A</w:t>
                  </w:r>
                  <w:r>
                    <w:rPr>
                      <w:color w:val="auto"/>
                      <w:spacing w:val="0"/>
                      <w:sz w:val="21"/>
                      <w:szCs w:val="21"/>
                    </w:rPr>
                    <w:t>设置标志。</w:t>
                  </w:r>
                </w:p>
              </w:tc>
              <w:tc>
                <w:tcPr>
                  <w:tcW w:w="526" w:type="pct"/>
                  <w:tcBorders>
                    <w:right w:val="single" w:color="000000" w:sz="8" w:space="0"/>
                  </w:tcBorders>
                  <w:vAlign w:val="center"/>
                </w:tcPr>
                <w:p w14:paraId="6F1C89A6">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spacing w:val="0"/>
                      <w:sz w:val="21"/>
                      <w:szCs w:val="21"/>
                    </w:rPr>
                  </w:pPr>
                  <w:r>
                    <w:rPr>
                      <w:color w:val="auto"/>
                      <w:spacing w:val="0"/>
                      <w:sz w:val="21"/>
                      <w:szCs w:val="21"/>
                    </w:rPr>
                    <w:t>符合</w:t>
                  </w:r>
                </w:p>
              </w:tc>
            </w:tr>
            <w:tr w14:paraId="7B3DDB3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19" w:hRule="atLeast"/>
              </w:trPr>
              <w:tc>
                <w:tcPr>
                  <w:tcW w:w="531" w:type="pct"/>
                  <w:tcBorders>
                    <w:left w:val="single" w:color="000000" w:sz="2" w:space="0"/>
                    <w:bottom w:val="single" w:color="000000" w:sz="6" w:space="0"/>
                  </w:tcBorders>
                  <w:vAlign w:val="center"/>
                </w:tcPr>
                <w:p w14:paraId="2ECE1C11">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spacing w:val="0"/>
                      <w:sz w:val="21"/>
                      <w:szCs w:val="21"/>
                    </w:rPr>
                  </w:pPr>
                  <w:r>
                    <w:rPr>
                      <w:color w:val="auto"/>
                      <w:spacing w:val="0"/>
                      <w:sz w:val="21"/>
                      <w:szCs w:val="21"/>
                    </w:rPr>
                    <w:t>危险废</w:t>
                  </w:r>
                </w:p>
                <w:p w14:paraId="32EE898A">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spacing w:val="0"/>
                      <w:sz w:val="21"/>
                      <w:szCs w:val="21"/>
                    </w:rPr>
                  </w:pPr>
                  <w:r>
                    <w:rPr>
                      <w:color w:val="auto"/>
                      <w:spacing w:val="0"/>
                      <w:sz w:val="21"/>
                      <w:szCs w:val="21"/>
                    </w:rPr>
                    <w:t>物的运</w:t>
                  </w:r>
                </w:p>
                <w:p w14:paraId="07DB9668">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spacing w:val="0"/>
                      <w:sz w:val="21"/>
                      <w:szCs w:val="21"/>
                    </w:rPr>
                  </w:pPr>
                  <w:r>
                    <w:rPr>
                      <w:color w:val="auto"/>
                      <w:spacing w:val="0"/>
                      <w:sz w:val="21"/>
                      <w:szCs w:val="21"/>
                    </w:rPr>
                    <w:t>输</w:t>
                  </w:r>
                </w:p>
              </w:tc>
              <w:tc>
                <w:tcPr>
                  <w:tcW w:w="2239" w:type="pct"/>
                  <w:tcBorders>
                    <w:bottom w:val="single" w:color="000000" w:sz="6" w:space="0"/>
                  </w:tcBorders>
                  <w:vAlign w:val="center"/>
                </w:tcPr>
                <w:p w14:paraId="2E2A7FA1">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color w:val="auto"/>
                      <w:spacing w:val="0"/>
                      <w:sz w:val="21"/>
                      <w:szCs w:val="21"/>
                    </w:rPr>
                  </w:pPr>
                  <w:r>
                    <w:rPr>
                      <w:rFonts w:ascii="Times New Roman" w:hAnsi="Times New Roman" w:eastAsia="Times New Roman" w:cs="Times New Roman"/>
                      <w:color w:val="auto"/>
                      <w:spacing w:val="0"/>
                      <w:sz w:val="21"/>
                      <w:szCs w:val="21"/>
                    </w:rPr>
                    <w:t>7.6</w:t>
                  </w:r>
                  <w:r>
                    <w:rPr>
                      <w:color w:val="auto"/>
                      <w:spacing w:val="0"/>
                      <w:sz w:val="21"/>
                      <w:szCs w:val="21"/>
                    </w:rPr>
                    <w:t>危险废物运输时的中转、装卸过程应遵守如下技术要求：（</w:t>
                  </w:r>
                  <w:r>
                    <w:rPr>
                      <w:rFonts w:ascii="Times New Roman" w:hAnsi="Times New Roman" w:eastAsia="Times New Roman" w:cs="Times New Roman"/>
                      <w:color w:val="auto"/>
                      <w:spacing w:val="0"/>
                      <w:sz w:val="21"/>
                      <w:szCs w:val="21"/>
                    </w:rPr>
                    <w:t>l</w:t>
                  </w:r>
                  <w:r>
                    <w:rPr>
                      <w:color w:val="auto"/>
                      <w:spacing w:val="0"/>
                      <w:sz w:val="21"/>
                      <w:szCs w:val="21"/>
                    </w:rPr>
                    <w:t>）卸载区的工作人员应熟悉废物的危险特性，并配备适当的个人防护装备，装卸剧毒废物应配备特殊的防护装备。（</w:t>
                  </w:r>
                  <w:r>
                    <w:rPr>
                      <w:rFonts w:ascii="Times New Roman" w:hAnsi="Times New Roman" w:eastAsia="Times New Roman" w:cs="Times New Roman"/>
                      <w:color w:val="auto"/>
                      <w:spacing w:val="0"/>
                      <w:sz w:val="21"/>
                      <w:szCs w:val="21"/>
                    </w:rPr>
                    <w:t>2</w:t>
                  </w:r>
                  <w:r>
                    <w:rPr>
                      <w:color w:val="auto"/>
                      <w:spacing w:val="0"/>
                      <w:sz w:val="21"/>
                      <w:szCs w:val="21"/>
                    </w:rPr>
                    <w:t>）卸载区应配备必要的消防设备和设施，并设置明显的指示标志。（</w:t>
                  </w:r>
                  <w:r>
                    <w:rPr>
                      <w:rFonts w:ascii="Times New Roman" w:hAnsi="Times New Roman" w:eastAsia="Times New Roman" w:cs="Times New Roman"/>
                      <w:color w:val="auto"/>
                      <w:spacing w:val="0"/>
                      <w:sz w:val="21"/>
                      <w:szCs w:val="21"/>
                    </w:rPr>
                    <w:t>3</w:t>
                  </w:r>
                  <w:r>
                    <w:rPr>
                      <w:color w:val="auto"/>
                      <w:spacing w:val="0"/>
                      <w:sz w:val="21"/>
                      <w:szCs w:val="21"/>
                    </w:rPr>
                    <w:t>）危险废物装卸区应设置隔离设施，液态废物卸载区应设置收集槽和缓冲罐。</w:t>
                  </w:r>
                </w:p>
              </w:tc>
              <w:tc>
                <w:tcPr>
                  <w:tcW w:w="1702" w:type="pct"/>
                  <w:tcBorders>
                    <w:bottom w:val="single" w:color="000000" w:sz="6" w:space="0"/>
                  </w:tcBorders>
                  <w:vAlign w:val="center"/>
                </w:tcPr>
                <w:p w14:paraId="7D92479C">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color w:val="auto"/>
                      <w:spacing w:val="0"/>
                      <w:sz w:val="21"/>
                      <w:szCs w:val="21"/>
                    </w:rPr>
                  </w:pPr>
                  <w:r>
                    <w:rPr>
                      <w:color w:val="auto"/>
                      <w:spacing w:val="0"/>
                      <w:sz w:val="21"/>
                      <w:szCs w:val="21"/>
                    </w:rPr>
                    <w:t>（</w:t>
                  </w:r>
                  <w:r>
                    <w:rPr>
                      <w:rFonts w:ascii="Times New Roman" w:hAnsi="Times New Roman" w:eastAsia="Times New Roman" w:cs="Times New Roman"/>
                      <w:color w:val="auto"/>
                      <w:spacing w:val="0"/>
                      <w:sz w:val="21"/>
                      <w:szCs w:val="21"/>
                    </w:rPr>
                    <w:t>1</w:t>
                  </w:r>
                  <w:r>
                    <w:rPr>
                      <w:color w:val="auto"/>
                      <w:spacing w:val="0"/>
                      <w:sz w:val="21"/>
                      <w:szCs w:val="21"/>
                    </w:rPr>
                    <w:t>）项目危险废物厂内装卸过程，卸载区的工作人员熟悉废物的危险特性，并配备有适当的个人防护装备</w:t>
                  </w:r>
                  <w:r>
                    <w:rPr>
                      <w:rFonts w:hint="eastAsia"/>
                      <w:color w:val="auto"/>
                      <w:spacing w:val="0"/>
                      <w:sz w:val="21"/>
                      <w:szCs w:val="21"/>
                      <w:lang w:eastAsia="zh-CN"/>
                    </w:rPr>
                    <w:t>。</w:t>
                  </w:r>
                  <w:r>
                    <w:rPr>
                      <w:rFonts w:hint="eastAsia"/>
                      <w:color w:val="auto"/>
                      <w:spacing w:val="0"/>
                      <w:sz w:val="21"/>
                      <w:szCs w:val="21"/>
                      <w:lang w:val="en-US" w:eastAsia="zh-CN"/>
                    </w:rPr>
                    <w:t>本项目不收集</w:t>
                  </w:r>
                  <w:r>
                    <w:rPr>
                      <w:color w:val="auto"/>
                      <w:spacing w:val="0"/>
                      <w:sz w:val="21"/>
                      <w:szCs w:val="21"/>
                    </w:rPr>
                    <w:t>剧毒废物。（</w:t>
                  </w:r>
                  <w:r>
                    <w:rPr>
                      <w:rFonts w:ascii="Times New Roman" w:hAnsi="Times New Roman" w:eastAsia="Times New Roman" w:cs="Times New Roman"/>
                      <w:color w:val="auto"/>
                      <w:spacing w:val="0"/>
                      <w:sz w:val="21"/>
                      <w:szCs w:val="21"/>
                    </w:rPr>
                    <w:t>2</w:t>
                  </w:r>
                  <w:r>
                    <w:rPr>
                      <w:color w:val="auto"/>
                      <w:spacing w:val="0"/>
                      <w:sz w:val="21"/>
                      <w:szCs w:val="21"/>
                    </w:rPr>
                    <w:t>）卸载区配备有必要的消防设备和设施，并设置有明显的指示标志。（</w:t>
                  </w:r>
                  <w:r>
                    <w:rPr>
                      <w:rFonts w:ascii="Times New Roman" w:hAnsi="Times New Roman" w:eastAsia="Times New Roman" w:cs="Times New Roman"/>
                      <w:color w:val="auto"/>
                      <w:spacing w:val="0"/>
                      <w:sz w:val="21"/>
                      <w:szCs w:val="21"/>
                    </w:rPr>
                    <w:t>3</w:t>
                  </w:r>
                  <w:r>
                    <w:rPr>
                      <w:color w:val="auto"/>
                      <w:spacing w:val="0"/>
                      <w:sz w:val="21"/>
                      <w:szCs w:val="21"/>
                    </w:rPr>
                    <w:t>）危险废物装卸区设置有隔离设施，液态废物卸载区设置有</w:t>
                  </w:r>
                  <w:r>
                    <w:rPr>
                      <w:rFonts w:hint="eastAsia"/>
                      <w:color w:val="auto"/>
                      <w:spacing w:val="0"/>
                      <w:sz w:val="21"/>
                      <w:szCs w:val="21"/>
                      <w:lang w:val="en-US" w:eastAsia="zh-CN"/>
                    </w:rPr>
                    <w:t>导流沟和收集池</w:t>
                  </w:r>
                  <w:r>
                    <w:rPr>
                      <w:color w:val="auto"/>
                      <w:spacing w:val="0"/>
                      <w:sz w:val="21"/>
                      <w:szCs w:val="21"/>
                    </w:rPr>
                    <w:t>。</w:t>
                  </w:r>
                </w:p>
              </w:tc>
              <w:tc>
                <w:tcPr>
                  <w:tcW w:w="526" w:type="pct"/>
                  <w:tcBorders>
                    <w:bottom w:val="single" w:color="000000" w:sz="6" w:space="0"/>
                    <w:right w:val="single" w:color="000000" w:sz="8" w:space="0"/>
                  </w:tcBorders>
                  <w:vAlign w:val="center"/>
                </w:tcPr>
                <w:p w14:paraId="5A7EE34D">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color w:val="auto"/>
                      <w:spacing w:val="0"/>
                      <w:sz w:val="21"/>
                      <w:szCs w:val="21"/>
                    </w:rPr>
                  </w:pPr>
                  <w:r>
                    <w:rPr>
                      <w:color w:val="auto"/>
                      <w:spacing w:val="0"/>
                      <w:sz w:val="21"/>
                      <w:szCs w:val="21"/>
                    </w:rPr>
                    <w:t>符合</w:t>
                  </w:r>
                </w:p>
              </w:tc>
            </w:tr>
          </w:tbl>
          <w:p w14:paraId="7B373E5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 w:val="0"/>
                <w:bCs w:val="0"/>
                <w:color w:val="auto"/>
                <w:spacing w:val="0"/>
                <w:kern w:val="0"/>
                <w:sz w:val="24"/>
                <w:szCs w:val="24"/>
                <w:lang w:val="en-US" w:eastAsia="zh-CN" w:bidi="ar"/>
              </w:rPr>
            </w:pPr>
            <w:r>
              <w:rPr>
                <w:rFonts w:hint="default" w:ascii="Times New Roman" w:hAnsi="Times New Roman" w:cs="Times New Roman"/>
                <w:b w:val="0"/>
                <w:bCs w:val="0"/>
                <w:color w:val="auto"/>
                <w:spacing w:val="0"/>
                <w:kern w:val="0"/>
                <w:sz w:val="24"/>
                <w:szCs w:val="24"/>
                <w:lang w:val="en-US" w:eastAsia="zh-CN" w:bidi="ar"/>
              </w:rPr>
              <w:t>综上，本项目的建设满足</w:t>
            </w:r>
            <w:r>
              <w:rPr>
                <w:color w:val="auto"/>
                <w:spacing w:val="0"/>
                <w:sz w:val="24"/>
                <w:szCs w:val="24"/>
              </w:rPr>
              <w:t>《危险废物收集、贮存、运输技术规范》 （</w:t>
            </w:r>
            <w:r>
              <w:rPr>
                <w:rFonts w:ascii="Times New Roman" w:hAnsi="Times New Roman" w:eastAsia="Times New Roman" w:cs="Times New Roman"/>
                <w:color w:val="auto"/>
                <w:spacing w:val="0"/>
                <w:sz w:val="24"/>
                <w:szCs w:val="24"/>
              </w:rPr>
              <w:t>HJ 2025-2012</w:t>
            </w:r>
            <w:r>
              <w:rPr>
                <w:color w:val="auto"/>
                <w:spacing w:val="0"/>
                <w:sz w:val="24"/>
                <w:szCs w:val="24"/>
              </w:rPr>
              <w:t>）</w:t>
            </w:r>
            <w:r>
              <w:rPr>
                <w:rFonts w:hint="eastAsia"/>
                <w:color w:val="auto"/>
                <w:spacing w:val="0"/>
                <w:sz w:val="24"/>
                <w:szCs w:val="24"/>
                <w:lang w:val="en-US" w:eastAsia="zh-CN"/>
              </w:rPr>
              <w:t>中</w:t>
            </w:r>
            <w:r>
              <w:rPr>
                <w:rFonts w:hint="default" w:ascii="Times New Roman" w:hAnsi="Times New Roman" w:cs="Times New Roman"/>
                <w:b w:val="0"/>
                <w:bCs w:val="0"/>
                <w:color w:val="auto"/>
                <w:spacing w:val="0"/>
                <w:kern w:val="0"/>
                <w:sz w:val="24"/>
                <w:szCs w:val="24"/>
                <w:lang w:val="en-US" w:eastAsia="zh-CN" w:bidi="ar"/>
              </w:rPr>
              <w:t>相关要求。</w:t>
            </w:r>
          </w:p>
          <w:p w14:paraId="764C3DDA">
            <w:pPr>
              <w:keepNext w:val="0"/>
              <w:keepLines w:val="0"/>
              <w:pageBreakBefore w:val="0"/>
              <w:widowControl w:val="0"/>
              <w:numPr>
                <w:ilvl w:val="0"/>
                <w:numId w:val="8"/>
              </w:numPr>
              <w:kinsoku/>
              <w:wordWrap/>
              <w:overflowPunct/>
              <w:topLinePunct w:val="0"/>
              <w:autoSpaceDE/>
              <w:autoSpaceDN/>
              <w:bidi w:val="0"/>
              <w:adjustRightInd/>
              <w:snapToGrid/>
              <w:spacing w:line="360" w:lineRule="auto"/>
              <w:ind w:left="0" w:leftChars="0" w:firstLine="425" w:firstLineChars="0"/>
              <w:textAlignment w:val="auto"/>
              <w:rPr>
                <w:color w:val="auto"/>
                <w:spacing w:val="0"/>
                <w:sz w:val="24"/>
                <w:szCs w:val="24"/>
              </w:rPr>
            </w:pPr>
            <w:r>
              <w:rPr>
                <w:color w:val="auto"/>
                <w:spacing w:val="0"/>
                <w:sz w:val="24"/>
                <w:szCs w:val="24"/>
              </w:rPr>
              <w:t>与《废矿物油回收利用污染控制技术规范》（HJ607-2011）相符性分析</w:t>
            </w:r>
          </w:p>
          <w:p w14:paraId="124A3FCE">
            <w:pPr>
              <w:keepNext w:val="0"/>
              <w:keepLines w:val="0"/>
              <w:pageBreakBefore w:val="0"/>
              <w:widowControl w:val="0"/>
              <w:numPr>
                <w:ilvl w:val="0"/>
                <w:numId w:val="9"/>
              </w:numPr>
              <w:kinsoku/>
              <w:wordWrap/>
              <w:overflowPunct/>
              <w:topLinePunct w:val="0"/>
              <w:autoSpaceDE w:val="0"/>
              <w:autoSpaceDN w:val="0"/>
              <w:bidi w:val="0"/>
              <w:adjustRightInd w:val="0"/>
              <w:snapToGrid/>
              <w:spacing w:line="360" w:lineRule="auto"/>
              <w:ind w:left="3150" w:leftChars="0" w:hanging="3110" w:firstLineChars="0"/>
              <w:jc w:val="center"/>
              <w:textAlignment w:val="auto"/>
              <w:rPr>
                <w:rFonts w:hint="eastAsia" w:ascii="宋体" w:hAnsi="宋体" w:eastAsia="宋体" w:cs="宋体"/>
                <w:b/>
                <w:bCs/>
                <w:color w:val="auto"/>
                <w:kern w:val="0"/>
                <w:sz w:val="24"/>
                <w:szCs w:val="24"/>
                <w:lang w:val="en-US" w:eastAsia="zh-CN" w:bidi="ar"/>
              </w:rPr>
            </w:pPr>
            <w:r>
              <w:rPr>
                <w:rFonts w:hint="eastAsia" w:ascii="宋体" w:hAnsi="宋体" w:eastAsia="宋体" w:cs="宋体"/>
                <w:b/>
                <w:bCs/>
                <w:color w:val="auto"/>
                <w:kern w:val="0"/>
                <w:sz w:val="24"/>
                <w:szCs w:val="24"/>
                <w:lang w:val="en-US" w:eastAsia="zh-CN" w:bidi="ar"/>
              </w:rPr>
              <w:t>与《废矿物油回收利用污染控制技术规范》的相符性分析</w:t>
            </w:r>
          </w:p>
          <w:tbl>
            <w:tblPr>
              <w:tblStyle w:val="89"/>
              <w:tblW w:w="4991"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573"/>
              <w:gridCol w:w="3280"/>
              <w:gridCol w:w="2968"/>
              <w:gridCol w:w="830"/>
            </w:tblGrid>
            <w:tr w14:paraId="52C5B7E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375" w:type="pct"/>
                  <w:tcBorders>
                    <w:tl2br w:val="nil"/>
                    <w:tr2bl w:val="nil"/>
                  </w:tcBorders>
                  <w:vAlign w:val="center"/>
                </w:tcPr>
                <w:p w14:paraId="18E4F156">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0"/>
                      <w:sz w:val="21"/>
                      <w:szCs w:val="21"/>
                    </w:rPr>
                  </w:pPr>
                  <w:r>
                    <w:rPr>
                      <w:rFonts w:hint="default" w:ascii="Times New Roman" w:hAnsi="Times New Roman" w:cs="Times New Roman"/>
                      <w:color w:val="auto"/>
                      <w:spacing w:val="0"/>
                      <w:sz w:val="21"/>
                      <w:szCs w:val="21"/>
                    </w:rPr>
                    <w:t>项目</w:t>
                  </w:r>
                </w:p>
              </w:tc>
              <w:tc>
                <w:tcPr>
                  <w:tcW w:w="2143" w:type="pct"/>
                  <w:tcBorders>
                    <w:tl2br w:val="nil"/>
                    <w:tr2bl w:val="nil"/>
                  </w:tcBorders>
                  <w:vAlign w:val="center"/>
                </w:tcPr>
                <w:p w14:paraId="32F7EB87">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0"/>
                      <w:sz w:val="21"/>
                      <w:szCs w:val="21"/>
                    </w:rPr>
                  </w:pPr>
                  <w:r>
                    <w:rPr>
                      <w:rFonts w:hint="default" w:ascii="Times New Roman" w:hAnsi="Times New Roman" w:cs="Times New Roman"/>
                      <w:color w:val="auto"/>
                      <w:spacing w:val="0"/>
                      <w:sz w:val="21"/>
                      <w:szCs w:val="21"/>
                    </w:rPr>
                    <w:t>技术规范内容要求</w:t>
                  </w:r>
                </w:p>
              </w:tc>
              <w:tc>
                <w:tcPr>
                  <w:tcW w:w="1939" w:type="pct"/>
                  <w:tcBorders>
                    <w:tl2br w:val="nil"/>
                    <w:tr2bl w:val="nil"/>
                  </w:tcBorders>
                  <w:vAlign w:val="center"/>
                </w:tcPr>
                <w:p w14:paraId="1E6DB015">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0"/>
                      <w:sz w:val="21"/>
                      <w:szCs w:val="21"/>
                    </w:rPr>
                  </w:pPr>
                  <w:r>
                    <w:rPr>
                      <w:rFonts w:hint="default" w:ascii="Times New Roman" w:hAnsi="Times New Roman" w:cs="Times New Roman"/>
                      <w:color w:val="auto"/>
                      <w:spacing w:val="0"/>
                      <w:sz w:val="21"/>
                      <w:szCs w:val="21"/>
                    </w:rPr>
                    <w:t>本项目情况</w:t>
                  </w:r>
                </w:p>
              </w:tc>
              <w:tc>
                <w:tcPr>
                  <w:tcW w:w="542" w:type="pct"/>
                  <w:tcBorders>
                    <w:tl2br w:val="nil"/>
                    <w:tr2bl w:val="nil"/>
                  </w:tcBorders>
                  <w:vAlign w:val="center"/>
                </w:tcPr>
                <w:p w14:paraId="560FC681">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0"/>
                      <w:sz w:val="21"/>
                      <w:szCs w:val="21"/>
                    </w:rPr>
                  </w:pPr>
                  <w:r>
                    <w:rPr>
                      <w:rFonts w:hint="default" w:ascii="Times New Roman" w:hAnsi="Times New Roman" w:cs="Times New Roman"/>
                      <w:color w:val="auto"/>
                      <w:spacing w:val="0"/>
                      <w:sz w:val="21"/>
                      <w:szCs w:val="21"/>
                    </w:rPr>
                    <w:t>符合性</w:t>
                  </w:r>
                </w:p>
              </w:tc>
            </w:tr>
            <w:tr w14:paraId="17726B4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375" w:type="pct"/>
                  <w:vMerge w:val="restart"/>
                  <w:tcBorders>
                    <w:tl2br w:val="nil"/>
                    <w:tr2bl w:val="nil"/>
                  </w:tcBorders>
                  <w:vAlign w:val="center"/>
                </w:tcPr>
                <w:p w14:paraId="1AA72921">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0"/>
                      <w:sz w:val="21"/>
                      <w:szCs w:val="21"/>
                    </w:rPr>
                  </w:pPr>
                  <w:r>
                    <w:rPr>
                      <w:rFonts w:hint="default" w:ascii="Times New Roman" w:hAnsi="Times New Roman" w:cs="Times New Roman"/>
                      <w:color w:val="auto"/>
                      <w:spacing w:val="0"/>
                      <w:sz w:val="21"/>
                      <w:szCs w:val="21"/>
                    </w:rPr>
                    <w:t>总体</w:t>
                  </w:r>
                </w:p>
                <w:p w14:paraId="3E0215FE">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0"/>
                      <w:sz w:val="21"/>
                      <w:szCs w:val="21"/>
                    </w:rPr>
                  </w:pPr>
                  <w:r>
                    <w:rPr>
                      <w:rFonts w:hint="default" w:ascii="Times New Roman" w:hAnsi="Times New Roman" w:cs="Times New Roman"/>
                      <w:color w:val="auto"/>
                      <w:spacing w:val="0"/>
                      <w:sz w:val="21"/>
                      <w:szCs w:val="21"/>
                    </w:rPr>
                    <w:t>要求</w:t>
                  </w:r>
                </w:p>
              </w:tc>
              <w:tc>
                <w:tcPr>
                  <w:tcW w:w="2143" w:type="pct"/>
                  <w:tcBorders>
                    <w:tl2br w:val="nil"/>
                    <w:tr2bl w:val="nil"/>
                  </w:tcBorders>
                  <w:vAlign w:val="center"/>
                </w:tcPr>
                <w:p w14:paraId="4212A693">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cs="Times New Roman"/>
                      <w:color w:val="auto"/>
                      <w:spacing w:val="0"/>
                      <w:sz w:val="21"/>
                      <w:szCs w:val="21"/>
                    </w:rPr>
                  </w:pPr>
                  <w:r>
                    <w:rPr>
                      <w:rFonts w:hint="default" w:ascii="Times New Roman" w:hAnsi="Times New Roman" w:cs="Times New Roman"/>
                      <w:color w:val="auto"/>
                      <w:spacing w:val="0"/>
                      <w:sz w:val="21"/>
                      <w:szCs w:val="21"/>
                    </w:rPr>
                    <w:t>4.1废矿物油焚烧、贮存和填埋厂址选择应符合GB18484、GB18597、GB18598中的有关规定，并符合当地的大气污染防治、水资源保护和自然生态保护要求。</w:t>
                  </w:r>
                </w:p>
              </w:tc>
              <w:tc>
                <w:tcPr>
                  <w:tcW w:w="1939" w:type="pct"/>
                  <w:tcBorders>
                    <w:tl2br w:val="nil"/>
                    <w:tr2bl w:val="nil"/>
                  </w:tcBorders>
                  <w:vAlign w:val="center"/>
                </w:tcPr>
                <w:p w14:paraId="49720DE5">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cs="Times New Roman"/>
                      <w:color w:val="auto"/>
                      <w:spacing w:val="0"/>
                      <w:sz w:val="21"/>
                      <w:szCs w:val="21"/>
                    </w:rPr>
                  </w:pPr>
                  <w:r>
                    <w:rPr>
                      <w:rFonts w:hint="default" w:ascii="Times New Roman" w:hAnsi="Times New Roman" w:cs="Times New Roman"/>
                      <w:color w:val="auto"/>
                      <w:spacing w:val="0"/>
                      <w:sz w:val="21"/>
                      <w:szCs w:val="21"/>
                    </w:rPr>
                    <w:t>本项目租赁现有已建</w:t>
                  </w:r>
                  <w:r>
                    <w:rPr>
                      <w:rFonts w:hint="eastAsia" w:ascii="Times New Roman" w:hAnsi="Times New Roman" w:cs="Times New Roman"/>
                      <w:color w:val="auto"/>
                      <w:spacing w:val="0"/>
                      <w:sz w:val="21"/>
                      <w:szCs w:val="21"/>
                      <w:lang w:val="en-US" w:eastAsia="zh-CN"/>
                    </w:rPr>
                    <w:t>闲置</w:t>
                  </w:r>
                  <w:r>
                    <w:rPr>
                      <w:rFonts w:hint="default" w:ascii="Times New Roman" w:hAnsi="Times New Roman" w:cs="Times New Roman"/>
                      <w:color w:val="auto"/>
                      <w:spacing w:val="0"/>
                      <w:sz w:val="21"/>
                      <w:szCs w:val="21"/>
                    </w:rPr>
                    <w:t>厂房作为经营场所，符合GB18597中的有关规定，并符合当地的大气污染防治、水资源保护和自然生态保护要求。</w:t>
                  </w:r>
                </w:p>
              </w:tc>
              <w:tc>
                <w:tcPr>
                  <w:tcW w:w="542" w:type="pct"/>
                  <w:tcBorders>
                    <w:tl2br w:val="nil"/>
                    <w:tr2bl w:val="nil"/>
                  </w:tcBorders>
                  <w:vAlign w:val="center"/>
                </w:tcPr>
                <w:p w14:paraId="4804EC86">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0"/>
                      <w:sz w:val="21"/>
                      <w:szCs w:val="21"/>
                    </w:rPr>
                  </w:pPr>
                  <w:r>
                    <w:rPr>
                      <w:rFonts w:hint="default" w:ascii="Times New Roman" w:hAnsi="Times New Roman" w:cs="Times New Roman"/>
                      <w:color w:val="auto"/>
                      <w:spacing w:val="0"/>
                      <w:sz w:val="21"/>
                      <w:szCs w:val="21"/>
                    </w:rPr>
                    <w:t>符合</w:t>
                  </w:r>
                </w:p>
              </w:tc>
            </w:tr>
            <w:tr w14:paraId="127B901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7" w:hRule="atLeast"/>
              </w:trPr>
              <w:tc>
                <w:tcPr>
                  <w:tcW w:w="375" w:type="pct"/>
                  <w:vMerge w:val="continue"/>
                  <w:tcBorders>
                    <w:tl2br w:val="nil"/>
                    <w:tr2bl w:val="nil"/>
                  </w:tcBorders>
                  <w:vAlign w:val="center"/>
                </w:tcPr>
                <w:p w14:paraId="239E4356">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0"/>
                      <w:sz w:val="21"/>
                      <w:szCs w:val="21"/>
                    </w:rPr>
                  </w:pPr>
                </w:p>
              </w:tc>
              <w:tc>
                <w:tcPr>
                  <w:tcW w:w="2143" w:type="pct"/>
                  <w:tcBorders>
                    <w:tl2br w:val="nil"/>
                    <w:tr2bl w:val="nil"/>
                  </w:tcBorders>
                  <w:vAlign w:val="center"/>
                </w:tcPr>
                <w:p w14:paraId="0DBACE24">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cs="Times New Roman"/>
                      <w:color w:val="auto"/>
                      <w:spacing w:val="0"/>
                      <w:sz w:val="21"/>
                      <w:szCs w:val="21"/>
                    </w:rPr>
                  </w:pPr>
                  <w:r>
                    <w:rPr>
                      <w:rFonts w:hint="default" w:ascii="Times New Roman" w:hAnsi="Times New Roman" w:cs="Times New Roman"/>
                      <w:color w:val="auto"/>
                      <w:spacing w:val="-6"/>
                      <w:sz w:val="21"/>
                      <w:szCs w:val="21"/>
                    </w:rPr>
                    <w:t>4.2废矿物油产生单位和废矿物油经营单位应按《危险废物污染防治技术政策》中的有关规定从事相关的生产、经营活动。</w:t>
                  </w:r>
                </w:p>
              </w:tc>
              <w:tc>
                <w:tcPr>
                  <w:tcW w:w="1939" w:type="pct"/>
                  <w:tcBorders>
                    <w:tl2br w:val="nil"/>
                    <w:tr2bl w:val="nil"/>
                  </w:tcBorders>
                  <w:vAlign w:val="center"/>
                </w:tcPr>
                <w:p w14:paraId="16E773FC">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cs="Times New Roman"/>
                      <w:color w:val="auto"/>
                      <w:spacing w:val="0"/>
                      <w:sz w:val="21"/>
                      <w:szCs w:val="21"/>
                    </w:rPr>
                  </w:pPr>
                  <w:r>
                    <w:rPr>
                      <w:rFonts w:hint="default" w:ascii="Times New Roman" w:hAnsi="Times New Roman" w:cs="Times New Roman"/>
                      <w:color w:val="auto"/>
                      <w:spacing w:val="0"/>
                      <w:sz w:val="21"/>
                      <w:szCs w:val="21"/>
                    </w:rPr>
                    <w:t>本项目建成后按《危险废物污染防治技术政策》中的有关规定从事相关的生产、经营活动。</w:t>
                  </w:r>
                </w:p>
              </w:tc>
              <w:tc>
                <w:tcPr>
                  <w:tcW w:w="542" w:type="pct"/>
                  <w:tcBorders>
                    <w:tl2br w:val="nil"/>
                    <w:tr2bl w:val="nil"/>
                  </w:tcBorders>
                  <w:vAlign w:val="center"/>
                </w:tcPr>
                <w:p w14:paraId="0BBCB698">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0"/>
                      <w:sz w:val="21"/>
                      <w:szCs w:val="21"/>
                    </w:rPr>
                  </w:pPr>
                  <w:r>
                    <w:rPr>
                      <w:rFonts w:hint="default" w:ascii="Times New Roman" w:hAnsi="Times New Roman" w:cs="Times New Roman"/>
                      <w:color w:val="auto"/>
                      <w:spacing w:val="0"/>
                      <w:sz w:val="21"/>
                      <w:szCs w:val="21"/>
                    </w:rPr>
                    <w:t>符合</w:t>
                  </w:r>
                </w:p>
              </w:tc>
            </w:tr>
            <w:tr w14:paraId="3F5A3D9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375" w:type="pct"/>
                  <w:vMerge w:val="continue"/>
                  <w:tcBorders>
                    <w:tl2br w:val="nil"/>
                    <w:tr2bl w:val="nil"/>
                  </w:tcBorders>
                  <w:vAlign w:val="center"/>
                </w:tcPr>
                <w:p w14:paraId="3820D073">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0"/>
                      <w:sz w:val="21"/>
                      <w:szCs w:val="21"/>
                    </w:rPr>
                  </w:pPr>
                </w:p>
              </w:tc>
              <w:tc>
                <w:tcPr>
                  <w:tcW w:w="2143" w:type="pct"/>
                  <w:tcBorders>
                    <w:tl2br w:val="nil"/>
                    <w:tr2bl w:val="nil"/>
                  </w:tcBorders>
                  <w:vAlign w:val="center"/>
                </w:tcPr>
                <w:p w14:paraId="0F6E3096">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cs="Times New Roman"/>
                      <w:color w:val="auto"/>
                      <w:spacing w:val="0"/>
                      <w:sz w:val="21"/>
                      <w:szCs w:val="21"/>
                    </w:rPr>
                  </w:pPr>
                  <w:r>
                    <w:rPr>
                      <w:rFonts w:hint="default" w:ascii="Times New Roman" w:hAnsi="Times New Roman" w:cs="Times New Roman"/>
                      <w:color w:val="auto"/>
                      <w:spacing w:val="0"/>
                      <w:sz w:val="21"/>
                      <w:szCs w:val="21"/>
                    </w:rPr>
                    <w:t>4.3废矿物油产生单位和废矿物油经营单位应采取防扬散、防流失、防渗漏及其他防止污染环境的措施。</w:t>
                  </w:r>
                </w:p>
              </w:tc>
              <w:tc>
                <w:tcPr>
                  <w:tcW w:w="1939" w:type="pct"/>
                  <w:tcBorders>
                    <w:tl2br w:val="nil"/>
                    <w:tr2bl w:val="nil"/>
                  </w:tcBorders>
                  <w:vAlign w:val="center"/>
                </w:tcPr>
                <w:p w14:paraId="764DE1B7">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cs="Times New Roman"/>
                      <w:color w:val="auto"/>
                      <w:spacing w:val="0"/>
                      <w:sz w:val="21"/>
                      <w:szCs w:val="21"/>
                    </w:rPr>
                  </w:pPr>
                  <w:r>
                    <w:rPr>
                      <w:rFonts w:hint="eastAsia" w:ascii="Times New Roman" w:hAnsi="Times New Roman" w:cs="Times New Roman"/>
                      <w:color w:val="auto"/>
                      <w:spacing w:val="-6"/>
                      <w:sz w:val="21"/>
                      <w:szCs w:val="21"/>
                      <w:lang w:val="en-US" w:eastAsia="zh-CN"/>
                    </w:rPr>
                    <w:t>项目</w:t>
                  </w:r>
                  <w:r>
                    <w:rPr>
                      <w:rFonts w:hint="default" w:ascii="Times New Roman" w:hAnsi="Times New Roman" w:cs="Times New Roman"/>
                      <w:color w:val="auto"/>
                      <w:spacing w:val="-6"/>
                      <w:sz w:val="21"/>
                      <w:szCs w:val="21"/>
                    </w:rPr>
                    <w:t>建成后采取防扬散、防流失、防渗漏及其他防止污染环境的措施。</w:t>
                  </w:r>
                </w:p>
              </w:tc>
              <w:tc>
                <w:tcPr>
                  <w:tcW w:w="542" w:type="pct"/>
                  <w:tcBorders>
                    <w:tl2br w:val="nil"/>
                    <w:tr2bl w:val="nil"/>
                  </w:tcBorders>
                  <w:vAlign w:val="center"/>
                </w:tcPr>
                <w:p w14:paraId="68E082F3">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0"/>
                      <w:sz w:val="21"/>
                      <w:szCs w:val="21"/>
                    </w:rPr>
                  </w:pPr>
                  <w:r>
                    <w:rPr>
                      <w:rFonts w:hint="default" w:ascii="Times New Roman" w:hAnsi="Times New Roman" w:cs="Times New Roman"/>
                      <w:color w:val="auto"/>
                      <w:spacing w:val="0"/>
                      <w:sz w:val="21"/>
                      <w:szCs w:val="21"/>
                    </w:rPr>
                    <w:t>符合</w:t>
                  </w:r>
                </w:p>
              </w:tc>
            </w:tr>
            <w:tr w14:paraId="4D954CD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375" w:type="pct"/>
                  <w:vMerge w:val="continue"/>
                  <w:tcBorders>
                    <w:tl2br w:val="nil"/>
                    <w:tr2bl w:val="nil"/>
                  </w:tcBorders>
                  <w:vAlign w:val="center"/>
                </w:tcPr>
                <w:p w14:paraId="727AF86B">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default" w:ascii="Times New Roman" w:hAnsi="Times New Roman" w:cs="Times New Roman"/>
                      <w:color w:val="auto"/>
                      <w:spacing w:val="0"/>
                      <w:sz w:val="21"/>
                      <w:szCs w:val="21"/>
                    </w:rPr>
                  </w:pPr>
                </w:p>
              </w:tc>
              <w:tc>
                <w:tcPr>
                  <w:tcW w:w="2143" w:type="pct"/>
                  <w:tcBorders>
                    <w:tl2br w:val="nil"/>
                    <w:tr2bl w:val="nil"/>
                  </w:tcBorders>
                  <w:vAlign w:val="center"/>
                </w:tcPr>
                <w:p w14:paraId="68335C4A">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cs="Times New Roman"/>
                      <w:color w:val="auto"/>
                      <w:spacing w:val="0"/>
                      <w:sz w:val="21"/>
                      <w:szCs w:val="21"/>
                    </w:rPr>
                  </w:pPr>
                  <w:r>
                    <w:rPr>
                      <w:rFonts w:hint="default" w:ascii="Times New Roman" w:hAnsi="Times New Roman" w:cs="Times New Roman"/>
                      <w:color w:val="auto"/>
                      <w:spacing w:val="0"/>
                      <w:sz w:val="21"/>
                      <w:szCs w:val="21"/>
                    </w:rPr>
                    <w:t>4.4废矿物油应按照来源、特性进行分类收集、贮存、利用和处置。</w:t>
                  </w:r>
                </w:p>
              </w:tc>
              <w:tc>
                <w:tcPr>
                  <w:tcW w:w="1939" w:type="pct"/>
                  <w:tcBorders>
                    <w:tl2br w:val="nil"/>
                    <w:tr2bl w:val="nil"/>
                  </w:tcBorders>
                  <w:vAlign w:val="center"/>
                </w:tcPr>
                <w:p w14:paraId="060A81F8">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cs="Times New Roman"/>
                      <w:color w:val="auto"/>
                      <w:spacing w:val="0"/>
                      <w:sz w:val="21"/>
                      <w:szCs w:val="21"/>
                    </w:rPr>
                  </w:pPr>
                  <w:r>
                    <w:rPr>
                      <w:rFonts w:hint="default" w:ascii="Times New Roman" w:hAnsi="Times New Roman" w:cs="Times New Roman"/>
                      <w:color w:val="auto"/>
                      <w:spacing w:val="0"/>
                      <w:sz w:val="21"/>
                      <w:szCs w:val="21"/>
                    </w:rPr>
                    <w:t>本项目按照来源、特性进行收集、贮存废矿物油。</w:t>
                  </w:r>
                </w:p>
              </w:tc>
              <w:tc>
                <w:tcPr>
                  <w:tcW w:w="542" w:type="pct"/>
                  <w:tcBorders>
                    <w:tl2br w:val="nil"/>
                    <w:tr2bl w:val="nil"/>
                  </w:tcBorders>
                  <w:vAlign w:val="center"/>
                </w:tcPr>
                <w:p w14:paraId="51A2FF28">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0"/>
                      <w:sz w:val="21"/>
                      <w:szCs w:val="21"/>
                    </w:rPr>
                  </w:pPr>
                  <w:r>
                    <w:rPr>
                      <w:rFonts w:hint="default" w:ascii="Times New Roman" w:hAnsi="Times New Roman" w:cs="Times New Roman"/>
                      <w:color w:val="auto"/>
                      <w:spacing w:val="0"/>
                      <w:sz w:val="21"/>
                      <w:szCs w:val="21"/>
                    </w:rPr>
                    <w:t>符合</w:t>
                  </w:r>
                </w:p>
              </w:tc>
            </w:tr>
            <w:tr w14:paraId="6117FE4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375" w:type="pct"/>
                  <w:vMerge w:val="continue"/>
                  <w:tcBorders>
                    <w:tl2br w:val="nil"/>
                    <w:tr2bl w:val="nil"/>
                  </w:tcBorders>
                  <w:vAlign w:val="center"/>
                </w:tcPr>
                <w:p w14:paraId="5F2CAF26">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default" w:ascii="Times New Roman" w:hAnsi="Times New Roman" w:cs="Times New Roman"/>
                      <w:color w:val="auto"/>
                      <w:spacing w:val="0"/>
                      <w:sz w:val="21"/>
                      <w:szCs w:val="21"/>
                    </w:rPr>
                  </w:pPr>
                </w:p>
              </w:tc>
              <w:tc>
                <w:tcPr>
                  <w:tcW w:w="2143" w:type="pct"/>
                  <w:tcBorders>
                    <w:tl2br w:val="nil"/>
                    <w:tr2bl w:val="nil"/>
                  </w:tcBorders>
                  <w:vAlign w:val="center"/>
                </w:tcPr>
                <w:p w14:paraId="1C9B72DD">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cs="Times New Roman"/>
                      <w:color w:val="auto"/>
                      <w:spacing w:val="0"/>
                      <w:sz w:val="21"/>
                      <w:szCs w:val="21"/>
                    </w:rPr>
                  </w:pPr>
                  <w:r>
                    <w:rPr>
                      <w:rFonts w:hint="default" w:ascii="Times New Roman" w:hAnsi="Times New Roman" w:cs="Times New Roman"/>
                      <w:color w:val="auto"/>
                      <w:spacing w:val="-6"/>
                      <w:sz w:val="21"/>
                      <w:szCs w:val="21"/>
                    </w:rPr>
                    <w:t>4.5含多氯联苯废矿物油属于多氯</w:t>
                  </w:r>
                  <w:r>
                    <w:rPr>
                      <w:rFonts w:hint="eastAsia" w:ascii="Times New Roman" w:hAnsi="Times New Roman" w:cs="Times New Roman"/>
                      <w:color w:val="auto"/>
                      <w:spacing w:val="-6"/>
                      <w:sz w:val="21"/>
                      <w:szCs w:val="21"/>
                      <w:lang w:eastAsia="zh-CN"/>
                    </w:rPr>
                    <w:t>（</w:t>
                  </w:r>
                  <w:r>
                    <w:rPr>
                      <w:rFonts w:hint="default" w:ascii="Times New Roman" w:hAnsi="Times New Roman" w:cs="Times New Roman"/>
                      <w:color w:val="auto"/>
                      <w:spacing w:val="-6"/>
                      <w:sz w:val="21"/>
                      <w:szCs w:val="21"/>
                    </w:rPr>
                    <w:t>溴</w:t>
                  </w:r>
                  <w:r>
                    <w:rPr>
                      <w:rFonts w:hint="eastAsia" w:ascii="Times New Roman" w:hAnsi="Times New Roman" w:cs="Times New Roman"/>
                      <w:color w:val="auto"/>
                      <w:spacing w:val="-6"/>
                      <w:sz w:val="21"/>
                      <w:szCs w:val="21"/>
                      <w:lang w:eastAsia="zh-CN"/>
                    </w:rPr>
                    <w:t>）</w:t>
                  </w:r>
                  <w:r>
                    <w:rPr>
                      <w:rFonts w:hint="default" w:ascii="Times New Roman" w:hAnsi="Times New Roman" w:cs="Times New Roman"/>
                      <w:color w:val="auto"/>
                      <w:spacing w:val="-6"/>
                      <w:sz w:val="21"/>
                      <w:szCs w:val="21"/>
                    </w:rPr>
                    <w:t>联苯类废物，其收集、贮存、运输、利用和处置应按GB13015和相关规定执行。</w:t>
                  </w:r>
                </w:p>
              </w:tc>
              <w:tc>
                <w:tcPr>
                  <w:tcW w:w="1939" w:type="pct"/>
                  <w:tcBorders>
                    <w:tl2br w:val="nil"/>
                    <w:tr2bl w:val="nil"/>
                  </w:tcBorders>
                  <w:vAlign w:val="center"/>
                </w:tcPr>
                <w:p w14:paraId="14405CCB">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eastAsia="宋体" w:cs="Times New Roman"/>
                      <w:color w:val="auto"/>
                      <w:spacing w:val="0"/>
                      <w:sz w:val="21"/>
                      <w:szCs w:val="21"/>
                      <w:lang w:val="en-US" w:eastAsia="zh-CN"/>
                    </w:rPr>
                  </w:pPr>
                  <w:r>
                    <w:rPr>
                      <w:rFonts w:hint="eastAsia" w:ascii="Times New Roman" w:hAnsi="Times New Roman" w:cs="Times New Roman"/>
                      <w:color w:val="auto"/>
                      <w:spacing w:val="0"/>
                      <w:sz w:val="21"/>
                      <w:szCs w:val="21"/>
                      <w:lang w:val="en-US" w:eastAsia="zh-CN"/>
                    </w:rPr>
                    <w:t>本项目不收集HW10多氯（溴）联苯类废物</w:t>
                  </w:r>
                </w:p>
              </w:tc>
              <w:tc>
                <w:tcPr>
                  <w:tcW w:w="542" w:type="pct"/>
                  <w:tcBorders>
                    <w:tl2br w:val="nil"/>
                    <w:tr2bl w:val="nil"/>
                  </w:tcBorders>
                  <w:vAlign w:val="center"/>
                </w:tcPr>
                <w:p w14:paraId="12E6266A">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0"/>
                      <w:sz w:val="21"/>
                      <w:szCs w:val="21"/>
                    </w:rPr>
                  </w:pPr>
                  <w:r>
                    <w:rPr>
                      <w:rFonts w:hint="default" w:ascii="Times New Roman" w:hAnsi="Times New Roman" w:cs="Times New Roman"/>
                      <w:color w:val="auto"/>
                      <w:spacing w:val="0"/>
                      <w:sz w:val="21"/>
                      <w:szCs w:val="21"/>
                    </w:rPr>
                    <w:t>符合</w:t>
                  </w:r>
                </w:p>
              </w:tc>
            </w:tr>
            <w:tr w14:paraId="5CA57D7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375" w:type="pct"/>
                  <w:tcBorders>
                    <w:tl2br w:val="nil"/>
                    <w:tr2bl w:val="nil"/>
                  </w:tcBorders>
                  <w:vAlign w:val="center"/>
                </w:tcPr>
                <w:p w14:paraId="207FA4A6">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sz w:val="21"/>
                      <w:szCs w:val="21"/>
                    </w:rPr>
                  </w:pPr>
                  <w:r>
                    <w:rPr>
                      <w:rFonts w:hint="eastAsia" w:ascii="Times New Roman" w:hAnsi="Times New Roman" w:cs="Times New Roman"/>
                      <w:color w:val="auto"/>
                      <w:spacing w:val="-6"/>
                      <w:sz w:val="21"/>
                      <w:szCs w:val="21"/>
                      <w:lang w:val="en-US" w:eastAsia="zh-CN"/>
                    </w:rPr>
                    <w:t>分类及</w:t>
                  </w:r>
                  <w:r>
                    <w:rPr>
                      <w:rFonts w:hint="default" w:ascii="Times New Roman" w:hAnsi="Times New Roman" w:cs="Times New Roman"/>
                      <w:color w:val="auto"/>
                      <w:spacing w:val="-6"/>
                      <w:sz w:val="21"/>
                      <w:szCs w:val="21"/>
                    </w:rPr>
                    <w:t>标签要求</w:t>
                  </w:r>
                </w:p>
              </w:tc>
              <w:tc>
                <w:tcPr>
                  <w:tcW w:w="2143" w:type="pct"/>
                  <w:tcBorders>
                    <w:tl2br w:val="nil"/>
                    <w:tr2bl w:val="nil"/>
                  </w:tcBorders>
                  <w:vAlign w:val="center"/>
                </w:tcPr>
                <w:p w14:paraId="75E3D8E1">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eastAsia" w:ascii="Times New Roman" w:hAnsi="Times New Roman" w:eastAsia="宋体" w:cs="Times New Roman"/>
                      <w:color w:val="auto"/>
                      <w:spacing w:val="0"/>
                      <w:sz w:val="21"/>
                      <w:szCs w:val="21"/>
                      <w:lang w:eastAsia="zh-CN"/>
                    </w:rPr>
                  </w:pPr>
                  <w:r>
                    <w:rPr>
                      <w:rFonts w:hint="eastAsia" w:ascii="Times New Roman" w:hAnsi="Times New Roman" w:cs="Times New Roman"/>
                      <w:color w:val="auto"/>
                      <w:spacing w:val="0"/>
                      <w:sz w:val="21"/>
                      <w:szCs w:val="21"/>
                      <w:lang w:val="en-US" w:eastAsia="zh-CN"/>
                    </w:rPr>
                    <w:t>5.2</w:t>
                  </w:r>
                  <w:r>
                    <w:rPr>
                      <w:rFonts w:hint="default" w:ascii="Times New Roman" w:hAnsi="Times New Roman" w:cs="Times New Roman"/>
                      <w:color w:val="auto"/>
                      <w:spacing w:val="0"/>
                      <w:sz w:val="21"/>
                      <w:szCs w:val="21"/>
                    </w:rPr>
                    <w:t>应在废矿物油包装容器的适当位置粘贴废矿物油标签，标签应清晰易读，不应人为遮盖或污染</w:t>
                  </w:r>
                  <w:r>
                    <w:rPr>
                      <w:rFonts w:hint="eastAsia" w:ascii="Times New Roman" w:hAnsi="Times New Roman" w:cs="Times New Roman"/>
                      <w:color w:val="auto"/>
                      <w:spacing w:val="0"/>
                      <w:sz w:val="21"/>
                      <w:szCs w:val="21"/>
                      <w:lang w:eastAsia="zh-CN"/>
                    </w:rPr>
                    <w:t>。</w:t>
                  </w:r>
                </w:p>
              </w:tc>
              <w:tc>
                <w:tcPr>
                  <w:tcW w:w="1939" w:type="pct"/>
                  <w:tcBorders>
                    <w:tl2br w:val="nil"/>
                    <w:tr2bl w:val="nil"/>
                  </w:tcBorders>
                  <w:vAlign w:val="center"/>
                </w:tcPr>
                <w:p w14:paraId="1945B6E6">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cs="Times New Roman"/>
                      <w:color w:val="auto"/>
                      <w:spacing w:val="0"/>
                      <w:sz w:val="21"/>
                      <w:szCs w:val="21"/>
                    </w:rPr>
                  </w:pPr>
                  <w:r>
                    <w:rPr>
                      <w:rFonts w:hint="default" w:ascii="Times New Roman" w:hAnsi="Times New Roman" w:cs="Times New Roman"/>
                      <w:color w:val="auto"/>
                      <w:spacing w:val="0"/>
                      <w:sz w:val="21"/>
                      <w:szCs w:val="21"/>
                    </w:rPr>
                    <w:t>本项目对于回收的废矿物油均在外包装桶上粘贴符合规范要求的废矿物油</w:t>
                  </w:r>
                  <w:r>
                    <w:rPr>
                      <w:rFonts w:hint="eastAsia" w:ascii="Times New Roman" w:hAnsi="Times New Roman" w:cs="Times New Roman"/>
                      <w:color w:val="auto"/>
                      <w:spacing w:val="0"/>
                      <w:sz w:val="21"/>
                      <w:szCs w:val="21"/>
                      <w:lang w:val="en-US" w:eastAsia="zh-CN"/>
                    </w:rPr>
                    <w:t>标签</w:t>
                  </w:r>
                  <w:r>
                    <w:rPr>
                      <w:rFonts w:hint="default" w:ascii="Times New Roman" w:hAnsi="Times New Roman" w:cs="Times New Roman"/>
                      <w:color w:val="auto"/>
                      <w:spacing w:val="0"/>
                      <w:sz w:val="21"/>
                      <w:szCs w:val="21"/>
                    </w:rPr>
                    <w:t>。</w:t>
                  </w:r>
                </w:p>
              </w:tc>
              <w:tc>
                <w:tcPr>
                  <w:tcW w:w="542" w:type="pct"/>
                  <w:tcBorders>
                    <w:tl2br w:val="nil"/>
                    <w:tr2bl w:val="nil"/>
                  </w:tcBorders>
                  <w:vAlign w:val="center"/>
                </w:tcPr>
                <w:p w14:paraId="0CBD484C">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0"/>
                      <w:sz w:val="21"/>
                      <w:szCs w:val="21"/>
                    </w:rPr>
                  </w:pPr>
                  <w:r>
                    <w:rPr>
                      <w:rFonts w:hint="default" w:ascii="Times New Roman" w:hAnsi="Times New Roman" w:cs="Times New Roman"/>
                      <w:color w:val="auto"/>
                      <w:spacing w:val="0"/>
                      <w:sz w:val="21"/>
                      <w:szCs w:val="21"/>
                    </w:rPr>
                    <w:t>符合</w:t>
                  </w:r>
                </w:p>
              </w:tc>
            </w:tr>
            <w:tr w14:paraId="7B9481B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375" w:type="pct"/>
                  <w:vMerge w:val="restart"/>
                  <w:tcBorders>
                    <w:tl2br w:val="nil"/>
                    <w:tr2bl w:val="nil"/>
                  </w:tcBorders>
                  <w:vAlign w:val="center"/>
                </w:tcPr>
                <w:p w14:paraId="74E7B90C">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sz w:val="21"/>
                      <w:szCs w:val="21"/>
                    </w:rPr>
                  </w:pPr>
                  <w:r>
                    <w:rPr>
                      <w:rFonts w:hint="default" w:ascii="Times New Roman" w:hAnsi="Times New Roman" w:cs="Times New Roman"/>
                      <w:color w:val="auto"/>
                      <w:spacing w:val="0"/>
                      <w:sz w:val="21"/>
                      <w:szCs w:val="21"/>
                    </w:rPr>
                    <w:t>收集污染控制技术要求</w:t>
                  </w:r>
                </w:p>
              </w:tc>
              <w:tc>
                <w:tcPr>
                  <w:tcW w:w="2143" w:type="pct"/>
                  <w:tcBorders>
                    <w:tl2br w:val="nil"/>
                    <w:tr2bl w:val="nil"/>
                  </w:tcBorders>
                  <w:vAlign w:val="center"/>
                </w:tcPr>
                <w:p w14:paraId="666429C4">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cs="Times New Roman"/>
                      <w:color w:val="auto"/>
                      <w:spacing w:val="0"/>
                      <w:sz w:val="21"/>
                      <w:szCs w:val="21"/>
                    </w:rPr>
                  </w:pPr>
                  <w:r>
                    <w:rPr>
                      <w:rFonts w:hint="eastAsia" w:ascii="Times New Roman" w:hAnsi="Times New Roman" w:cs="Times New Roman"/>
                      <w:color w:val="auto"/>
                      <w:spacing w:val="0"/>
                      <w:sz w:val="21"/>
                      <w:szCs w:val="21"/>
                      <w:lang w:val="en-US" w:eastAsia="zh-CN"/>
                    </w:rPr>
                    <w:t>6</w:t>
                  </w:r>
                  <w:r>
                    <w:rPr>
                      <w:rFonts w:hint="default" w:ascii="Times New Roman" w:hAnsi="Times New Roman" w:cs="Times New Roman"/>
                      <w:color w:val="auto"/>
                      <w:spacing w:val="0"/>
                      <w:sz w:val="21"/>
                      <w:szCs w:val="21"/>
                    </w:rPr>
                    <w:t>.1.1废矿物油收集容器应完好无损，没有腐蚀、污染、损毁或其他可能导致其使用效能减弱的缺陷。</w:t>
                  </w:r>
                </w:p>
              </w:tc>
              <w:tc>
                <w:tcPr>
                  <w:tcW w:w="1939" w:type="pct"/>
                  <w:tcBorders>
                    <w:tl2br w:val="nil"/>
                    <w:tr2bl w:val="nil"/>
                  </w:tcBorders>
                  <w:vAlign w:val="center"/>
                </w:tcPr>
                <w:p w14:paraId="678B05FB">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cs="Times New Roman"/>
                      <w:color w:val="auto"/>
                      <w:spacing w:val="0"/>
                      <w:sz w:val="21"/>
                      <w:szCs w:val="21"/>
                    </w:rPr>
                  </w:pPr>
                  <w:r>
                    <w:rPr>
                      <w:rFonts w:hint="default" w:ascii="Times New Roman" w:hAnsi="Times New Roman" w:cs="Times New Roman"/>
                      <w:color w:val="auto"/>
                      <w:spacing w:val="0"/>
                      <w:sz w:val="21"/>
                      <w:szCs w:val="21"/>
                    </w:rPr>
                    <w:t>项目采用完好无损的收集容器，没有腐蚀、污染、损毁或其他可能导致其使用效能减弱的缺陷。</w:t>
                  </w:r>
                </w:p>
              </w:tc>
              <w:tc>
                <w:tcPr>
                  <w:tcW w:w="542" w:type="pct"/>
                  <w:tcBorders>
                    <w:tl2br w:val="nil"/>
                    <w:tr2bl w:val="nil"/>
                  </w:tcBorders>
                  <w:vAlign w:val="center"/>
                </w:tcPr>
                <w:p w14:paraId="049373BA">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0"/>
                      <w:sz w:val="21"/>
                      <w:szCs w:val="21"/>
                    </w:rPr>
                  </w:pPr>
                  <w:r>
                    <w:rPr>
                      <w:rFonts w:hint="default" w:ascii="Times New Roman" w:hAnsi="Times New Roman" w:cs="Times New Roman"/>
                      <w:color w:val="auto"/>
                      <w:spacing w:val="0"/>
                      <w:sz w:val="21"/>
                      <w:szCs w:val="21"/>
                    </w:rPr>
                    <w:t>符合</w:t>
                  </w:r>
                </w:p>
              </w:tc>
            </w:tr>
            <w:tr w14:paraId="7D395E9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3" w:hRule="atLeast"/>
              </w:trPr>
              <w:tc>
                <w:tcPr>
                  <w:tcW w:w="375" w:type="pct"/>
                  <w:vMerge w:val="continue"/>
                  <w:tcBorders>
                    <w:tl2br w:val="nil"/>
                    <w:tr2bl w:val="nil"/>
                  </w:tcBorders>
                  <w:vAlign w:val="center"/>
                </w:tcPr>
                <w:p w14:paraId="614F31E2">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default" w:ascii="Times New Roman" w:hAnsi="Times New Roman" w:cs="Times New Roman"/>
                      <w:color w:val="auto"/>
                      <w:spacing w:val="0"/>
                      <w:sz w:val="21"/>
                      <w:szCs w:val="21"/>
                    </w:rPr>
                  </w:pPr>
                </w:p>
              </w:tc>
              <w:tc>
                <w:tcPr>
                  <w:tcW w:w="2143" w:type="pct"/>
                  <w:tcBorders>
                    <w:tl2br w:val="nil"/>
                    <w:tr2bl w:val="nil"/>
                  </w:tcBorders>
                  <w:vAlign w:val="center"/>
                </w:tcPr>
                <w:p w14:paraId="062EC086">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cs="Times New Roman"/>
                      <w:color w:val="auto"/>
                      <w:spacing w:val="0"/>
                      <w:sz w:val="21"/>
                      <w:szCs w:val="21"/>
                    </w:rPr>
                  </w:pPr>
                  <w:r>
                    <w:rPr>
                      <w:rFonts w:hint="eastAsia" w:ascii="Times New Roman" w:hAnsi="Times New Roman" w:cs="Times New Roman"/>
                      <w:color w:val="auto"/>
                      <w:spacing w:val="0"/>
                      <w:sz w:val="21"/>
                      <w:szCs w:val="21"/>
                      <w:lang w:val="en-US" w:eastAsia="zh-CN"/>
                    </w:rPr>
                    <w:t>6</w:t>
                  </w:r>
                  <w:r>
                    <w:rPr>
                      <w:rFonts w:hint="default" w:ascii="Times New Roman" w:hAnsi="Times New Roman" w:cs="Times New Roman"/>
                      <w:color w:val="auto"/>
                      <w:spacing w:val="0"/>
                      <w:sz w:val="21"/>
                      <w:szCs w:val="21"/>
                    </w:rPr>
                    <w:t>.1.2废矿物油收集过程产生的废旧容器应按照危险废物进行处置，仍可转作他用的，应经过消除污染的处理。</w:t>
                  </w:r>
                </w:p>
              </w:tc>
              <w:tc>
                <w:tcPr>
                  <w:tcW w:w="1939" w:type="pct"/>
                  <w:tcBorders>
                    <w:tl2br w:val="nil"/>
                    <w:tr2bl w:val="nil"/>
                  </w:tcBorders>
                  <w:vAlign w:val="center"/>
                </w:tcPr>
                <w:p w14:paraId="0DDF93AE">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sz w:val="21"/>
                      <w:szCs w:val="21"/>
                      <w:lang w:val="en-US" w:eastAsia="zh-CN"/>
                    </w:rPr>
                  </w:pPr>
                  <w:r>
                    <w:rPr>
                      <w:rFonts w:hint="eastAsia" w:ascii="Times New Roman" w:hAnsi="Times New Roman" w:cs="Times New Roman"/>
                      <w:color w:val="auto"/>
                      <w:spacing w:val="0"/>
                      <w:sz w:val="21"/>
                      <w:szCs w:val="21"/>
                      <w:lang w:val="en-US" w:eastAsia="zh-CN"/>
                    </w:rPr>
                    <w:t>本项目不产生废旧容器</w:t>
                  </w:r>
                </w:p>
              </w:tc>
              <w:tc>
                <w:tcPr>
                  <w:tcW w:w="542" w:type="pct"/>
                  <w:tcBorders>
                    <w:tl2br w:val="nil"/>
                    <w:tr2bl w:val="nil"/>
                  </w:tcBorders>
                  <w:vAlign w:val="center"/>
                </w:tcPr>
                <w:p w14:paraId="073B1FF8">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0"/>
                      <w:sz w:val="21"/>
                      <w:szCs w:val="21"/>
                    </w:rPr>
                  </w:pPr>
                  <w:r>
                    <w:rPr>
                      <w:rFonts w:hint="default" w:ascii="Times New Roman" w:hAnsi="Times New Roman" w:cs="Times New Roman"/>
                      <w:color w:val="auto"/>
                      <w:spacing w:val="0"/>
                      <w:sz w:val="21"/>
                      <w:szCs w:val="21"/>
                    </w:rPr>
                    <w:t>符合</w:t>
                  </w:r>
                </w:p>
              </w:tc>
            </w:tr>
            <w:tr w14:paraId="791B978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23" w:hRule="atLeast"/>
              </w:trPr>
              <w:tc>
                <w:tcPr>
                  <w:tcW w:w="375" w:type="pct"/>
                  <w:vMerge w:val="continue"/>
                  <w:tcBorders>
                    <w:tl2br w:val="nil"/>
                    <w:tr2bl w:val="nil"/>
                  </w:tcBorders>
                  <w:vAlign w:val="center"/>
                </w:tcPr>
                <w:p w14:paraId="7DD52155">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default" w:ascii="Times New Roman" w:hAnsi="Times New Roman" w:cs="Times New Roman"/>
                      <w:color w:val="auto"/>
                      <w:spacing w:val="0"/>
                      <w:sz w:val="21"/>
                      <w:szCs w:val="21"/>
                    </w:rPr>
                  </w:pPr>
                </w:p>
              </w:tc>
              <w:tc>
                <w:tcPr>
                  <w:tcW w:w="2143" w:type="pct"/>
                  <w:tcBorders>
                    <w:tl2br w:val="nil"/>
                    <w:tr2bl w:val="nil"/>
                  </w:tcBorders>
                  <w:vAlign w:val="center"/>
                </w:tcPr>
                <w:p w14:paraId="55EBA5AB">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cs="Times New Roman"/>
                      <w:color w:val="auto"/>
                      <w:spacing w:val="0"/>
                      <w:sz w:val="21"/>
                      <w:szCs w:val="21"/>
                    </w:rPr>
                  </w:pPr>
                  <w:r>
                    <w:rPr>
                      <w:rFonts w:hint="eastAsia" w:ascii="Times New Roman" w:hAnsi="Times New Roman" w:cs="Times New Roman"/>
                      <w:color w:val="auto"/>
                      <w:spacing w:val="0"/>
                      <w:sz w:val="21"/>
                      <w:szCs w:val="21"/>
                      <w:lang w:val="en-US" w:eastAsia="zh-CN"/>
                    </w:rPr>
                    <w:t>6</w:t>
                  </w:r>
                  <w:r>
                    <w:rPr>
                      <w:rFonts w:hint="default" w:ascii="Times New Roman" w:hAnsi="Times New Roman" w:cs="Times New Roman"/>
                      <w:color w:val="auto"/>
                      <w:spacing w:val="0"/>
                      <w:sz w:val="21"/>
                      <w:szCs w:val="21"/>
                    </w:rPr>
                    <w:t>.1.3废矿物油应在产生源收集，不宜在产生源收集的应设置专用设施集中收集。</w:t>
                  </w:r>
                </w:p>
              </w:tc>
              <w:tc>
                <w:tcPr>
                  <w:tcW w:w="1939" w:type="pct"/>
                  <w:tcBorders>
                    <w:tl2br w:val="nil"/>
                    <w:tr2bl w:val="nil"/>
                  </w:tcBorders>
                  <w:vAlign w:val="center"/>
                </w:tcPr>
                <w:p w14:paraId="1CA096AC">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0"/>
                      <w:sz w:val="21"/>
                      <w:szCs w:val="21"/>
                    </w:rPr>
                  </w:pPr>
                  <w:r>
                    <w:rPr>
                      <w:rFonts w:hint="default" w:ascii="Times New Roman" w:hAnsi="Times New Roman" w:cs="Times New Roman"/>
                      <w:color w:val="auto"/>
                      <w:spacing w:val="0"/>
                      <w:sz w:val="21"/>
                      <w:szCs w:val="21"/>
                    </w:rPr>
                    <w:t>本项目在产生源收集废矿物油。</w:t>
                  </w:r>
                </w:p>
              </w:tc>
              <w:tc>
                <w:tcPr>
                  <w:tcW w:w="542" w:type="pct"/>
                  <w:tcBorders>
                    <w:tl2br w:val="nil"/>
                    <w:tr2bl w:val="nil"/>
                  </w:tcBorders>
                  <w:vAlign w:val="center"/>
                </w:tcPr>
                <w:p w14:paraId="5C46776B">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0"/>
                      <w:sz w:val="21"/>
                      <w:szCs w:val="21"/>
                    </w:rPr>
                  </w:pPr>
                  <w:r>
                    <w:rPr>
                      <w:rFonts w:hint="default" w:ascii="Times New Roman" w:hAnsi="Times New Roman" w:cs="Times New Roman"/>
                      <w:color w:val="auto"/>
                      <w:spacing w:val="0"/>
                      <w:sz w:val="21"/>
                      <w:szCs w:val="21"/>
                    </w:rPr>
                    <w:t>符合</w:t>
                  </w:r>
                </w:p>
              </w:tc>
            </w:tr>
            <w:tr w14:paraId="5D7064B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375" w:type="pct"/>
                  <w:vMerge w:val="continue"/>
                  <w:tcBorders>
                    <w:tl2br w:val="nil"/>
                    <w:tr2bl w:val="nil"/>
                  </w:tcBorders>
                  <w:vAlign w:val="center"/>
                </w:tcPr>
                <w:p w14:paraId="4D666FEA">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default" w:ascii="Times New Roman" w:hAnsi="Times New Roman" w:cs="Times New Roman"/>
                      <w:color w:val="auto"/>
                      <w:spacing w:val="0"/>
                      <w:sz w:val="21"/>
                      <w:szCs w:val="21"/>
                    </w:rPr>
                  </w:pPr>
                </w:p>
              </w:tc>
              <w:tc>
                <w:tcPr>
                  <w:tcW w:w="2143" w:type="pct"/>
                  <w:tcBorders>
                    <w:tl2br w:val="nil"/>
                    <w:tr2bl w:val="nil"/>
                  </w:tcBorders>
                  <w:vAlign w:val="center"/>
                </w:tcPr>
                <w:p w14:paraId="7F7FFB95">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eastAsia="宋体" w:cs="Times New Roman"/>
                      <w:color w:val="auto"/>
                      <w:spacing w:val="0"/>
                      <w:sz w:val="21"/>
                      <w:szCs w:val="21"/>
                      <w:lang w:val="en-US" w:eastAsia="zh-CN"/>
                    </w:rPr>
                  </w:pPr>
                  <w:r>
                    <w:rPr>
                      <w:rFonts w:hint="default" w:ascii="Times New Roman" w:hAnsi="Times New Roman" w:cs="Times New Roman"/>
                      <w:color w:val="auto"/>
                      <w:spacing w:val="0"/>
                      <w:sz w:val="21"/>
                      <w:szCs w:val="21"/>
                    </w:rPr>
                    <w:t>5.1.4废矿物油收集过程产生的含油棉、含油毡等含废</w:t>
                  </w:r>
                  <w:r>
                    <w:rPr>
                      <w:rFonts w:hint="eastAsia" w:ascii="Times New Roman" w:hAnsi="Times New Roman" w:cs="Times New Roman"/>
                      <w:color w:val="auto"/>
                      <w:spacing w:val="0"/>
                      <w:sz w:val="21"/>
                      <w:szCs w:val="21"/>
                      <w:lang w:val="en-US" w:eastAsia="zh-CN"/>
                    </w:rPr>
                    <w:t>矿物油废物应一并收集。</w:t>
                  </w:r>
                </w:p>
              </w:tc>
              <w:tc>
                <w:tcPr>
                  <w:tcW w:w="1939" w:type="pct"/>
                  <w:tcBorders>
                    <w:tl2br w:val="nil"/>
                    <w:tr2bl w:val="nil"/>
                  </w:tcBorders>
                  <w:vAlign w:val="center"/>
                </w:tcPr>
                <w:p w14:paraId="7E4391FC">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eastAsia="宋体" w:cs="Times New Roman"/>
                      <w:color w:val="auto"/>
                      <w:spacing w:val="0"/>
                      <w:sz w:val="21"/>
                      <w:szCs w:val="21"/>
                      <w:lang w:val="en-US" w:eastAsia="zh-CN"/>
                    </w:rPr>
                  </w:pPr>
                  <w:r>
                    <w:rPr>
                      <w:rFonts w:hint="default" w:ascii="Times New Roman" w:hAnsi="Times New Roman" w:cs="Times New Roman"/>
                      <w:color w:val="auto"/>
                      <w:spacing w:val="0"/>
                      <w:sz w:val="21"/>
                      <w:szCs w:val="21"/>
                    </w:rPr>
                    <w:t>本项目收集过程</w:t>
                  </w:r>
                  <w:r>
                    <w:rPr>
                      <w:rFonts w:hint="eastAsia" w:ascii="Times New Roman" w:hAnsi="Times New Roman" w:cs="Times New Roman"/>
                      <w:color w:val="auto"/>
                      <w:spacing w:val="0"/>
                      <w:sz w:val="21"/>
                      <w:szCs w:val="21"/>
                      <w:lang w:val="en-US" w:eastAsia="zh-CN"/>
                    </w:rPr>
                    <w:t>中</w:t>
                  </w:r>
                  <w:r>
                    <w:rPr>
                      <w:rFonts w:hint="default" w:ascii="Times New Roman" w:hAnsi="Times New Roman" w:cs="Times New Roman"/>
                      <w:color w:val="auto"/>
                      <w:spacing w:val="0"/>
                      <w:sz w:val="21"/>
                      <w:szCs w:val="21"/>
                    </w:rPr>
                    <w:t>产生的含油棉、含油毡等含废矿物</w:t>
                  </w:r>
                  <w:r>
                    <w:rPr>
                      <w:rFonts w:hint="eastAsia" w:ascii="Times New Roman" w:hAnsi="Times New Roman" w:cs="Times New Roman"/>
                      <w:color w:val="auto"/>
                      <w:spacing w:val="0"/>
                      <w:sz w:val="21"/>
                      <w:szCs w:val="21"/>
                      <w:lang w:val="en-US" w:eastAsia="zh-CN"/>
                    </w:rPr>
                    <w:t>一并收集</w:t>
                  </w:r>
                </w:p>
              </w:tc>
              <w:tc>
                <w:tcPr>
                  <w:tcW w:w="542" w:type="pct"/>
                  <w:tcBorders>
                    <w:tl2br w:val="nil"/>
                    <w:tr2bl w:val="nil"/>
                  </w:tcBorders>
                  <w:vAlign w:val="center"/>
                </w:tcPr>
                <w:p w14:paraId="55F00CB5">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0"/>
                      <w:sz w:val="21"/>
                      <w:szCs w:val="21"/>
                    </w:rPr>
                  </w:pPr>
                  <w:r>
                    <w:rPr>
                      <w:rFonts w:hint="default" w:ascii="Times New Roman" w:hAnsi="Times New Roman" w:cs="Times New Roman"/>
                      <w:color w:val="auto"/>
                      <w:spacing w:val="0"/>
                      <w:sz w:val="21"/>
                      <w:szCs w:val="21"/>
                    </w:rPr>
                    <w:t>符合</w:t>
                  </w:r>
                </w:p>
              </w:tc>
            </w:tr>
            <w:tr w14:paraId="18F7027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375" w:type="pct"/>
                  <w:vMerge w:val="restart"/>
                  <w:tcBorders>
                    <w:tl2br w:val="nil"/>
                    <w:tr2bl w:val="nil"/>
                  </w:tcBorders>
                  <w:vAlign w:val="center"/>
                </w:tcPr>
                <w:p w14:paraId="6CEB75CB">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auto"/>
                      <w:spacing w:val="0"/>
                      <w:sz w:val="21"/>
                      <w:szCs w:val="21"/>
                    </w:rPr>
                  </w:pPr>
                  <w:r>
                    <w:rPr>
                      <w:rFonts w:hint="default" w:ascii="Times New Roman" w:hAnsi="Times New Roman" w:cs="Times New Roman"/>
                      <w:color w:val="auto"/>
                      <w:spacing w:val="0"/>
                      <w:sz w:val="21"/>
                      <w:szCs w:val="21"/>
                    </w:rPr>
                    <w:t>贮存污染控制技术要求</w:t>
                  </w:r>
                </w:p>
              </w:tc>
              <w:tc>
                <w:tcPr>
                  <w:tcW w:w="2143" w:type="pct"/>
                  <w:tcBorders>
                    <w:tl2br w:val="nil"/>
                    <w:tr2bl w:val="nil"/>
                  </w:tcBorders>
                  <w:vAlign w:val="center"/>
                </w:tcPr>
                <w:p w14:paraId="36AACB7F">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cs="Times New Roman"/>
                      <w:color w:val="auto"/>
                      <w:spacing w:val="0"/>
                      <w:sz w:val="21"/>
                      <w:szCs w:val="21"/>
                    </w:rPr>
                  </w:pPr>
                  <w:r>
                    <w:rPr>
                      <w:rFonts w:hint="eastAsia" w:ascii="Times New Roman" w:hAnsi="Times New Roman" w:cs="Times New Roman"/>
                      <w:color w:val="auto"/>
                      <w:spacing w:val="0"/>
                      <w:sz w:val="21"/>
                      <w:szCs w:val="21"/>
                      <w:lang w:val="en-US" w:eastAsia="zh-CN"/>
                    </w:rPr>
                    <w:t>7</w:t>
                  </w:r>
                  <w:r>
                    <w:rPr>
                      <w:rFonts w:hint="default" w:ascii="Times New Roman" w:hAnsi="Times New Roman" w:cs="Times New Roman"/>
                      <w:color w:val="auto"/>
                      <w:spacing w:val="0"/>
                      <w:sz w:val="21"/>
                      <w:szCs w:val="21"/>
                    </w:rPr>
                    <w:t>.1废矿物油贮存污染控制应符合GB18597中的有关规定。</w:t>
                  </w:r>
                </w:p>
              </w:tc>
              <w:tc>
                <w:tcPr>
                  <w:tcW w:w="1939" w:type="pct"/>
                  <w:tcBorders>
                    <w:tl2br w:val="nil"/>
                    <w:tr2bl w:val="nil"/>
                  </w:tcBorders>
                  <w:vAlign w:val="center"/>
                </w:tcPr>
                <w:p w14:paraId="2C96825A">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cs="Times New Roman"/>
                      <w:color w:val="auto"/>
                      <w:spacing w:val="0"/>
                      <w:sz w:val="21"/>
                      <w:szCs w:val="21"/>
                    </w:rPr>
                  </w:pPr>
                  <w:r>
                    <w:rPr>
                      <w:rFonts w:hint="default" w:ascii="Times New Roman" w:hAnsi="Times New Roman" w:cs="Times New Roman"/>
                      <w:color w:val="auto"/>
                      <w:spacing w:val="0"/>
                      <w:sz w:val="21"/>
                      <w:szCs w:val="21"/>
                    </w:rPr>
                    <w:t>本项目废矿物油贮存污染控制符合GB18597中的相关规定。</w:t>
                  </w:r>
                </w:p>
              </w:tc>
              <w:tc>
                <w:tcPr>
                  <w:tcW w:w="542" w:type="pct"/>
                  <w:tcBorders>
                    <w:tl2br w:val="nil"/>
                    <w:tr2bl w:val="nil"/>
                  </w:tcBorders>
                  <w:vAlign w:val="center"/>
                </w:tcPr>
                <w:p w14:paraId="136B3B0B">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0"/>
                      <w:sz w:val="21"/>
                      <w:szCs w:val="21"/>
                    </w:rPr>
                  </w:pPr>
                  <w:r>
                    <w:rPr>
                      <w:rFonts w:hint="default" w:ascii="Times New Roman" w:hAnsi="Times New Roman" w:cs="Times New Roman"/>
                      <w:color w:val="auto"/>
                      <w:spacing w:val="0"/>
                      <w:sz w:val="21"/>
                      <w:szCs w:val="21"/>
                    </w:rPr>
                    <w:t>符合</w:t>
                  </w:r>
                </w:p>
              </w:tc>
            </w:tr>
            <w:tr w14:paraId="6F2F636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trPr>
              <w:tc>
                <w:tcPr>
                  <w:tcW w:w="375" w:type="pct"/>
                  <w:vMerge w:val="continue"/>
                  <w:tcBorders>
                    <w:tl2br w:val="nil"/>
                    <w:tr2bl w:val="nil"/>
                  </w:tcBorders>
                  <w:vAlign w:val="center"/>
                </w:tcPr>
                <w:p w14:paraId="287A7631">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0"/>
                    <w:jc w:val="center"/>
                    <w:textAlignment w:val="baseline"/>
                    <w:rPr>
                      <w:rFonts w:hint="default" w:ascii="Times New Roman" w:hAnsi="Times New Roman" w:cs="Times New Roman"/>
                      <w:color w:val="auto"/>
                      <w:spacing w:val="0"/>
                      <w:sz w:val="21"/>
                      <w:szCs w:val="21"/>
                    </w:rPr>
                  </w:pPr>
                </w:p>
              </w:tc>
              <w:tc>
                <w:tcPr>
                  <w:tcW w:w="2143" w:type="pct"/>
                  <w:tcBorders>
                    <w:tl2br w:val="nil"/>
                    <w:tr2bl w:val="nil"/>
                  </w:tcBorders>
                  <w:vAlign w:val="center"/>
                </w:tcPr>
                <w:p w14:paraId="6DE62A93">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cs="Times New Roman"/>
                      <w:color w:val="auto"/>
                      <w:spacing w:val="0"/>
                      <w:sz w:val="21"/>
                      <w:szCs w:val="21"/>
                    </w:rPr>
                  </w:pPr>
                  <w:r>
                    <w:rPr>
                      <w:rFonts w:hint="eastAsia" w:ascii="Times New Roman" w:hAnsi="Times New Roman" w:cs="Times New Roman"/>
                      <w:color w:val="auto"/>
                      <w:spacing w:val="0"/>
                      <w:sz w:val="21"/>
                      <w:szCs w:val="21"/>
                      <w:lang w:val="en-US" w:eastAsia="zh-CN"/>
                    </w:rPr>
                    <w:t>7</w:t>
                  </w:r>
                  <w:r>
                    <w:rPr>
                      <w:rFonts w:hint="default" w:ascii="Times New Roman" w:hAnsi="Times New Roman" w:cs="Times New Roman"/>
                      <w:color w:val="auto"/>
                      <w:spacing w:val="0"/>
                      <w:sz w:val="21"/>
                      <w:szCs w:val="21"/>
                    </w:rPr>
                    <w:t>.2废矿物油贮存设施的设计、建设除符合危险废物贮存设计原则外，还应符合有关消防和危险品贮存设计规范。</w:t>
                  </w:r>
                </w:p>
              </w:tc>
              <w:tc>
                <w:tcPr>
                  <w:tcW w:w="1939" w:type="pct"/>
                  <w:tcBorders>
                    <w:tl2br w:val="nil"/>
                    <w:tr2bl w:val="nil"/>
                  </w:tcBorders>
                  <w:vAlign w:val="center"/>
                </w:tcPr>
                <w:p w14:paraId="2E27E176">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cs="Times New Roman"/>
                      <w:color w:val="auto"/>
                      <w:spacing w:val="0"/>
                      <w:sz w:val="21"/>
                      <w:szCs w:val="21"/>
                    </w:rPr>
                  </w:pPr>
                  <w:r>
                    <w:rPr>
                      <w:rFonts w:hint="default" w:ascii="Times New Roman" w:hAnsi="Times New Roman" w:cs="Times New Roman"/>
                      <w:color w:val="auto"/>
                      <w:spacing w:val="0"/>
                      <w:sz w:val="21"/>
                      <w:szCs w:val="21"/>
                    </w:rPr>
                    <w:t>本项目符合有关消防和危险品贮存的设计规范。</w:t>
                  </w:r>
                </w:p>
              </w:tc>
              <w:tc>
                <w:tcPr>
                  <w:tcW w:w="542" w:type="pct"/>
                  <w:tcBorders>
                    <w:tl2br w:val="nil"/>
                    <w:tr2bl w:val="nil"/>
                  </w:tcBorders>
                  <w:vAlign w:val="center"/>
                </w:tcPr>
                <w:p w14:paraId="674AD6EA">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0"/>
                      <w:sz w:val="21"/>
                      <w:szCs w:val="21"/>
                    </w:rPr>
                  </w:pPr>
                  <w:r>
                    <w:rPr>
                      <w:rFonts w:hint="default" w:ascii="Times New Roman" w:hAnsi="Times New Roman" w:cs="Times New Roman"/>
                      <w:color w:val="auto"/>
                      <w:spacing w:val="0"/>
                      <w:sz w:val="21"/>
                      <w:szCs w:val="21"/>
                    </w:rPr>
                    <w:t>符合</w:t>
                  </w:r>
                </w:p>
              </w:tc>
            </w:tr>
            <w:tr w14:paraId="7BDB979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375" w:type="pct"/>
                  <w:vMerge w:val="continue"/>
                  <w:tcBorders>
                    <w:tl2br w:val="nil"/>
                    <w:tr2bl w:val="nil"/>
                  </w:tcBorders>
                  <w:vAlign w:val="center"/>
                </w:tcPr>
                <w:p w14:paraId="3384F0C3">
                  <w:pPr>
                    <w:keepNext w:val="0"/>
                    <w:keepLines w:val="0"/>
                    <w:pageBreakBefore w:val="0"/>
                    <w:wordWrap/>
                    <w:overflowPunct/>
                    <w:topLinePunct w:val="0"/>
                    <w:bidi w:val="0"/>
                    <w:ind w:left="0" w:right="0" w:firstLine="0"/>
                    <w:jc w:val="center"/>
                    <w:rPr>
                      <w:rFonts w:hint="default" w:ascii="Times New Roman" w:hAnsi="Times New Roman" w:cs="Times New Roman"/>
                      <w:color w:val="auto"/>
                      <w:spacing w:val="0"/>
                      <w:sz w:val="21"/>
                      <w:szCs w:val="21"/>
                    </w:rPr>
                  </w:pPr>
                </w:p>
              </w:tc>
              <w:tc>
                <w:tcPr>
                  <w:tcW w:w="2143" w:type="pct"/>
                  <w:tcBorders>
                    <w:tl2br w:val="nil"/>
                    <w:tr2bl w:val="nil"/>
                  </w:tcBorders>
                  <w:vAlign w:val="center"/>
                </w:tcPr>
                <w:p w14:paraId="0EB352F5">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cs="Times New Roman"/>
                      <w:color w:val="auto"/>
                      <w:spacing w:val="0"/>
                      <w:sz w:val="21"/>
                      <w:szCs w:val="21"/>
                    </w:rPr>
                  </w:pPr>
                  <w:r>
                    <w:rPr>
                      <w:rFonts w:hint="eastAsia" w:ascii="Times New Roman" w:hAnsi="Times New Roman" w:cs="Times New Roman"/>
                      <w:color w:val="auto"/>
                      <w:spacing w:val="0"/>
                      <w:sz w:val="21"/>
                      <w:szCs w:val="21"/>
                      <w:lang w:val="en-US" w:eastAsia="zh-CN"/>
                    </w:rPr>
                    <w:t>7</w:t>
                  </w:r>
                  <w:r>
                    <w:rPr>
                      <w:rFonts w:hint="default" w:ascii="Times New Roman" w:hAnsi="Times New Roman" w:cs="Times New Roman"/>
                      <w:color w:val="auto"/>
                      <w:spacing w:val="0"/>
                      <w:sz w:val="21"/>
                      <w:szCs w:val="21"/>
                    </w:rPr>
                    <w:t>.3废矿物油贮存设施应远离火源，并避免高温和阳光直射。</w:t>
                  </w:r>
                </w:p>
              </w:tc>
              <w:tc>
                <w:tcPr>
                  <w:tcW w:w="1939" w:type="pct"/>
                  <w:tcBorders>
                    <w:tl2br w:val="nil"/>
                    <w:tr2bl w:val="nil"/>
                  </w:tcBorders>
                  <w:vAlign w:val="center"/>
                </w:tcPr>
                <w:p w14:paraId="7F9C8C8E">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cs="Times New Roman"/>
                      <w:color w:val="auto"/>
                      <w:spacing w:val="0"/>
                      <w:sz w:val="21"/>
                      <w:szCs w:val="21"/>
                    </w:rPr>
                  </w:pPr>
                  <w:r>
                    <w:rPr>
                      <w:rFonts w:hint="eastAsia" w:ascii="Times New Roman" w:hAnsi="Times New Roman" w:cs="Times New Roman"/>
                      <w:color w:val="auto"/>
                      <w:spacing w:val="0"/>
                      <w:sz w:val="21"/>
                      <w:szCs w:val="21"/>
                      <w:lang w:val="en-US" w:eastAsia="zh-CN"/>
                    </w:rPr>
                    <w:t>废矿物油贮存区远离火源，避免高温和阳光直射</w:t>
                  </w:r>
                  <w:r>
                    <w:rPr>
                      <w:rFonts w:hint="default" w:ascii="Times New Roman" w:hAnsi="Times New Roman" w:cs="Times New Roman"/>
                      <w:color w:val="auto"/>
                      <w:spacing w:val="0"/>
                      <w:sz w:val="21"/>
                      <w:szCs w:val="21"/>
                    </w:rPr>
                    <w:t>。</w:t>
                  </w:r>
                </w:p>
              </w:tc>
              <w:tc>
                <w:tcPr>
                  <w:tcW w:w="542" w:type="pct"/>
                  <w:tcBorders>
                    <w:tl2br w:val="nil"/>
                    <w:tr2bl w:val="nil"/>
                  </w:tcBorders>
                  <w:vAlign w:val="center"/>
                </w:tcPr>
                <w:p w14:paraId="665DDF02">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0"/>
                      <w:sz w:val="21"/>
                      <w:szCs w:val="21"/>
                    </w:rPr>
                  </w:pPr>
                  <w:r>
                    <w:rPr>
                      <w:rFonts w:hint="default" w:ascii="Times New Roman" w:hAnsi="Times New Roman" w:cs="Times New Roman"/>
                      <w:color w:val="auto"/>
                      <w:spacing w:val="0"/>
                      <w:sz w:val="21"/>
                      <w:szCs w:val="21"/>
                    </w:rPr>
                    <w:t>符合</w:t>
                  </w:r>
                </w:p>
              </w:tc>
            </w:tr>
            <w:tr w14:paraId="59D2851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375" w:type="pct"/>
                  <w:vMerge w:val="continue"/>
                  <w:tcBorders>
                    <w:tl2br w:val="nil"/>
                    <w:tr2bl w:val="nil"/>
                  </w:tcBorders>
                  <w:vAlign w:val="center"/>
                </w:tcPr>
                <w:p w14:paraId="0277F455">
                  <w:pPr>
                    <w:keepNext w:val="0"/>
                    <w:keepLines w:val="0"/>
                    <w:pageBreakBefore w:val="0"/>
                    <w:wordWrap/>
                    <w:overflowPunct/>
                    <w:topLinePunct w:val="0"/>
                    <w:bidi w:val="0"/>
                    <w:ind w:left="0" w:right="0" w:firstLine="0"/>
                    <w:jc w:val="center"/>
                    <w:rPr>
                      <w:rFonts w:hint="default" w:ascii="Times New Roman" w:hAnsi="Times New Roman" w:cs="Times New Roman"/>
                      <w:color w:val="auto"/>
                      <w:spacing w:val="0"/>
                      <w:sz w:val="21"/>
                      <w:szCs w:val="21"/>
                    </w:rPr>
                  </w:pPr>
                </w:p>
              </w:tc>
              <w:tc>
                <w:tcPr>
                  <w:tcW w:w="2143" w:type="pct"/>
                  <w:tcBorders>
                    <w:tl2br w:val="nil"/>
                    <w:tr2bl w:val="nil"/>
                  </w:tcBorders>
                  <w:vAlign w:val="center"/>
                </w:tcPr>
                <w:p w14:paraId="1C9EDB5C">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cs="Times New Roman"/>
                      <w:color w:val="auto"/>
                      <w:spacing w:val="0"/>
                      <w:sz w:val="21"/>
                      <w:szCs w:val="21"/>
                    </w:rPr>
                  </w:pPr>
                  <w:r>
                    <w:rPr>
                      <w:rFonts w:hint="eastAsia" w:ascii="Times New Roman" w:hAnsi="Times New Roman" w:cs="Times New Roman"/>
                      <w:color w:val="auto"/>
                      <w:spacing w:val="0"/>
                      <w:sz w:val="21"/>
                      <w:szCs w:val="21"/>
                      <w:lang w:val="en-US" w:eastAsia="zh-CN"/>
                    </w:rPr>
                    <w:t>7</w:t>
                  </w:r>
                  <w:r>
                    <w:rPr>
                      <w:rFonts w:hint="default" w:ascii="Times New Roman" w:hAnsi="Times New Roman" w:cs="Times New Roman"/>
                      <w:color w:val="auto"/>
                      <w:spacing w:val="0"/>
                      <w:sz w:val="21"/>
                      <w:szCs w:val="21"/>
                    </w:rPr>
                    <w:t>.4废矿物油应使用专用设施贮存，贮存前应进行检验，不应与不相容的废物混合，实行分类存放。</w:t>
                  </w:r>
                </w:p>
              </w:tc>
              <w:tc>
                <w:tcPr>
                  <w:tcW w:w="1939" w:type="pct"/>
                  <w:tcBorders>
                    <w:tl2br w:val="nil"/>
                    <w:tr2bl w:val="nil"/>
                  </w:tcBorders>
                  <w:vAlign w:val="center"/>
                </w:tcPr>
                <w:p w14:paraId="290A2E02">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cs="Times New Roman"/>
                      <w:color w:val="auto"/>
                      <w:spacing w:val="0"/>
                      <w:sz w:val="21"/>
                      <w:szCs w:val="21"/>
                    </w:rPr>
                  </w:pPr>
                  <w:r>
                    <w:rPr>
                      <w:rFonts w:hint="default" w:ascii="Times New Roman" w:hAnsi="Times New Roman" w:cs="Times New Roman"/>
                      <w:color w:val="auto"/>
                      <w:spacing w:val="0"/>
                      <w:sz w:val="21"/>
                      <w:szCs w:val="21"/>
                    </w:rPr>
                    <w:t>项目废矿物油使用专用油桶贮存，贮存前检验，不与不相容的废物混合，实行分类存放。</w:t>
                  </w:r>
                </w:p>
              </w:tc>
              <w:tc>
                <w:tcPr>
                  <w:tcW w:w="542" w:type="pct"/>
                  <w:tcBorders>
                    <w:tl2br w:val="nil"/>
                    <w:tr2bl w:val="nil"/>
                  </w:tcBorders>
                  <w:vAlign w:val="center"/>
                </w:tcPr>
                <w:p w14:paraId="1E88FF37">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0"/>
                      <w:sz w:val="21"/>
                      <w:szCs w:val="21"/>
                    </w:rPr>
                  </w:pPr>
                  <w:r>
                    <w:rPr>
                      <w:rFonts w:hint="default" w:ascii="Times New Roman" w:hAnsi="Times New Roman" w:cs="Times New Roman"/>
                      <w:color w:val="auto"/>
                      <w:spacing w:val="0"/>
                      <w:sz w:val="21"/>
                      <w:szCs w:val="21"/>
                    </w:rPr>
                    <w:t>符合</w:t>
                  </w:r>
                </w:p>
              </w:tc>
            </w:tr>
            <w:tr w14:paraId="6EDD498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375" w:type="pct"/>
                  <w:vMerge w:val="continue"/>
                  <w:tcBorders>
                    <w:tl2br w:val="nil"/>
                    <w:tr2bl w:val="nil"/>
                  </w:tcBorders>
                  <w:vAlign w:val="center"/>
                </w:tcPr>
                <w:p w14:paraId="2BA1144E">
                  <w:pPr>
                    <w:keepNext w:val="0"/>
                    <w:keepLines w:val="0"/>
                    <w:pageBreakBefore w:val="0"/>
                    <w:wordWrap/>
                    <w:overflowPunct/>
                    <w:topLinePunct w:val="0"/>
                    <w:bidi w:val="0"/>
                    <w:ind w:left="0" w:right="0" w:firstLine="0"/>
                    <w:jc w:val="center"/>
                    <w:rPr>
                      <w:rFonts w:hint="default" w:ascii="Times New Roman" w:hAnsi="Times New Roman" w:cs="Times New Roman"/>
                      <w:color w:val="auto"/>
                      <w:spacing w:val="0"/>
                      <w:sz w:val="21"/>
                      <w:szCs w:val="21"/>
                    </w:rPr>
                  </w:pPr>
                </w:p>
              </w:tc>
              <w:tc>
                <w:tcPr>
                  <w:tcW w:w="2143" w:type="pct"/>
                  <w:tcBorders>
                    <w:tl2br w:val="nil"/>
                    <w:tr2bl w:val="nil"/>
                  </w:tcBorders>
                  <w:vAlign w:val="center"/>
                </w:tcPr>
                <w:p w14:paraId="18D49242">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cs="Times New Roman"/>
                      <w:color w:val="auto"/>
                      <w:spacing w:val="0"/>
                      <w:sz w:val="21"/>
                      <w:szCs w:val="21"/>
                    </w:rPr>
                  </w:pPr>
                  <w:r>
                    <w:rPr>
                      <w:rFonts w:hint="eastAsia" w:ascii="Times New Roman" w:hAnsi="Times New Roman" w:cs="Times New Roman"/>
                      <w:color w:val="auto"/>
                      <w:spacing w:val="0"/>
                      <w:sz w:val="21"/>
                      <w:szCs w:val="21"/>
                      <w:lang w:val="en-US" w:eastAsia="zh-CN"/>
                    </w:rPr>
                    <w:t>7</w:t>
                  </w:r>
                  <w:r>
                    <w:rPr>
                      <w:rFonts w:hint="default" w:ascii="Times New Roman" w:hAnsi="Times New Roman" w:cs="Times New Roman"/>
                      <w:color w:val="auto"/>
                      <w:spacing w:val="0"/>
                      <w:sz w:val="21"/>
                      <w:szCs w:val="21"/>
                    </w:rPr>
                    <w:t>.5废矿物油贮存设施内地面应作防渗处理，并建设废矿物油收集和导流系统，用于收集不慎泄漏的废矿物油。</w:t>
                  </w:r>
                </w:p>
              </w:tc>
              <w:tc>
                <w:tcPr>
                  <w:tcW w:w="1939" w:type="pct"/>
                  <w:tcBorders>
                    <w:tl2br w:val="nil"/>
                    <w:tr2bl w:val="nil"/>
                  </w:tcBorders>
                  <w:vAlign w:val="center"/>
                </w:tcPr>
                <w:p w14:paraId="5864A8DD">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cs="Times New Roman"/>
                      <w:color w:val="auto"/>
                      <w:spacing w:val="0"/>
                      <w:sz w:val="21"/>
                      <w:szCs w:val="21"/>
                    </w:rPr>
                  </w:pPr>
                  <w:r>
                    <w:rPr>
                      <w:rFonts w:hint="default" w:ascii="Times New Roman" w:hAnsi="Times New Roman" w:cs="Times New Roman"/>
                      <w:color w:val="auto"/>
                      <w:spacing w:val="0"/>
                      <w:sz w:val="21"/>
                      <w:szCs w:val="21"/>
                    </w:rPr>
                    <w:t>本项目废矿物油贮存</w:t>
                  </w:r>
                  <w:r>
                    <w:rPr>
                      <w:rFonts w:hint="eastAsia" w:ascii="Times New Roman" w:hAnsi="Times New Roman" w:cs="Times New Roman"/>
                      <w:color w:val="auto"/>
                      <w:spacing w:val="0"/>
                      <w:sz w:val="21"/>
                      <w:szCs w:val="21"/>
                      <w:lang w:val="en-US" w:eastAsia="zh-CN"/>
                    </w:rPr>
                    <w:t>区</w:t>
                  </w:r>
                  <w:r>
                    <w:rPr>
                      <w:rFonts w:hint="default" w:ascii="Times New Roman" w:hAnsi="Times New Roman" w:cs="Times New Roman"/>
                      <w:color w:val="auto"/>
                      <w:spacing w:val="0"/>
                      <w:sz w:val="21"/>
                      <w:szCs w:val="21"/>
                    </w:rPr>
                    <w:t>内地面做防腐防渗处理，并设导流沟槽及</w:t>
                  </w:r>
                  <w:r>
                    <w:rPr>
                      <w:rFonts w:hint="eastAsia" w:ascii="Times New Roman" w:hAnsi="Times New Roman" w:cs="Times New Roman"/>
                      <w:color w:val="auto"/>
                      <w:spacing w:val="0"/>
                      <w:sz w:val="21"/>
                      <w:szCs w:val="21"/>
                      <w:lang w:val="en-US" w:eastAsia="zh-CN"/>
                    </w:rPr>
                    <w:t>收集</w:t>
                  </w:r>
                  <w:r>
                    <w:rPr>
                      <w:rFonts w:hint="default" w:ascii="Times New Roman" w:hAnsi="Times New Roman" w:cs="Times New Roman"/>
                      <w:color w:val="auto"/>
                      <w:spacing w:val="0"/>
                      <w:sz w:val="21"/>
                      <w:szCs w:val="21"/>
                    </w:rPr>
                    <w:t>池，用于收集不慎泄漏的废矿物油。</w:t>
                  </w:r>
                </w:p>
              </w:tc>
              <w:tc>
                <w:tcPr>
                  <w:tcW w:w="542" w:type="pct"/>
                  <w:tcBorders>
                    <w:tl2br w:val="nil"/>
                    <w:tr2bl w:val="nil"/>
                  </w:tcBorders>
                  <w:vAlign w:val="center"/>
                </w:tcPr>
                <w:p w14:paraId="3957B895">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0"/>
                      <w:sz w:val="21"/>
                      <w:szCs w:val="21"/>
                    </w:rPr>
                  </w:pPr>
                  <w:r>
                    <w:rPr>
                      <w:rFonts w:hint="default" w:ascii="Times New Roman" w:hAnsi="Times New Roman" w:cs="Times New Roman"/>
                      <w:color w:val="auto"/>
                      <w:spacing w:val="0"/>
                      <w:sz w:val="21"/>
                      <w:szCs w:val="21"/>
                    </w:rPr>
                    <w:t>符合</w:t>
                  </w:r>
                </w:p>
              </w:tc>
            </w:tr>
            <w:tr w14:paraId="7DBD53D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22" w:hRule="atLeast"/>
              </w:trPr>
              <w:tc>
                <w:tcPr>
                  <w:tcW w:w="375" w:type="pct"/>
                  <w:vMerge w:val="continue"/>
                  <w:tcBorders>
                    <w:tl2br w:val="nil"/>
                    <w:tr2bl w:val="nil"/>
                  </w:tcBorders>
                  <w:vAlign w:val="center"/>
                </w:tcPr>
                <w:p w14:paraId="2175156D">
                  <w:pPr>
                    <w:keepNext w:val="0"/>
                    <w:keepLines w:val="0"/>
                    <w:pageBreakBefore w:val="0"/>
                    <w:wordWrap/>
                    <w:overflowPunct/>
                    <w:topLinePunct w:val="0"/>
                    <w:bidi w:val="0"/>
                    <w:ind w:left="0" w:right="0" w:firstLine="0"/>
                    <w:jc w:val="center"/>
                    <w:rPr>
                      <w:rFonts w:hint="default" w:ascii="Times New Roman" w:hAnsi="Times New Roman" w:cs="Times New Roman"/>
                      <w:color w:val="auto"/>
                      <w:spacing w:val="0"/>
                      <w:sz w:val="21"/>
                      <w:szCs w:val="21"/>
                    </w:rPr>
                  </w:pPr>
                </w:p>
              </w:tc>
              <w:tc>
                <w:tcPr>
                  <w:tcW w:w="2143" w:type="pct"/>
                  <w:tcBorders>
                    <w:tl2br w:val="nil"/>
                    <w:tr2bl w:val="nil"/>
                  </w:tcBorders>
                  <w:vAlign w:val="center"/>
                </w:tcPr>
                <w:p w14:paraId="3767ACE1">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cs="Times New Roman"/>
                      <w:color w:val="auto"/>
                      <w:spacing w:val="0"/>
                      <w:sz w:val="21"/>
                      <w:szCs w:val="21"/>
                    </w:rPr>
                  </w:pPr>
                  <w:r>
                    <w:rPr>
                      <w:rFonts w:hint="eastAsia" w:ascii="Times New Roman" w:hAnsi="Times New Roman" w:cs="Times New Roman"/>
                      <w:color w:val="auto"/>
                      <w:spacing w:val="0"/>
                      <w:sz w:val="21"/>
                      <w:szCs w:val="21"/>
                      <w:lang w:val="en-US" w:eastAsia="zh-CN"/>
                    </w:rPr>
                    <w:t>7</w:t>
                  </w:r>
                  <w:r>
                    <w:rPr>
                      <w:rFonts w:hint="default" w:ascii="Times New Roman" w:hAnsi="Times New Roman" w:cs="Times New Roman"/>
                      <w:color w:val="auto"/>
                      <w:spacing w:val="0"/>
                      <w:sz w:val="21"/>
                      <w:szCs w:val="21"/>
                    </w:rPr>
                    <w:t>.6废矿物油容器盛装液体废矿物油时，应留有足够的膨胀余量，预留容积应不少于总容积的5%。</w:t>
                  </w:r>
                </w:p>
              </w:tc>
              <w:tc>
                <w:tcPr>
                  <w:tcW w:w="1939" w:type="pct"/>
                  <w:tcBorders>
                    <w:tl2br w:val="nil"/>
                    <w:tr2bl w:val="nil"/>
                  </w:tcBorders>
                  <w:vAlign w:val="center"/>
                </w:tcPr>
                <w:p w14:paraId="79240226">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cs="Times New Roman"/>
                      <w:color w:val="auto"/>
                      <w:spacing w:val="0"/>
                      <w:sz w:val="21"/>
                      <w:szCs w:val="21"/>
                    </w:rPr>
                  </w:pPr>
                  <w:r>
                    <w:rPr>
                      <w:rFonts w:hint="default" w:ascii="Times New Roman" w:hAnsi="Times New Roman" w:cs="Times New Roman"/>
                      <w:color w:val="auto"/>
                      <w:spacing w:val="0"/>
                      <w:sz w:val="21"/>
                      <w:szCs w:val="21"/>
                    </w:rPr>
                    <w:t>本项目废矿物油容器盛装液体废矿物油时，留有总容积20%的膨胀余量。</w:t>
                  </w:r>
                </w:p>
              </w:tc>
              <w:tc>
                <w:tcPr>
                  <w:tcW w:w="542" w:type="pct"/>
                  <w:tcBorders>
                    <w:tl2br w:val="nil"/>
                    <w:tr2bl w:val="nil"/>
                  </w:tcBorders>
                  <w:vAlign w:val="center"/>
                </w:tcPr>
                <w:p w14:paraId="16622073">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0"/>
                      <w:sz w:val="21"/>
                      <w:szCs w:val="21"/>
                    </w:rPr>
                  </w:pPr>
                  <w:r>
                    <w:rPr>
                      <w:rFonts w:hint="default" w:ascii="Times New Roman" w:hAnsi="Times New Roman" w:cs="Times New Roman"/>
                      <w:color w:val="auto"/>
                      <w:spacing w:val="0"/>
                      <w:sz w:val="21"/>
                      <w:szCs w:val="21"/>
                    </w:rPr>
                    <w:t>符合</w:t>
                  </w:r>
                </w:p>
              </w:tc>
            </w:tr>
            <w:tr w14:paraId="699CAD6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375" w:type="pct"/>
                  <w:vMerge w:val="continue"/>
                  <w:tcBorders>
                    <w:tl2br w:val="nil"/>
                    <w:tr2bl w:val="nil"/>
                  </w:tcBorders>
                  <w:vAlign w:val="center"/>
                </w:tcPr>
                <w:p w14:paraId="0DE7B839">
                  <w:pPr>
                    <w:keepNext w:val="0"/>
                    <w:keepLines w:val="0"/>
                    <w:pageBreakBefore w:val="0"/>
                    <w:wordWrap/>
                    <w:overflowPunct/>
                    <w:topLinePunct w:val="0"/>
                    <w:bidi w:val="0"/>
                    <w:ind w:left="0" w:right="0" w:firstLine="0"/>
                    <w:jc w:val="center"/>
                    <w:rPr>
                      <w:rFonts w:hint="default" w:ascii="Times New Roman" w:hAnsi="Times New Roman" w:cs="Times New Roman"/>
                      <w:color w:val="auto"/>
                      <w:spacing w:val="0"/>
                      <w:sz w:val="21"/>
                      <w:szCs w:val="21"/>
                    </w:rPr>
                  </w:pPr>
                </w:p>
              </w:tc>
              <w:tc>
                <w:tcPr>
                  <w:tcW w:w="2143" w:type="pct"/>
                  <w:tcBorders>
                    <w:tl2br w:val="nil"/>
                    <w:tr2bl w:val="nil"/>
                  </w:tcBorders>
                  <w:vAlign w:val="center"/>
                </w:tcPr>
                <w:p w14:paraId="266DDF70">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sz w:val="21"/>
                      <w:szCs w:val="21"/>
                    </w:rPr>
                  </w:pPr>
                  <w:r>
                    <w:rPr>
                      <w:rFonts w:hint="eastAsia" w:ascii="Times New Roman" w:hAnsi="Times New Roman" w:eastAsia="宋体" w:cs="Times New Roman"/>
                      <w:color w:val="auto"/>
                      <w:spacing w:val="-6"/>
                      <w:sz w:val="21"/>
                      <w:szCs w:val="21"/>
                      <w:lang w:val="en-US" w:eastAsia="zh-CN"/>
                    </w:rPr>
                    <w:t>7</w:t>
                  </w:r>
                  <w:r>
                    <w:rPr>
                      <w:rFonts w:hint="default" w:ascii="Times New Roman" w:hAnsi="Times New Roman" w:eastAsia="宋体" w:cs="Times New Roman"/>
                      <w:color w:val="auto"/>
                      <w:spacing w:val="-6"/>
                      <w:sz w:val="21"/>
                      <w:szCs w:val="21"/>
                    </w:rPr>
                    <w:t>.7已盛装废矿物油的容器应密封，贮油油罐应设置呼吸孔，防止气体膨胀，并安装防护罩，防止杂质落入。</w:t>
                  </w:r>
                </w:p>
              </w:tc>
              <w:tc>
                <w:tcPr>
                  <w:tcW w:w="1939" w:type="pct"/>
                  <w:tcBorders>
                    <w:tl2br w:val="nil"/>
                    <w:tr2bl w:val="nil"/>
                  </w:tcBorders>
                  <w:vAlign w:val="center"/>
                </w:tcPr>
                <w:p w14:paraId="25673C40">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sz w:val="21"/>
                      <w:szCs w:val="21"/>
                    </w:rPr>
                  </w:pPr>
                  <w:r>
                    <w:rPr>
                      <w:rFonts w:hint="eastAsia" w:ascii="Times New Roman" w:hAnsi="Times New Roman" w:eastAsia="宋体" w:cs="Times New Roman"/>
                      <w:color w:val="auto"/>
                      <w:spacing w:val="0"/>
                      <w:sz w:val="21"/>
                      <w:szCs w:val="21"/>
                      <w:lang w:val="en-US" w:eastAsia="zh-CN"/>
                    </w:rPr>
                    <w:t>项目采用产废企业油桶进行密封贮存</w:t>
                  </w:r>
                  <w:r>
                    <w:rPr>
                      <w:rFonts w:hint="default" w:ascii="Times New Roman" w:hAnsi="Times New Roman" w:eastAsia="宋体" w:cs="Times New Roman"/>
                      <w:color w:val="auto"/>
                      <w:spacing w:val="0"/>
                      <w:sz w:val="21"/>
                      <w:szCs w:val="21"/>
                    </w:rPr>
                    <w:t>。</w:t>
                  </w:r>
                </w:p>
              </w:tc>
              <w:tc>
                <w:tcPr>
                  <w:tcW w:w="542" w:type="pct"/>
                  <w:tcBorders>
                    <w:tl2br w:val="nil"/>
                    <w:tr2bl w:val="nil"/>
                  </w:tcBorders>
                  <w:vAlign w:val="center"/>
                </w:tcPr>
                <w:p w14:paraId="461C26A4">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符合</w:t>
                  </w:r>
                </w:p>
              </w:tc>
            </w:tr>
            <w:tr w14:paraId="2C2048E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5" w:hRule="atLeast"/>
              </w:trPr>
              <w:tc>
                <w:tcPr>
                  <w:tcW w:w="375" w:type="pct"/>
                  <w:vMerge w:val="restart"/>
                  <w:tcBorders>
                    <w:tl2br w:val="nil"/>
                    <w:tr2bl w:val="nil"/>
                  </w:tcBorders>
                  <w:vAlign w:val="center"/>
                </w:tcPr>
                <w:p w14:paraId="28D19341">
                  <w:pPr>
                    <w:pStyle w:val="90"/>
                    <w:keepNext w:val="0"/>
                    <w:keepLines w:val="0"/>
                    <w:pageBreakBefore w:val="0"/>
                    <w:wordWrap/>
                    <w:overflowPunct/>
                    <w:topLinePunct w:val="0"/>
                    <w:bidi w:val="0"/>
                    <w:spacing w:line="236" w:lineRule="auto"/>
                    <w:ind w:left="0" w:right="0" w:firstLine="0"/>
                    <w:jc w:val="center"/>
                    <w:rPr>
                      <w:rFonts w:hint="default" w:ascii="Times New Roman" w:hAnsi="Times New Roman" w:cs="Times New Roman"/>
                      <w:color w:val="auto"/>
                      <w:spacing w:val="0"/>
                      <w:sz w:val="21"/>
                      <w:szCs w:val="21"/>
                    </w:rPr>
                  </w:pPr>
                  <w:r>
                    <w:rPr>
                      <w:rFonts w:hint="default" w:ascii="Times New Roman" w:hAnsi="Times New Roman" w:cs="Times New Roman"/>
                      <w:color w:val="auto"/>
                      <w:spacing w:val="0"/>
                      <w:sz w:val="21"/>
                      <w:szCs w:val="21"/>
                    </w:rPr>
                    <w:t>运输污染控制技术要求</w:t>
                  </w:r>
                </w:p>
              </w:tc>
              <w:tc>
                <w:tcPr>
                  <w:tcW w:w="2143" w:type="pct"/>
                  <w:tcBorders>
                    <w:tl2br w:val="nil"/>
                    <w:tr2bl w:val="nil"/>
                  </w:tcBorders>
                  <w:vAlign w:val="center"/>
                </w:tcPr>
                <w:p w14:paraId="4F9A5207">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cs="Times New Roman"/>
                      <w:color w:val="auto"/>
                      <w:spacing w:val="0"/>
                      <w:sz w:val="21"/>
                      <w:szCs w:val="21"/>
                    </w:rPr>
                  </w:pPr>
                  <w:r>
                    <w:rPr>
                      <w:rFonts w:hint="eastAsia" w:ascii="Times New Roman" w:hAnsi="Times New Roman" w:cs="Times New Roman"/>
                      <w:color w:val="auto"/>
                      <w:spacing w:val="0"/>
                      <w:sz w:val="21"/>
                      <w:szCs w:val="21"/>
                      <w:lang w:val="en-US" w:eastAsia="zh-CN"/>
                    </w:rPr>
                    <w:t>8</w:t>
                  </w:r>
                  <w:r>
                    <w:rPr>
                      <w:rFonts w:hint="default" w:ascii="Times New Roman" w:hAnsi="Times New Roman" w:cs="Times New Roman"/>
                      <w:color w:val="auto"/>
                      <w:spacing w:val="0"/>
                      <w:sz w:val="21"/>
                      <w:szCs w:val="21"/>
                    </w:rPr>
                    <w:t>.1废矿物油的运输转移应按《道路危险货物运输管理规定》、《铁路危险货物运输管理规则》、《水路危险货物运输规则》等的规定执行。</w:t>
                  </w:r>
                </w:p>
              </w:tc>
              <w:tc>
                <w:tcPr>
                  <w:tcW w:w="1939" w:type="pct"/>
                  <w:tcBorders>
                    <w:tl2br w:val="nil"/>
                    <w:tr2bl w:val="nil"/>
                  </w:tcBorders>
                  <w:vAlign w:val="center"/>
                </w:tcPr>
                <w:p w14:paraId="16F14A62">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cs="Times New Roman"/>
                      <w:color w:val="auto"/>
                      <w:spacing w:val="0"/>
                      <w:sz w:val="21"/>
                      <w:szCs w:val="21"/>
                    </w:rPr>
                  </w:pPr>
                  <w:r>
                    <w:rPr>
                      <w:rFonts w:hint="default" w:ascii="Times New Roman" w:hAnsi="Times New Roman" w:cs="Times New Roman"/>
                      <w:color w:val="auto"/>
                      <w:spacing w:val="0"/>
                      <w:sz w:val="21"/>
                      <w:szCs w:val="21"/>
                    </w:rPr>
                    <w:t>本项目收集采取公路运输，运输按《道路危险货物运输管理规定》（交通部令[2019年]第29号）执行。</w:t>
                  </w:r>
                </w:p>
              </w:tc>
              <w:tc>
                <w:tcPr>
                  <w:tcW w:w="542" w:type="pct"/>
                  <w:tcBorders>
                    <w:tl2br w:val="nil"/>
                    <w:tr2bl w:val="nil"/>
                  </w:tcBorders>
                  <w:vAlign w:val="center"/>
                </w:tcPr>
                <w:p w14:paraId="1EEEB389">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0"/>
                      <w:sz w:val="21"/>
                      <w:szCs w:val="21"/>
                    </w:rPr>
                  </w:pPr>
                  <w:r>
                    <w:rPr>
                      <w:rFonts w:hint="default" w:ascii="Times New Roman" w:hAnsi="Times New Roman" w:cs="Times New Roman"/>
                      <w:color w:val="auto"/>
                      <w:spacing w:val="0"/>
                      <w:sz w:val="21"/>
                      <w:szCs w:val="21"/>
                    </w:rPr>
                    <w:t>符合</w:t>
                  </w:r>
                </w:p>
              </w:tc>
            </w:tr>
            <w:tr w14:paraId="16D1918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375" w:type="pct"/>
                  <w:vMerge w:val="continue"/>
                  <w:tcBorders>
                    <w:tl2br w:val="nil"/>
                    <w:tr2bl w:val="nil"/>
                  </w:tcBorders>
                  <w:vAlign w:val="center"/>
                </w:tcPr>
                <w:p w14:paraId="7860ADD3">
                  <w:pPr>
                    <w:keepNext w:val="0"/>
                    <w:keepLines w:val="0"/>
                    <w:pageBreakBefore w:val="0"/>
                    <w:wordWrap/>
                    <w:overflowPunct/>
                    <w:topLinePunct w:val="0"/>
                    <w:bidi w:val="0"/>
                    <w:ind w:left="0" w:right="0" w:firstLine="0"/>
                    <w:jc w:val="center"/>
                    <w:rPr>
                      <w:rFonts w:hint="default" w:ascii="Times New Roman" w:hAnsi="Times New Roman" w:cs="Times New Roman"/>
                      <w:color w:val="auto"/>
                      <w:spacing w:val="0"/>
                      <w:sz w:val="21"/>
                      <w:szCs w:val="21"/>
                    </w:rPr>
                  </w:pPr>
                </w:p>
              </w:tc>
              <w:tc>
                <w:tcPr>
                  <w:tcW w:w="2143" w:type="pct"/>
                  <w:tcBorders>
                    <w:tl2br w:val="nil"/>
                    <w:tr2bl w:val="nil"/>
                  </w:tcBorders>
                  <w:vAlign w:val="center"/>
                </w:tcPr>
                <w:p w14:paraId="6CA59225">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cs="Times New Roman"/>
                      <w:color w:val="auto"/>
                      <w:spacing w:val="0"/>
                      <w:sz w:val="21"/>
                      <w:szCs w:val="21"/>
                    </w:rPr>
                  </w:pPr>
                  <w:r>
                    <w:rPr>
                      <w:rFonts w:hint="eastAsia" w:ascii="Times New Roman" w:hAnsi="Times New Roman" w:cs="Times New Roman"/>
                      <w:color w:val="auto"/>
                      <w:spacing w:val="0"/>
                      <w:sz w:val="21"/>
                      <w:szCs w:val="21"/>
                      <w:lang w:val="en-US" w:eastAsia="zh-CN"/>
                    </w:rPr>
                    <w:t>8</w:t>
                  </w:r>
                  <w:r>
                    <w:rPr>
                      <w:rFonts w:hint="default" w:ascii="Times New Roman" w:hAnsi="Times New Roman" w:cs="Times New Roman"/>
                      <w:color w:val="auto"/>
                      <w:spacing w:val="0"/>
                      <w:sz w:val="21"/>
                      <w:szCs w:val="21"/>
                    </w:rPr>
                    <w:t>.2废矿物油的运输转移过程控制应按《危险废物转移联单管理办法》的规定执行。</w:t>
                  </w:r>
                </w:p>
              </w:tc>
              <w:tc>
                <w:tcPr>
                  <w:tcW w:w="1939" w:type="pct"/>
                  <w:tcBorders>
                    <w:tl2br w:val="nil"/>
                    <w:tr2bl w:val="nil"/>
                  </w:tcBorders>
                  <w:vAlign w:val="center"/>
                </w:tcPr>
                <w:p w14:paraId="1AC2BE52">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cs="Times New Roman"/>
                      <w:color w:val="auto"/>
                      <w:spacing w:val="0"/>
                      <w:sz w:val="21"/>
                      <w:szCs w:val="21"/>
                    </w:rPr>
                  </w:pPr>
                  <w:r>
                    <w:rPr>
                      <w:rFonts w:hint="default" w:ascii="Times New Roman" w:hAnsi="Times New Roman" w:cs="Times New Roman"/>
                      <w:color w:val="auto"/>
                      <w:spacing w:val="0"/>
                      <w:sz w:val="21"/>
                      <w:szCs w:val="21"/>
                    </w:rPr>
                    <w:t>项目运输转移废矿物油按《危险废物转移管理办法》的规定执行。</w:t>
                  </w:r>
                </w:p>
              </w:tc>
              <w:tc>
                <w:tcPr>
                  <w:tcW w:w="542" w:type="pct"/>
                  <w:tcBorders>
                    <w:tl2br w:val="nil"/>
                    <w:tr2bl w:val="nil"/>
                  </w:tcBorders>
                  <w:vAlign w:val="center"/>
                </w:tcPr>
                <w:p w14:paraId="0AB7093F">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符合</w:t>
                  </w:r>
                </w:p>
              </w:tc>
            </w:tr>
            <w:tr w14:paraId="7FB98B5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0" w:hRule="atLeast"/>
              </w:trPr>
              <w:tc>
                <w:tcPr>
                  <w:tcW w:w="375" w:type="pct"/>
                  <w:vMerge w:val="continue"/>
                  <w:tcBorders>
                    <w:tl2br w:val="nil"/>
                    <w:tr2bl w:val="nil"/>
                  </w:tcBorders>
                  <w:vAlign w:val="center"/>
                </w:tcPr>
                <w:p w14:paraId="2952375A">
                  <w:pPr>
                    <w:keepNext w:val="0"/>
                    <w:keepLines w:val="0"/>
                    <w:pageBreakBefore w:val="0"/>
                    <w:wordWrap/>
                    <w:overflowPunct/>
                    <w:topLinePunct w:val="0"/>
                    <w:bidi w:val="0"/>
                    <w:ind w:left="0" w:right="0" w:firstLine="0"/>
                    <w:jc w:val="center"/>
                    <w:rPr>
                      <w:rFonts w:hint="default" w:ascii="Times New Roman" w:hAnsi="Times New Roman" w:cs="Times New Roman"/>
                      <w:color w:val="auto"/>
                      <w:spacing w:val="0"/>
                      <w:sz w:val="21"/>
                      <w:szCs w:val="21"/>
                    </w:rPr>
                  </w:pPr>
                </w:p>
              </w:tc>
              <w:tc>
                <w:tcPr>
                  <w:tcW w:w="2143" w:type="pct"/>
                  <w:tcBorders>
                    <w:tl2br w:val="nil"/>
                    <w:tr2bl w:val="nil"/>
                  </w:tcBorders>
                  <w:vAlign w:val="center"/>
                </w:tcPr>
                <w:p w14:paraId="23AEB3C5">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cs="Times New Roman"/>
                      <w:color w:val="auto"/>
                      <w:spacing w:val="0"/>
                      <w:sz w:val="21"/>
                      <w:szCs w:val="21"/>
                    </w:rPr>
                  </w:pPr>
                  <w:r>
                    <w:rPr>
                      <w:rFonts w:hint="eastAsia" w:ascii="Times New Roman" w:hAnsi="Times New Roman" w:cs="Times New Roman"/>
                      <w:color w:val="auto"/>
                      <w:spacing w:val="0"/>
                      <w:sz w:val="21"/>
                      <w:szCs w:val="21"/>
                      <w:lang w:val="en-US" w:eastAsia="zh-CN"/>
                    </w:rPr>
                    <w:t>8</w:t>
                  </w:r>
                  <w:r>
                    <w:rPr>
                      <w:rFonts w:hint="default" w:ascii="Times New Roman" w:hAnsi="Times New Roman" w:cs="Times New Roman"/>
                      <w:color w:val="auto"/>
                      <w:spacing w:val="0"/>
                      <w:sz w:val="21"/>
                      <w:szCs w:val="21"/>
                    </w:rPr>
                    <w:t>.3废矿物油转运前应检查危险废物转移联单，核对品名、数量和标志等。</w:t>
                  </w:r>
                </w:p>
              </w:tc>
              <w:tc>
                <w:tcPr>
                  <w:tcW w:w="1939" w:type="pct"/>
                  <w:tcBorders>
                    <w:tl2br w:val="nil"/>
                    <w:tr2bl w:val="nil"/>
                  </w:tcBorders>
                  <w:vAlign w:val="center"/>
                </w:tcPr>
                <w:p w14:paraId="411D08DD">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cs="Times New Roman"/>
                      <w:color w:val="auto"/>
                      <w:spacing w:val="0"/>
                      <w:sz w:val="21"/>
                      <w:szCs w:val="21"/>
                    </w:rPr>
                  </w:pPr>
                  <w:r>
                    <w:rPr>
                      <w:rFonts w:hint="default" w:ascii="Times New Roman" w:hAnsi="Times New Roman" w:cs="Times New Roman"/>
                      <w:color w:val="auto"/>
                      <w:spacing w:val="-6"/>
                      <w:sz w:val="21"/>
                      <w:szCs w:val="21"/>
                    </w:rPr>
                    <w:t>项目废矿物油转运前检查危险废物转移联单，核对品名、数量和标志等。</w:t>
                  </w:r>
                </w:p>
              </w:tc>
              <w:tc>
                <w:tcPr>
                  <w:tcW w:w="542" w:type="pct"/>
                  <w:tcBorders>
                    <w:tl2br w:val="nil"/>
                    <w:tr2bl w:val="nil"/>
                  </w:tcBorders>
                  <w:vAlign w:val="center"/>
                </w:tcPr>
                <w:p w14:paraId="1BCBE528">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符合</w:t>
                  </w:r>
                </w:p>
              </w:tc>
            </w:tr>
            <w:tr w14:paraId="588DDDA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375" w:type="pct"/>
                  <w:vMerge w:val="continue"/>
                  <w:tcBorders>
                    <w:tl2br w:val="nil"/>
                    <w:tr2bl w:val="nil"/>
                  </w:tcBorders>
                  <w:vAlign w:val="center"/>
                </w:tcPr>
                <w:p w14:paraId="712000F1">
                  <w:pPr>
                    <w:keepNext w:val="0"/>
                    <w:keepLines w:val="0"/>
                    <w:pageBreakBefore w:val="0"/>
                    <w:wordWrap/>
                    <w:overflowPunct/>
                    <w:topLinePunct w:val="0"/>
                    <w:bidi w:val="0"/>
                    <w:ind w:left="0" w:right="0" w:firstLine="0"/>
                    <w:jc w:val="center"/>
                    <w:rPr>
                      <w:rFonts w:hint="default" w:ascii="Times New Roman" w:hAnsi="Times New Roman" w:cs="Times New Roman"/>
                      <w:color w:val="auto"/>
                      <w:spacing w:val="0"/>
                      <w:sz w:val="21"/>
                      <w:szCs w:val="21"/>
                    </w:rPr>
                  </w:pPr>
                </w:p>
              </w:tc>
              <w:tc>
                <w:tcPr>
                  <w:tcW w:w="2143" w:type="pct"/>
                  <w:tcBorders>
                    <w:tl2br w:val="nil"/>
                    <w:tr2bl w:val="nil"/>
                  </w:tcBorders>
                  <w:vAlign w:val="center"/>
                </w:tcPr>
                <w:p w14:paraId="307B026D">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cs="Times New Roman"/>
                      <w:color w:val="auto"/>
                      <w:spacing w:val="0"/>
                      <w:sz w:val="21"/>
                      <w:szCs w:val="21"/>
                    </w:rPr>
                  </w:pPr>
                  <w:r>
                    <w:rPr>
                      <w:rFonts w:hint="eastAsia" w:ascii="Times New Roman" w:hAnsi="Times New Roman" w:cs="Times New Roman"/>
                      <w:color w:val="auto"/>
                      <w:spacing w:val="0"/>
                      <w:sz w:val="21"/>
                      <w:szCs w:val="21"/>
                      <w:lang w:val="en-US" w:eastAsia="zh-CN"/>
                    </w:rPr>
                    <w:t>8</w:t>
                  </w:r>
                  <w:r>
                    <w:rPr>
                      <w:rFonts w:hint="default" w:ascii="Times New Roman" w:hAnsi="Times New Roman" w:cs="Times New Roman"/>
                      <w:color w:val="auto"/>
                      <w:spacing w:val="0"/>
                      <w:sz w:val="21"/>
                      <w:szCs w:val="21"/>
                    </w:rPr>
                    <w:t>.4废矿物油转运前应制定突发环境事件应急预案。</w:t>
                  </w:r>
                </w:p>
              </w:tc>
              <w:tc>
                <w:tcPr>
                  <w:tcW w:w="1939" w:type="pct"/>
                  <w:tcBorders>
                    <w:tl2br w:val="nil"/>
                    <w:tr2bl w:val="nil"/>
                  </w:tcBorders>
                  <w:vAlign w:val="center"/>
                </w:tcPr>
                <w:p w14:paraId="7448552A">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cs="Times New Roman"/>
                      <w:color w:val="auto"/>
                      <w:spacing w:val="0"/>
                      <w:sz w:val="21"/>
                      <w:szCs w:val="21"/>
                    </w:rPr>
                  </w:pPr>
                  <w:r>
                    <w:rPr>
                      <w:rFonts w:hint="default" w:ascii="Times New Roman" w:hAnsi="Times New Roman" w:cs="Times New Roman"/>
                      <w:color w:val="auto"/>
                      <w:spacing w:val="0"/>
                      <w:sz w:val="21"/>
                      <w:szCs w:val="21"/>
                    </w:rPr>
                    <w:t>本项目委外运输，运输公司已制定突发环境事件应急预案。</w:t>
                  </w:r>
                </w:p>
              </w:tc>
              <w:tc>
                <w:tcPr>
                  <w:tcW w:w="542" w:type="pct"/>
                  <w:tcBorders>
                    <w:tl2br w:val="nil"/>
                    <w:tr2bl w:val="nil"/>
                  </w:tcBorders>
                  <w:vAlign w:val="center"/>
                </w:tcPr>
                <w:p w14:paraId="70084D31">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符合</w:t>
                  </w:r>
                </w:p>
              </w:tc>
            </w:tr>
            <w:tr w14:paraId="5CD1B7A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375" w:type="pct"/>
                  <w:vMerge w:val="continue"/>
                  <w:tcBorders>
                    <w:tl2br w:val="nil"/>
                    <w:tr2bl w:val="nil"/>
                  </w:tcBorders>
                  <w:vAlign w:val="center"/>
                </w:tcPr>
                <w:p w14:paraId="26091468">
                  <w:pPr>
                    <w:keepNext w:val="0"/>
                    <w:keepLines w:val="0"/>
                    <w:pageBreakBefore w:val="0"/>
                    <w:wordWrap/>
                    <w:overflowPunct/>
                    <w:topLinePunct w:val="0"/>
                    <w:bidi w:val="0"/>
                    <w:ind w:left="0" w:right="0" w:firstLine="0"/>
                    <w:jc w:val="center"/>
                    <w:rPr>
                      <w:rFonts w:hint="default" w:ascii="Times New Roman" w:hAnsi="Times New Roman" w:cs="Times New Roman"/>
                      <w:color w:val="auto"/>
                      <w:spacing w:val="0"/>
                      <w:sz w:val="21"/>
                      <w:szCs w:val="21"/>
                    </w:rPr>
                  </w:pPr>
                </w:p>
              </w:tc>
              <w:tc>
                <w:tcPr>
                  <w:tcW w:w="2143" w:type="pct"/>
                  <w:tcBorders>
                    <w:tl2br w:val="nil"/>
                    <w:tr2bl w:val="nil"/>
                  </w:tcBorders>
                  <w:vAlign w:val="center"/>
                </w:tcPr>
                <w:p w14:paraId="5AC7E402">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cs="Times New Roman"/>
                      <w:color w:val="auto"/>
                      <w:spacing w:val="0"/>
                      <w:sz w:val="21"/>
                      <w:szCs w:val="21"/>
                    </w:rPr>
                  </w:pPr>
                  <w:r>
                    <w:rPr>
                      <w:rFonts w:hint="eastAsia" w:ascii="Times New Roman" w:hAnsi="Times New Roman" w:cs="Times New Roman"/>
                      <w:color w:val="auto"/>
                      <w:spacing w:val="0"/>
                      <w:sz w:val="21"/>
                      <w:szCs w:val="21"/>
                      <w:lang w:val="en-US" w:eastAsia="zh-CN"/>
                    </w:rPr>
                    <w:t>8</w:t>
                  </w:r>
                  <w:r>
                    <w:rPr>
                      <w:rFonts w:hint="default" w:ascii="Times New Roman" w:hAnsi="Times New Roman" w:cs="Times New Roman"/>
                      <w:color w:val="auto"/>
                      <w:spacing w:val="0"/>
                      <w:sz w:val="21"/>
                      <w:szCs w:val="21"/>
                    </w:rPr>
                    <w:t>.5废矿物油转运前应检查转运设备和盛装容器的稳定性、严密性，确保运输途中不会破裂、倾倒和溢流。</w:t>
                  </w:r>
                </w:p>
              </w:tc>
              <w:tc>
                <w:tcPr>
                  <w:tcW w:w="1939" w:type="pct"/>
                  <w:tcBorders>
                    <w:tl2br w:val="nil"/>
                    <w:tr2bl w:val="nil"/>
                  </w:tcBorders>
                  <w:vAlign w:val="center"/>
                </w:tcPr>
                <w:p w14:paraId="7E71A384">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cs="Times New Roman"/>
                      <w:color w:val="auto"/>
                      <w:spacing w:val="0"/>
                      <w:sz w:val="21"/>
                      <w:szCs w:val="21"/>
                    </w:rPr>
                  </w:pPr>
                  <w:r>
                    <w:rPr>
                      <w:rFonts w:hint="default" w:ascii="Times New Roman" w:hAnsi="Times New Roman" w:cs="Times New Roman"/>
                      <w:color w:val="auto"/>
                      <w:spacing w:val="0"/>
                      <w:sz w:val="21"/>
                      <w:szCs w:val="21"/>
                    </w:rPr>
                    <w:t>项目废矿物油转运前检查转运设备和盛装容器的稳定性、严密性，确保运输途中不会破裂、倾倒和溢流。</w:t>
                  </w:r>
                </w:p>
              </w:tc>
              <w:tc>
                <w:tcPr>
                  <w:tcW w:w="542" w:type="pct"/>
                  <w:tcBorders>
                    <w:tl2br w:val="nil"/>
                    <w:tr2bl w:val="nil"/>
                  </w:tcBorders>
                  <w:vAlign w:val="center"/>
                </w:tcPr>
                <w:p w14:paraId="29AE4BF9">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符合</w:t>
                  </w:r>
                </w:p>
              </w:tc>
            </w:tr>
            <w:tr w14:paraId="2CCD175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1" w:hRule="atLeast"/>
              </w:trPr>
              <w:tc>
                <w:tcPr>
                  <w:tcW w:w="375" w:type="pct"/>
                  <w:vMerge w:val="continue"/>
                  <w:tcBorders>
                    <w:tl2br w:val="nil"/>
                    <w:tr2bl w:val="nil"/>
                  </w:tcBorders>
                  <w:vAlign w:val="center"/>
                </w:tcPr>
                <w:p w14:paraId="7A9803E7">
                  <w:pPr>
                    <w:keepNext w:val="0"/>
                    <w:keepLines w:val="0"/>
                    <w:pageBreakBefore w:val="0"/>
                    <w:wordWrap/>
                    <w:overflowPunct/>
                    <w:topLinePunct w:val="0"/>
                    <w:bidi w:val="0"/>
                    <w:ind w:left="0" w:right="0" w:firstLine="0"/>
                    <w:jc w:val="center"/>
                    <w:rPr>
                      <w:rFonts w:hint="default" w:ascii="Times New Roman" w:hAnsi="Times New Roman" w:cs="Times New Roman"/>
                      <w:color w:val="auto"/>
                      <w:spacing w:val="0"/>
                      <w:sz w:val="21"/>
                      <w:szCs w:val="21"/>
                    </w:rPr>
                  </w:pPr>
                </w:p>
              </w:tc>
              <w:tc>
                <w:tcPr>
                  <w:tcW w:w="2143" w:type="pct"/>
                  <w:tcBorders>
                    <w:tl2br w:val="nil"/>
                    <w:tr2bl w:val="nil"/>
                  </w:tcBorders>
                  <w:vAlign w:val="center"/>
                </w:tcPr>
                <w:p w14:paraId="0778D1E8">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cs="Times New Roman"/>
                      <w:color w:val="auto"/>
                      <w:spacing w:val="0"/>
                      <w:sz w:val="21"/>
                      <w:szCs w:val="21"/>
                    </w:rPr>
                  </w:pPr>
                  <w:r>
                    <w:rPr>
                      <w:rFonts w:hint="default" w:ascii="Times New Roman" w:hAnsi="Times New Roman" w:cs="Times New Roman"/>
                      <w:color w:val="auto"/>
                      <w:spacing w:val="0"/>
                      <w:sz w:val="21"/>
                      <w:szCs w:val="21"/>
                    </w:rPr>
                    <w:t>7.6废矿物油在转运过程中应设专人看护。</w:t>
                  </w:r>
                </w:p>
              </w:tc>
              <w:tc>
                <w:tcPr>
                  <w:tcW w:w="1939" w:type="pct"/>
                  <w:tcBorders>
                    <w:tl2br w:val="nil"/>
                    <w:tr2bl w:val="nil"/>
                  </w:tcBorders>
                  <w:vAlign w:val="center"/>
                </w:tcPr>
                <w:p w14:paraId="75A9081C">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hint="default" w:ascii="Times New Roman" w:hAnsi="Times New Roman" w:cs="Times New Roman"/>
                      <w:color w:val="auto"/>
                      <w:spacing w:val="0"/>
                      <w:sz w:val="21"/>
                      <w:szCs w:val="21"/>
                    </w:rPr>
                  </w:pPr>
                  <w:r>
                    <w:rPr>
                      <w:rFonts w:hint="default" w:ascii="Times New Roman" w:hAnsi="Times New Roman" w:cs="Times New Roman"/>
                      <w:color w:val="auto"/>
                      <w:spacing w:val="0"/>
                      <w:sz w:val="21"/>
                      <w:szCs w:val="21"/>
                    </w:rPr>
                    <w:t>项目废矿物油在转运过程中设专人看护。</w:t>
                  </w:r>
                </w:p>
              </w:tc>
              <w:tc>
                <w:tcPr>
                  <w:tcW w:w="542" w:type="pct"/>
                  <w:tcBorders>
                    <w:tl2br w:val="nil"/>
                    <w:tr2bl w:val="nil"/>
                  </w:tcBorders>
                  <w:vAlign w:val="center"/>
                </w:tcPr>
                <w:p w14:paraId="6F2AFE14">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符合</w:t>
                  </w:r>
                </w:p>
              </w:tc>
            </w:tr>
          </w:tbl>
          <w:p w14:paraId="1829A200">
            <w:pPr>
              <w:keepNext w:val="0"/>
              <w:keepLines w:val="0"/>
              <w:pageBreakBefore w:val="0"/>
              <w:widowControl w:val="0"/>
              <w:numPr>
                <w:ilvl w:val="0"/>
                <w:numId w:val="8"/>
              </w:numPr>
              <w:kinsoku/>
              <w:wordWrap/>
              <w:overflowPunct/>
              <w:topLinePunct w:val="0"/>
              <w:autoSpaceDE/>
              <w:autoSpaceDN/>
              <w:bidi w:val="0"/>
              <w:adjustRightInd/>
              <w:snapToGrid/>
              <w:spacing w:line="360" w:lineRule="auto"/>
              <w:ind w:left="0" w:leftChars="0" w:firstLine="425" w:firstLineChars="0"/>
              <w:textAlignment w:val="auto"/>
              <w:rPr>
                <w:rFonts w:ascii="Times New Roman" w:hAnsi="Times New Roman" w:eastAsia="宋体" w:cs="Times New Roman"/>
                <w:color w:val="auto"/>
                <w:spacing w:val="0"/>
                <w:sz w:val="24"/>
                <w:szCs w:val="24"/>
              </w:rPr>
            </w:pPr>
            <w:r>
              <w:rPr>
                <w:rFonts w:ascii="Times New Roman" w:hAnsi="Times New Roman" w:eastAsia="宋体" w:cs="Times New Roman"/>
                <w:color w:val="auto"/>
                <w:spacing w:val="0"/>
                <w:sz w:val="24"/>
                <w:szCs w:val="24"/>
                <w:lang w:val="en-US" w:eastAsia="zh-CN"/>
              </w:rPr>
              <w:t>与《废铅蓄电池处理污染控制技术规范》</w:t>
            </w:r>
            <w:r>
              <w:rPr>
                <w:rFonts w:hint="eastAsia" w:cs="Times New Roman"/>
                <w:color w:val="auto"/>
                <w:spacing w:val="0"/>
                <w:sz w:val="24"/>
                <w:szCs w:val="24"/>
                <w:lang w:val="en-US" w:eastAsia="zh-CN"/>
              </w:rPr>
              <w:t>（</w:t>
            </w:r>
            <w:r>
              <w:rPr>
                <w:rFonts w:hint="default" w:ascii="Times New Roman" w:hAnsi="Times New Roman" w:eastAsia="宋体" w:cs="Times New Roman"/>
                <w:color w:val="auto"/>
                <w:spacing w:val="0"/>
                <w:sz w:val="24"/>
                <w:szCs w:val="24"/>
                <w:lang w:val="en-US" w:eastAsia="zh-CN"/>
              </w:rPr>
              <w:t>HJ 519</w:t>
            </w:r>
            <w:r>
              <w:rPr>
                <w:rFonts w:hint="eastAsia" w:ascii="Times New Roman" w:hAnsi="Times New Roman" w:eastAsia="宋体" w:cs="Times New Roman"/>
                <w:color w:val="auto"/>
                <w:spacing w:val="0"/>
                <w:sz w:val="24"/>
                <w:szCs w:val="24"/>
                <w:lang w:val="en-US" w:eastAsia="zh-CN"/>
              </w:rPr>
              <w:t>-</w:t>
            </w:r>
            <w:r>
              <w:rPr>
                <w:rFonts w:hint="default" w:ascii="Times New Roman" w:hAnsi="Times New Roman" w:eastAsia="宋体" w:cs="Times New Roman"/>
                <w:color w:val="auto"/>
                <w:spacing w:val="0"/>
                <w:sz w:val="24"/>
                <w:szCs w:val="24"/>
                <w:lang w:val="en-US" w:eastAsia="zh-CN"/>
              </w:rPr>
              <w:t>2020</w:t>
            </w:r>
            <w:r>
              <w:rPr>
                <w:rFonts w:hint="eastAsia" w:cs="Times New Roman"/>
                <w:color w:val="auto"/>
                <w:spacing w:val="0"/>
                <w:sz w:val="24"/>
                <w:szCs w:val="24"/>
                <w:lang w:val="en-US" w:eastAsia="zh-CN"/>
              </w:rPr>
              <w:t>）</w:t>
            </w:r>
            <w:r>
              <w:rPr>
                <w:rFonts w:hint="default" w:ascii="Times New Roman" w:hAnsi="Times New Roman" w:eastAsia="宋体" w:cs="Times New Roman"/>
                <w:color w:val="auto"/>
                <w:spacing w:val="0"/>
                <w:sz w:val="24"/>
                <w:szCs w:val="24"/>
                <w:lang w:val="en-US" w:eastAsia="zh-CN"/>
              </w:rPr>
              <w:t>符合性分析</w:t>
            </w:r>
          </w:p>
          <w:p w14:paraId="63687FE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val="0"/>
                <w:color w:val="auto"/>
                <w:spacing w:val="0"/>
                <w:kern w:val="0"/>
                <w:sz w:val="24"/>
                <w:szCs w:val="24"/>
                <w:lang w:val="en-US" w:eastAsia="zh-CN" w:bidi="ar"/>
              </w:rPr>
            </w:pPr>
            <w:r>
              <w:rPr>
                <w:rFonts w:hint="default" w:ascii="Times New Roman" w:hAnsi="Times New Roman" w:eastAsia="宋体" w:cs="Times New Roman"/>
                <w:b w:val="0"/>
                <w:bCs w:val="0"/>
                <w:color w:val="auto"/>
                <w:spacing w:val="0"/>
                <w:kern w:val="0"/>
                <w:sz w:val="24"/>
                <w:szCs w:val="24"/>
                <w:lang w:val="en-US" w:eastAsia="zh-CN" w:bidi="ar"/>
              </w:rPr>
              <w:t>本项目涉及HW31含铅废物的收集、贮存、转运，其中主要为废弃蓄电池，符合性分析</w:t>
            </w:r>
            <w:r>
              <w:rPr>
                <w:rFonts w:hint="eastAsia" w:ascii="Times New Roman" w:hAnsi="Times New Roman" w:eastAsia="宋体" w:cs="Times New Roman"/>
                <w:b w:val="0"/>
                <w:bCs w:val="0"/>
                <w:color w:val="auto"/>
                <w:spacing w:val="0"/>
                <w:kern w:val="0"/>
                <w:sz w:val="24"/>
                <w:szCs w:val="24"/>
                <w:lang w:val="en-US" w:eastAsia="zh-CN" w:bidi="ar"/>
              </w:rPr>
              <w:t>情况如下：</w:t>
            </w:r>
          </w:p>
          <w:p w14:paraId="01950EDE">
            <w:pPr>
              <w:keepNext w:val="0"/>
              <w:keepLines w:val="0"/>
              <w:pageBreakBefore w:val="0"/>
              <w:widowControl w:val="0"/>
              <w:numPr>
                <w:ilvl w:val="0"/>
                <w:numId w:val="9"/>
              </w:numPr>
              <w:kinsoku/>
              <w:wordWrap/>
              <w:overflowPunct/>
              <w:topLinePunct w:val="0"/>
              <w:autoSpaceDE w:val="0"/>
              <w:autoSpaceDN w:val="0"/>
              <w:bidi w:val="0"/>
              <w:adjustRightInd w:val="0"/>
              <w:snapToGrid/>
              <w:spacing w:line="360" w:lineRule="auto"/>
              <w:ind w:left="3150" w:leftChars="0" w:hanging="3110" w:firstLineChars="0"/>
              <w:jc w:val="center"/>
              <w:textAlignment w:val="auto"/>
              <w:rPr>
                <w:rFonts w:hint="eastAsia" w:ascii="宋体" w:hAnsi="宋体" w:eastAsia="宋体" w:cs="宋体"/>
                <w:b/>
                <w:bCs/>
                <w:color w:val="auto"/>
                <w:kern w:val="0"/>
                <w:sz w:val="24"/>
                <w:szCs w:val="24"/>
                <w:lang w:val="en-US" w:eastAsia="zh-CN" w:bidi="ar"/>
              </w:rPr>
            </w:pPr>
            <w:r>
              <w:rPr>
                <w:rFonts w:hint="eastAsia" w:ascii="宋体" w:hAnsi="宋体" w:eastAsia="宋体" w:cs="宋体"/>
                <w:b/>
                <w:bCs/>
                <w:color w:val="auto"/>
                <w:kern w:val="0"/>
                <w:sz w:val="24"/>
                <w:szCs w:val="24"/>
                <w:lang w:val="en-US" w:eastAsia="zh-CN" w:bidi="ar"/>
              </w:rPr>
              <w:t>与《废铅蓄电池处理污染控制技术规范》的相符性分析</w:t>
            </w:r>
          </w:p>
          <w:tbl>
            <w:tblPr>
              <w:tblStyle w:val="2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61"/>
              <w:gridCol w:w="4056"/>
              <w:gridCol w:w="2120"/>
              <w:gridCol w:w="823"/>
            </w:tblGrid>
            <w:tr w14:paraId="517941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31" w:type="pct"/>
                  <w:tcBorders>
                    <w:tl2br w:val="nil"/>
                    <w:tr2bl w:val="nil"/>
                  </w:tcBorders>
                  <w:noWrap w:val="0"/>
                  <w:vAlign w:val="center"/>
                </w:tcPr>
                <w:p w14:paraId="44660C0F">
                  <w:pPr>
                    <w:keepNext w:val="0"/>
                    <w:keepLines w:val="0"/>
                    <w:pageBreakBefore w:val="0"/>
                    <w:widowControl/>
                    <w:suppressLineNumbers w:val="0"/>
                    <w:kinsoku/>
                    <w:wordWrap/>
                    <w:overflowPunct/>
                    <w:topLinePunct w:val="0"/>
                    <w:autoSpaceDE/>
                    <w:autoSpaceDN/>
                    <w:bidi w:val="0"/>
                    <w:adjustRightInd/>
                    <w:snapToGrid w:val="0"/>
                    <w:spacing w:line="240" w:lineRule="auto"/>
                    <w:ind w:right="0" w:firstLine="0" w:firstLineChars="0"/>
                    <w:jc w:val="center"/>
                    <w:textAlignment w:val="auto"/>
                    <w:rPr>
                      <w:rFonts w:hint="default" w:ascii="Times New Roman" w:hAnsi="Times New Roman" w:eastAsia="宋体" w:cs="Times New Roman"/>
                      <w:color w:val="auto"/>
                      <w:kern w:val="0"/>
                      <w:sz w:val="21"/>
                      <w:szCs w:val="21"/>
                      <w:u w:val="none"/>
                      <w:lang w:val="en-US" w:eastAsia="zh-CN" w:bidi="ar"/>
                    </w:rPr>
                  </w:pPr>
                  <w:r>
                    <w:rPr>
                      <w:rFonts w:hint="default" w:ascii="Times New Roman" w:hAnsi="Times New Roman" w:eastAsia="宋体" w:cs="Times New Roman"/>
                      <w:color w:val="auto"/>
                      <w:kern w:val="0"/>
                      <w:sz w:val="21"/>
                      <w:szCs w:val="21"/>
                      <w:u w:val="none"/>
                      <w:lang w:val="en-US" w:eastAsia="zh-CN" w:bidi="ar"/>
                    </w:rPr>
                    <w:t>项目</w:t>
                  </w:r>
                </w:p>
              </w:tc>
              <w:tc>
                <w:tcPr>
                  <w:tcW w:w="2646" w:type="pct"/>
                  <w:tcBorders>
                    <w:tl2br w:val="nil"/>
                    <w:tr2bl w:val="nil"/>
                  </w:tcBorders>
                  <w:noWrap w:val="0"/>
                  <w:vAlign w:val="center"/>
                </w:tcPr>
                <w:p w14:paraId="4A686C56">
                  <w:pPr>
                    <w:keepNext w:val="0"/>
                    <w:keepLines w:val="0"/>
                    <w:pageBreakBefore w:val="0"/>
                    <w:widowControl/>
                    <w:suppressLineNumbers w:val="0"/>
                    <w:kinsoku/>
                    <w:wordWrap/>
                    <w:overflowPunct/>
                    <w:topLinePunct w:val="0"/>
                    <w:autoSpaceDE/>
                    <w:autoSpaceDN/>
                    <w:bidi w:val="0"/>
                    <w:adjustRightInd/>
                    <w:snapToGrid w:val="0"/>
                    <w:spacing w:line="240" w:lineRule="auto"/>
                    <w:ind w:right="0" w:firstLine="0" w:firstLineChars="0"/>
                    <w:jc w:val="center"/>
                    <w:textAlignment w:val="auto"/>
                    <w:rPr>
                      <w:rFonts w:hint="default" w:ascii="Times New Roman" w:hAnsi="Times New Roman" w:eastAsia="宋体" w:cs="Times New Roman"/>
                      <w:color w:val="auto"/>
                      <w:kern w:val="0"/>
                      <w:sz w:val="21"/>
                      <w:szCs w:val="21"/>
                      <w:u w:val="none"/>
                      <w:lang w:val="en-US" w:eastAsia="zh-CN" w:bidi="ar"/>
                    </w:rPr>
                  </w:pPr>
                  <w:r>
                    <w:rPr>
                      <w:rFonts w:hint="eastAsia" w:ascii="Times New Roman" w:hAnsi="Times New Roman" w:eastAsia="宋体" w:cs="Times New Roman"/>
                      <w:color w:val="auto"/>
                      <w:kern w:val="0"/>
                      <w:sz w:val="21"/>
                      <w:szCs w:val="21"/>
                      <w:u w:val="none"/>
                      <w:lang w:val="en-US" w:eastAsia="zh-CN" w:bidi="ar"/>
                    </w:rPr>
                    <w:t>技术规范</w:t>
                  </w:r>
                  <w:r>
                    <w:rPr>
                      <w:rFonts w:hint="default" w:ascii="Times New Roman" w:hAnsi="Times New Roman" w:eastAsia="宋体" w:cs="Times New Roman"/>
                      <w:color w:val="auto"/>
                      <w:kern w:val="0"/>
                      <w:sz w:val="21"/>
                      <w:szCs w:val="21"/>
                      <w:u w:val="none"/>
                      <w:lang w:val="en-US" w:eastAsia="zh-CN" w:bidi="ar"/>
                    </w:rPr>
                    <w:t>内容要求</w:t>
                  </w:r>
                </w:p>
              </w:tc>
              <w:tc>
                <w:tcPr>
                  <w:tcW w:w="1383" w:type="pct"/>
                  <w:tcBorders>
                    <w:tl2br w:val="nil"/>
                    <w:tr2bl w:val="nil"/>
                  </w:tcBorders>
                  <w:noWrap w:val="0"/>
                  <w:vAlign w:val="center"/>
                </w:tcPr>
                <w:p w14:paraId="7E5C5F2F">
                  <w:pPr>
                    <w:keepNext w:val="0"/>
                    <w:keepLines w:val="0"/>
                    <w:pageBreakBefore w:val="0"/>
                    <w:widowControl/>
                    <w:suppressLineNumbers w:val="0"/>
                    <w:kinsoku/>
                    <w:wordWrap/>
                    <w:overflowPunct/>
                    <w:topLinePunct w:val="0"/>
                    <w:autoSpaceDE/>
                    <w:autoSpaceDN/>
                    <w:bidi w:val="0"/>
                    <w:adjustRightInd/>
                    <w:snapToGrid w:val="0"/>
                    <w:spacing w:line="240" w:lineRule="auto"/>
                    <w:ind w:right="0" w:firstLine="0" w:firstLineChars="0"/>
                    <w:jc w:val="center"/>
                    <w:textAlignment w:val="auto"/>
                    <w:rPr>
                      <w:rFonts w:hint="default" w:ascii="Times New Roman" w:hAnsi="Times New Roman" w:eastAsia="宋体" w:cs="Times New Roman"/>
                      <w:color w:val="auto"/>
                      <w:kern w:val="0"/>
                      <w:sz w:val="21"/>
                      <w:szCs w:val="21"/>
                      <w:u w:val="none"/>
                      <w:lang w:val="en-US" w:eastAsia="zh-CN" w:bidi="ar"/>
                    </w:rPr>
                  </w:pPr>
                  <w:r>
                    <w:rPr>
                      <w:rFonts w:hint="default" w:ascii="Times New Roman" w:hAnsi="Times New Roman" w:eastAsia="宋体" w:cs="Times New Roman"/>
                      <w:color w:val="auto"/>
                      <w:kern w:val="0"/>
                      <w:sz w:val="21"/>
                      <w:szCs w:val="21"/>
                      <w:u w:val="none"/>
                      <w:lang w:val="en-US" w:eastAsia="zh-CN" w:bidi="ar"/>
                    </w:rPr>
                    <w:t>本项目</w:t>
                  </w:r>
                  <w:r>
                    <w:rPr>
                      <w:rFonts w:hint="eastAsia" w:ascii="Times New Roman" w:hAnsi="Times New Roman" w:eastAsia="宋体" w:cs="Times New Roman"/>
                      <w:color w:val="auto"/>
                      <w:kern w:val="0"/>
                      <w:sz w:val="21"/>
                      <w:szCs w:val="21"/>
                      <w:u w:val="none"/>
                      <w:lang w:val="en-US" w:eastAsia="zh-CN" w:bidi="ar"/>
                    </w:rPr>
                    <w:t>具体情况</w:t>
                  </w:r>
                </w:p>
              </w:tc>
              <w:tc>
                <w:tcPr>
                  <w:tcW w:w="537" w:type="pct"/>
                  <w:tcBorders>
                    <w:tl2br w:val="nil"/>
                    <w:tr2bl w:val="nil"/>
                  </w:tcBorders>
                  <w:noWrap w:val="0"/>
                  <w:vAlign w:val="center"/>
                </w:tcPr>
                <w:p w14:paraId="268ACD88">
                  <w:pPr>
                    <w:keepNext w:val="0"/>
                    <w:keepLines w:val="0"/>
                    <w:pageBreakBefore w:val="0"/>
                    <w:widowControl/>
                    <w:suppressLineNumbers w:val="0"/>
                    <w:kinsoku/>
                    <w:wordWrap/>
                    <w:overflowPunct/>
                    <w:topLinePunct w:val="0"/>
                    <w:autoSpaceDE/>
                    <w:autoSpaceDN/>
                    <w:bidi w:val="0"/>
                    <w:adjustRightInd/>
                    <w:snapToGrid w:val="0"/>
                    <w:spacing w:line="240" w:lineRule="auto"/>
                    <w:ind w:right="0" w:firstLine="0" w:firstLineChars="0"/>
                    <w:jc w:val="center"/>
                    <w:textAlignment w:val="auto"/>
                    <w:rPr>
                      <w:rFonts w:hint="default" w:ascii="Times New Roman" w:hAnsi="Times New Roman" w:eastAsia="宋体" w:cs="Times New Roman"/>
                      <w:color w:val="auto"/>
                      <w:kern w:val="0"/>
                      <w:sz w:val="21"/>
                      <w:szCs w:val="21"/>
                      <w:u w:val="none"/>
                      <w:lang w:val="en-US" w:eastAsia="zh-CN" w:bidi="ar"/>
                    </w:rPr>
                  </w:pPr>
                  <w:r>
                    <w:rPr>
                      <w:rFonts w:hint="default" w:ascii="Times New Roman" w:hAnsi="Times New Roman" w:eastAsia="宋体" w:cs="Times New Roman"/>
                      <w:color w:val="auto"/>
                      <w:kern w:val="0"/>
                      <w:sz w:val="21"/>
                      <w:szCs w:val="21"/>
                      <w:u w:val="none"/>
                      <w:lang w:val="en-US" w:eastAsia="zh-CN" w:bidi="ar"/>
                    </w:rPr>
                    <w:t>符合性</w:t>
                  </w:r>
                </w:p>
              </w:tc>
            </w:tr>
            <w:tr w14:paraId="65E4E6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 w:hRule="atLeast"/>
                <w:jc w:val="center"/>
              </w:trPr>
              <w:tc>
                <w:tcPr>
                  <w:tcW w:w="431" w:type="pct"/>
                  <w:vMerge w:val="restart"/>
                  <w:tcBorders>
                    <w:tl2br w:val="nil"/>
                    <w:tr2bl w:val="nil"/>
                  </w:tcBorders>
                  <w:noWrap w:val="0"/>
                  <w:vAlign w:val="center"/>
                </w:tcPr>
                <w:p w14:paraId="5DB77A47">
                  <w:pPr>
                    <w:keepNext w:val="0"/>
                    <w:keepLines w:val="0"/>
                    <w:pageBreakBefore w:val="0"/>
                    <w:widowControl/>
                    <w:suppressLineNumbers w:val="0"/>
                    <w:kinsoku/>
                    <w:wordWrap/>
                    <w:overflowPunct/>
                    <w:topLinePunct w:val="0"/>
                    <w:autoSpaceDE/>
                    <w:autoSpaceDN/>
                    <w:bidi w:val="0"/>
                    <w:adjustRightInd/>
                    <w:snapToGrid w:val="0"/>
                    <w:spacing w:line="240" w:lineRule="auto"/>
                    <w:ind w:right="0" w:firstLine="0" w:firstLineChars="0"/>
                    <w:jc w:val="center"/>
                    <w:textAlignment w:val="auto"/>
                    <w:rPr>
                      <w:rFonts w:hint="default" w:ascii="Times New Roman" w:hAnsi="Times New Roman" w:eastAsia="宋体" w:cs="Times New Roman"/>
                      <w:color w:val="auto"/>
                      <w:kern w:val="0"/>
                      <w:sz w:val="21"/>
                      <w:szCs w:val="21"/>
                      <w:u w:val="none"/>
                      <w:lang w:val="en-US" w:eastAsia="zh-CN" w:bidi="ar"/>
                    </w:rPr>
                  </w:pPr>
                  <w:r>
                    <w:rPr>
                      <w:rFonts w:hint="eastAsia"/>
                      <w:color w:val="auto"/>
                      <w:kern w:val="0"/>
                      <w:szCs w:val="21"/>
                      <w:u w:val="none"/>
                      <w:lang w:bidi="ar"/>
                    </w:rPr>
                    <w:t>废铅蓄电池的收集、运输和贮存</w:t>
                  </w:r>
                  <w:r>
                    <w:rPr>
                      <w:rFonts w:hint="eastAsia" w:ascii="Times New Roman" w:hAnsi="Times New Roman" w:cs="Times New Roman"/>
                      <w:color w:val="auto"/>
                      <w:kern w:val="0"/>
                      <w:szCs w:val="21"/>
                      <w:u w:val="none"/>
                      <w:lang w:val="en-US" w:eastAsia="zh-CN" w:bidi="ar"/>
                    </w:rPr>
                    <w:t>总体要求</w:t>
                  </w:r>
                </w:p>
              </w:tc>
              <w:tc>
                <w:tcPr>
                  <w:tcW w:w="2646" w:type="pct"/>
                  <w:tcBorders>
                    <w:tl2br w:val="nil"/>
                    <w:tr2bl w:val="nil"/>
                  </w:tcBorders>
                  <w:noWrap w:val="0"/>
                  <w:vAlign w:val="center"/>
                </w:tcPr>
                <w:p w14:paraId="6C404E44">
                  <w:pPr>
                    <w:keepNext w:val="0"/>
                    <w:keepLines w:val="0"/>
                    <w:pageBreakBefore w:val="0"/>
                    <w:widowControl/>
                    <w:suppressLineNumbers w:val="0"/>
                    <w:kinsoku/>
                    <w:wordWrap/>
                    <w:overflowPunct/>
                    <w:topLinePunct w:val="0"/>
                    <w:autoSpaceDE/>
                    <w:autoSpaceDN/>
                    <w:bidi w:val="0"/>
                    <w:adjustRightInd/>
                    <w:snapToGrid w:val="0"/>
                    <w:spacing w:line="240" w:lineRule="auto"/>
                    <w:ind w:right="0" w:firstLine="0" w:firstLineChars="0"/>
                    <w:jc w:val="left"/>
                    <w:textAlignment w:val="auto"/>
                    <w:rPr>
                      <w:rFonts w:hint="default" w:ascii="Times New Roman" w:hAnsi="Times New Roman" w:eastAsia="宋体" w:cs="Times New Roman"/>
                      <w:color w:val="auto"/>
                      <w:kern w:val="0"/>
                      <w:sz w:val="21"/>
                      <w:szCs w:val="21"/>
                      <w:u w:val="none"/>
                      <w:lang w:val="en-US" w:eastAsia="zh-CN" w:bidi="ar"/>
                    </w:rPr>
                  </w:pPr>
                  <w:r>
                    <w:rPr>
                      <w:rFonts w:hint="default"/>
                      <w:color w:val="auto"/>
                      <w:kern w:val="0"/>
                      <w:szCs w:val="21"/>
                      <w:u w:val="none"/>
                      <w:lang w:bidi="ar"/>
                    </w:rPr>
                    <w:t>从事废铅蓄电池收集、贮存的企业，应依法获得危险废物经营许可证；禁止无经营许可证或者不按照经营许可证规定从事废铅蓄电池收集、贮存经营活动。</w:t>
                  </w:r>
                </w:p>
              </w:tc>
              <w:tc>
                <w:tcPr>
                  <w:tcW w:w="1383" w:type="pct"/>
                  <w:tcBorders>
                    <w:tl2br w:val="nil"/>
                    <w:tr2bl w:val="nil"/>
                  </w:tcBorders>
                  <w:noWrap w:val="0"/>
                  <w:vAlign w:val="center"/>
                </w:tcPr>
                <w:p w14:paraId="1E27F93B">
                  <w:pPr>
                    <w:keepNext w:val="0"/>
                    <w:keepLines w:val="0"/>
                    <w:pageBreakBefore w:val="0"/>
                    <w:widowControl/>
                    <w:suppressLineNumbers w:val="0"/>
                    <w:kinsoku/>
                    <w:wordWrap/>
                    <w:overflowPunct/>
                    <w:topLinePunct w:val="0"/>
                    <w:autoSpaceDE/>
                    <w:autoSpaceDN/>
                    <w:bidi w:val="0"/>
                    <w:adjustRightInd/>
                    <w:snapToGrid w:val="0"/>
                    <w:spacing w:line="240" w:lineRule="auto"/>
                    <w:ind w:right="0" w:firstLine="0" w:firstLineChars="0"/>
                    <w:jc w:val="left"/>
                    <w:textAlignment w:val="auto"/>
                    <w:rPr>
                      <w:rFonts w:hint="default" w:ascii="Times New Roman" w:hAnsi="Times New Roman" w:eastAsia="宋体" w:cs="Times New Roman"/>
                      <w:color w:val="auto"/>
                      <w:kern w:val="0"/>
                      <w:sz w:val="21"/>
                      <w:szCs w:val="21"/>
                      <w:u w:val="none"/>
                      <w:lang w:val="en-US" w:eastAsia="zh-CN" w:bidi="ar"/>
                    </w:rPr>
                  </w:pPr>
                  <w:r>
                    <w:rPr>
                      <w:rFonts w:hint="eastAsia" w:ascii="Times New Roman" w:hAnsi="Times New Roman" w:cs="Times New Roman"/>
                      <w:b w:val="0"/>
                      <w:bCs/>
                      <w:color w:val="auto"/>
                      <w:sz w:val="21"/>
                      <w:szCs w:val="21"/>
                      <w:u w:val="none"/>
                      <w:vertAlign w:val="baseline"/>
                      <w:lang w:val="en-US" w:eastAsia="zh-CN"/>
                    </w:rPr>
                    <w:t>企业已取得危险废物经营许可证。核准类别包含HW31含铅废物</w:t>
                  </w:r>
                </w:p>
              </w:tc>
              <w:tc>
                <w:tcPr>
                  <w:tcW w:w="537" w:type="pct"/>
                  <w:tcBorders>
                    <w:tl2br w:val="nil"/>
                    <w:tr2bl w:val="nil"/>
                  </w:tcBorders>
                  <w:noWrap w:val="0"/>
                  <w:vAlign w:val="center"/>
                </w:tcPr>
                <w:p w14:paraId="450A6034">
                  <w:pPr>
                    <w:keepNext w:val="0"/>
                    <w:keepLines w:val="0"/>
                    <w:pageBreakBefore w:val="0"/>
                    <w:widowControl/>
                    <w:suppressLineNumbers w:val="0"/>
                    <w:kinsoku/>
                    <w:wordWrap/>
                    <w:overflowPunct/>
                    <w:topLinePunct w:val="0"/>
                    <w:autoSpaceDE/>
                    <w:autoSpaceDN/>
                    <w:bidi w:val="0"/>
                    <w:adjustRightInd/>
                    <w:snapToGrid w:val="0"/>
                    <w:spacing w:line="240" w:lineRule="auto"/>
                    <w:ind w:right="0" w:firstLine="0" w:firstLineChars="0"/>
                    <w:jc w:val="center"/>
                    <w:textAlignment w:val="auto"/>
                    <w:rPr>
                      <w:rFonts w:hint="default" w:ascii="Times New Roman" w:hAnsi="Times New Roman" w:eastAsia="宋体" w:cs="Times New Roman"/>
                      <w:color w:val="auto"/>
                      <w:kern w:val="0"/>
                      <w:sz w:val="21"/>
                      <w:szCs w:val="21"/>
                      <w:u w:val="none"/>
                      <w:lang w:val="en-US" w:eastAsia="zh-CN" w:bidi="ar"/>
                    </w:rPr>
                  </w:pPr>
                  <w:r>
                    <w:rPr>
                      <w:rFonts w:hint="eastAsia" w:ascii="Times New Roman" w:hAnsi="Times New Roman" w:eastAsia="宋体" w:cs="Times New Roman"/>
                      <w:color w:val="auto"/>
                      <w:kern w:val="0"/>
                      <w:sz w:val="21"/>
                      <w:szCs w:val="21"/>
                      <w:u w:val="none"/>
                      <w:lang w:val="en-US" w:eastAsia="zh-CN" w:bidi="ar"/>
                    </w:rPr>
                    <w:t>符合</w:t>
                  </w:r>
                </w:p>
              </w:tc>
            </w:tr>
            <w:tr w14:paraId="144F23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31" w:type="pct"/>
                  <w:vMerge w:val="continue"/>
                  <w:tcBorders>
                    <w:tl2br w:val="nil"/>
                    <w:tr2bl w:val="nil"/>
                  </w:tcBorders>
                  <w:noWrap w:val="0"/>
                  <w:vAlign w:val="center"/>
                </w:tcPr>
                <w:p w14:paraId="25B71E43">
                  <w:pPr>
                    <w:keepNext w:val="0"/>
                    <w:keepLines w:val="0"/>
                    <w:pageBreakBefore w:val="0"/>
                    <w:widowControl/>
                    <w:suppressLineNumbers w:val="0"/>
                    <w:kinsoku/>
                    <w:wordWrap/>
                    <w:overflowPunct/>
                    <w:topLinePunct w:val="0"/>
                    <w:autoSpaceDE/>
                    <w:autoSpaceDN/>
                    <w:bidi w:val="0"/>
                    <w:adjustRightInd/>
                    <w:snapToGrid w:val="0"/>
                    <w:spacing w:line="240" w:lineRule="auto"/>
                    <w:ind w:right="0" w:firstLine="0" w:firstLineChars="0"/>
                    <w:jc w:val="center"/>
                    <w:textAlignment w:val="auto"/>
                    <w:rPr>
                      <w:rFonts w:hint="default" w:ascii="Times New Roman" w:hAnsi="Times New Roman" w:eastAsia="宋体" w:cs="Times New Roman"/>
                      <w:color w:val="auto"/>
                      <w:kern w:val="0"/>
                      <w:sz w:val="21"/>
                      <w:szCs w:val="21"/>
                      <w:u w:val="none"/>
                      <w:lang w:val="en-US" w:eastAsia="zh-CN" w:bidi="ar"/>
                    </w:rPr>
                  </w:pPr>
                </w:p>
              </w:tc>
              <w:tc>
                <w:tcPr>
                  <w:tcW w:w="2646" w:type="pct"/>
                  <w:tcBorders>
                    <w:tl2br w:val="nil"/>
                    <w:tr2bl w:val="nil"/>
                  </w:tcBorders>
                  <w:noWrap w:val="0"/>
                  <w:vAlign w:val="center"/>
                </w:tcPr>
                <w:p w14:paraId="382C365D">
                  <w:pPr>
                    <w:keepNext w:val="0"/>
                    <w:keepLines w:val="0"/>
                    <w:pageBreakBefore w:val="0"/>
                    <w:widowControl/>
                    <w:suppressLineNumbers w:val="0"/>
                    <w:kinsoku/>
                    <w:wordWrap/>
                    <w:overflowPunct/>
                    <w:topLinePunct w:val="0"/>
                    <w:autoSpaceDE/>
                    <w:autoSpaceDN/>
                    <w:bidi w:val="0"/>
                    <w:adjustRightInd/>
                    <w:snapToGrid w:val="0"/>
                    <w:spacing w:line="240" w:lineRule="auto"/>
                    <w:ind w:right="0" w:firstLine="0" w:firstLineChars="0"/>
                    <w:jc w:val="left"/>
                    <w:textAlignment w:val="auto"/>
                    <w:rPr>
                      <w:rFonts w:hint="default" w:ascii="Times New Roman" w:hAnsi="Times New Roman" w:eastAsia="宋体" w:cs="Times New Roman"/>
                      <w:color w:val="auto"/>
                      <w:kern w:val="0"/>
                      <w:sz w:val="21"/>
                      <w:szCs w:val="21"/>
                      <w:u w:val="none"/>
                      <w:lang w:val="en-US" w:eastAsia="zh-CN" w:bidi="ar"/>
                    </w:rPr>
                  </w:pPr>
                  <w:r>
                    <w:rPr>
                      <w:rFonts w:hint="default"/>
                      <w:color w:val="auto"/>
                      <w:kern w:val="0"/>
                      <w:szCs w:val="21"/>
                      <w:u w:val="none"/>
                      <w:lang w:bidi="ar"/>
                    </w:rPr>
                    <w:t>收集、运输、贮存废铅蓄电池的容器或托盘，应根据废铅蓄电池的特性设计，不易破损、变形，其所用材料能有效地防止渗漏、扩散，并耐酸腐蚀。装有废铅蓄电池的容器或托盘必须粘贴符合GB18597要求的危险废物标签。</w:t>
                  </w:r>
                </w:p>
              </w:tc>
              <w:tc>
                <w:tcPr>
                  <w:tcW w:w="1383" w:type="pct"/>
                  <w:tcBorders>
                    <w:tl2br w:val="nil"/>
                    <w:tr2bl w:val="nil"/>
                  </w:tcBorders>
                  <w:noWrap w:val="0"/>
                  <w:vAlign w:val="center"/>
                </w:tcPr>
                <w:p w14:paraId="754C97F0">
                  <w:pPr>
                    <w:keepNext w:val="0"/>
                    <w:keepLines w:val="0"/>
                    <w:pageBreakBefore w:val="0"/>
                    <w:widowControl/>
                    <w:suppressLineNumbers w:val="0"/>
                    <w:kinsoku/>
                    <w:wordWrap/>
                    <w:overflowPunct/>
                    <w:topLinePunct w:val="0"/>
                    <w:autoSpaceDE/>
                    <w:autoSpaceDN/>
                    <w:bidi w:val="0"/>
                    <w:adjustRightInd/>
                    <w:snapToGrid w:val="0"/>
                    <w:spacing w:line="240" w:lineRule="auto"/>
                    <w:ind w:right="0" w:firstLine="0" w:firstLineChars="0"/>
                    <w:jc w:val="left"/>
                    <w:textAlignment w:val="auto"/>
                    <w:rPr>
                      <w:rFonts w:hint="default" w:ascii="Times New Roman" w:hAnsi="Times New Roman" w:eastAsia="宋体" w:cs="Times New Roman"/>
                      <w:color w:val="auto"/>
                      <w:kern w:val="0"/>
                      <w:sz w:val="21"/>
                      <w:szCs w:val="21"/>
                      <w:u w:val="none"/>
                      <w:lang w:val="en-US" w:eastAsia="zh-CN" w:bidi="ar"/>
                    </w:rPr>
                  </w:pPr>
                  <w:r>
                    <w:rPr>
                      <w:rFonts w:hint="eastAsia" w:ascii="Times New Roman" w:hAnsi="Times New Roman" w:eastAsia="宋体" w:cs="Times New Roman"/>
                      <w:color w:val="auto"/>
                      <w:spacing w:val="-6"/>
                      <w:kern w:val="0"/>
                      <w:sz w:val="21"/>
                      <w:szCs w:val="21"/>
                      <w:u w:val="none"/>
                      <w:lang w:val="en-US" w:eastAsia="zh-CN" w:bidi="ar"/>
                    </w:rPr>
                    <w:t>本项目所用收集废铅蓄电池容器均根据电池特性选用，</w:t>
                  </w:r>
                  <w:r>
                    <w:rPr>
                      <w:rFonts w:hint="default"/>
                      <w:color w:val="auto"/>
                      <w:spacing w:val="-6"/>
                      <w:kern w:val="0"/>
                      <w:sz w:val="21"/>
                      <w:szCs w:val="21"/>
                      <w:u w:val="none"/>
                      <w:lang w:bidi="ar"/>
                    </w:rPr>
                    <w:t>不易破损、变形，能有效地防止渗漏、扩散，并耐酸腐蚀。</w:t>
                  </w:r>
                  <w:r>
                    <w:rPr>
                      <w:rFonts w:hint="eastAsia"/>
                      <w:color w:val="auto"/>
                      <w:spacing w:val="-6"/>
                      <w:kern w:val="0"/>
                      <w:sz w:val="21"/>
                      <w:szCs w:val="21"/>
                      <w:u w:val="none"/>
                      <w:lang w:val="en-US" w:eastAsia="zh-CN" w:bidi="ar"/>
                    </w:rPr>
                    <w:t>粘贴符合要求的标签。</w:t>
                  </w:r>
                </w:p>
              </w:tc>
              <w:tc>
                <w:tcPr>
                  <w:tcW w:w="537" w:type="pct"/>
                  <w:tcBorders>
                    <w:tl2br w:val="nil"/>
                    <w:tr2bl w:val="nil"/>
                  </w:tcBorders>
                  <w:noWrap w:val="0"/>
                  <w:vAlign w:val="center"/>
                </w:tcPr>
                <w:p w14:paraId="75B0F336">
                  <w:pPr>
                    <w:keepNext w:val="0"/>
                    <w:keepLines w:val="0"/>
                    <w:pageBreakBefore w:val="0"/>
                    <w:widowControl/>
                    <w:suppressLineNumbers w:val="0"/>
                    <w:kinsoku/>
                    <w:wordWrap/>
                    <w:overflowPunct/>
                    <w:topLinePunct w:val="0"/>
                    <w:autoSpaceDE/>
                    <w:autoSpaceDN/>
                    <w:bidi w:val="0"/>
                    <w:adjustRightInd/>
                    <w:snapToGrid w:val="0"/>
                    <w:spacing w:line="240" w:lineRule="auto"/>
                    <w:ind w:right="0" w:firstLine="0" w:firstLineChars="0"/>
                    <w:jc w:val="center"/>
                    <w:textAlignment w:val="auto"/>
                    <w:rPr>
                      <w:rFonts w:hint="default" w:ascii="Times New Roman" w:hAnsi="Times New Roman" w:eastAsia="宋体" w:cs="Times New Roman"/>
                      <w:color w:val="auto"/>
                      <w:kern w:val="0"/>
                      <w:sz w:val="21"/>
                      <w:szCs w:val="21"/>
                      <w:u w:val="none"/>
                      <w:lang w:val="en-US" w:eastAsia="zh-CN" w:bidi="ar"/>
                    </w:rPr>
                  </w:pPr>
                  <w:r>
                    <w:rPr>
                      <w:rFonts w:hint="eastAsia" w:ascii="Times New Roman" w:hAnsi="Times New Roman" w:eastAsia="宋体" w:cs="Times New Roman"/>
                      <w:color w:val="auto"/>
                      <w:kern w:val="0"/>
                      <w:sz w:val="21"/>
                      <w:szCs w:val="21"/>
                      <w:u w:val="none"/>
                      <w:lang w:val="en-US" w:eastAsia="zh-CN" w:bidi="ar"/>
                    </w:rPr>
                    <w:t>符合</w:t>
                  </w:r>
                </w:p>
              </w:tc>
            </w:tr>
            <w:tr w14:paraId="31897B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9" w:hRule="atLeast"/>
                <w:jc w:val="center"/>
              </w:trPr>
              <w:tc>
                <w:tcPr>
                  <w:tcW w:w="431" w:type="pct"/>
                  <w:vMerge w:val="continue"/>
                  <w:tcBorders>
                    <w:tl2br w:val="nil"/>
                    <w:tr2bl w:val="nil"/>
                  </w:tcBorders>
                  <w:noWrap w:val="0"/>
                  <w:vAlign w:val="center"/>
                </w:tcPr>
                <w:p w14:paraId="357BCF84">
                  <w:pPr>
                    <w:keepNext w:val="0"/>
                    <w:keepLines w:val="0"/>
                    <w:pageBreakBefore w:val="0"/>
                    <w:widowControl/>
                    <w:suppressLineNumbers w:val="0"/>
                    <w:kinsoku/>
                    <w:wordWrap/>
                    <w:overflowPunct/>
                    <w:topLinePunct w:val="0"/>
                    <w:autoSpaceDE/>
                    <w:autoSpaceDN/>
                    <w:bidi w:val="0"/>
                    <w:adjustRightInd/>
                    <w:snapToGrid w:val="0"/>
                    <w:spacing w:line="240" w:lineRule="auto"/>
                    <w:ind w:right="0" w:firstLine="0" w:firstLineChars="0"/>
                    <w:jc w:val="center"/>
                    <w:textAlignment w:val="auto"/>
                    <w:rPr>
                      <w:rFonts w:hint="default" w:ascii="Times New Roman" w:hAnsi="Times New Roman" w:eastAsia="宋体" w:cs="Times New Roman"/>
                      <w:color w:val="auto"/>
                      <w:kern w:val="0"/>
                      <w:sz w:val="21"/>
                      <w:szCs w:val="21"/>
                      <w:u w:val="none"/>
                      <w:lang w:val="en-US" w:eastAsia="zh-CN" w:bidi="ar"/>
                    </w:rPr>
                  </w:pPr>
                </w:p>
              </w:tc>
              <w:tc>
                <w:tcPr>
                  <w:tcW w:w="2646" w:type="pct"/>
                  <w:tcBorders>
                    <w:tl2br w:val="nil"/>
                    <w:tr2bl w:val="nil"/>
                  </w:tcBorders>
                  <w:noWrap w:val="0"/>
                  <w:vAlign w:val="center"/>
                </w:tcPr>
                <w:p w14:paraId="1F211556">
                  <w:pPr>
                    <w:keepNext w:val="0"/>
                    <w:keepLines w:val="0"/>
                    <w:pageBreakBefore w:val="0"/>
                    <w:widowControl/>
                    <w:suppressLineNumbers w:val="0"/>
                    <w:kinsoku/>
                    <w:wordWrap/>
                    <w:overflowPunct/>
                    <w:topLinePunct w:val="0"/>
                    <w:autoSpaceDE/>
                    <w:autoSpaceDN/>
                    <w:bidi w:val="0"/>
                    <w:adjustRightInd/>
                    <w:snapToGrid w:val="0"/>
                    <w:spacing w:line="240" w:lineRule="auto"/>
                    <w:ind w:right="0" w:firstLine="0" w:firstLineChars="0"/>
                    <w:jc w:val="left"/>
                    <w:textAlignment w:val="auto"/>
                    <w:rPr>
                      <w:rFonts w:hint="eastAsia" w:ascii="Times New Roman" w:hAnsi="Times New Roman" w:eastAsia="宋体" w:cs="Times New Roman"/>
                      <w:color w:val="auto"/>
                      <w:kern w:val="0"/>
                      <w:sz w:val="21"/>
                      <w:szCs w:val="21"/>
                      <w:u w:val="none"/>
                      <w:lang w:val="en-US" w:eastAsia="zh-CN" w:bidi="ar"/>
                    </w:rPr>
                  </w:pPr>
                  <w:r>
                    <w:rPr>
                      <w:rFonts w:hint="eastAsia"/>
                      <w:color w:val="auto"/>
                      <w:kern w:val="0"/>
                      <w:szCs w:val="21"/>
                      <w:u w:val="none"/>
                      <w:lang w:bidi="ar"/>
                    </w:rPr>
                    <w:t>废铅蓄电池收集、贮存企业应建立废铅蓄电池收集处理数据信息管理系统，如实记录收集、贮存、转移废铅蓄电池的重量、来源、去向等信息，并实现与全国固体废物管理信息系统的数据对接。</w:t>
                  </w:r>
                </w:p>
              </w:tc>
              <w:tc>
                <w:tcPr>
                  <w:tcW w:w="1383" w:type="pct"/>
                  <w:tcBorders>
                    <w:tl2br w:val="nil"/>
                    <w:tr2bl w:val="nil"/>
                  </w:tcBorders>
                  <w:noWrap w:val="0"/>
                  <w:vAlign w:val="center"/>
                </w:tcPr>
                <w:p w14:paraId="07B16485">
                  <w:pPr>
                    <w:keepNext w:val="0"/>
                    <w:keepLines w:val="0"/>
                    <w:pageBreakBefore w:val="0"/>
                    <w:widowControl/>
                    <w:suppressLineNumbers w:val="0"/>
                    <w:kinsoku/>
                    <w:wordWrap/>
                    <w:overflowPunct/>
                    <w:topLinePunct w:val="0"/>
                    <w:autoSpaceDE/>
                    <w:autoSpaceDN/>
                    <w:bidi w:val="0"/>
                    <w:adjustRightInd/>
                    <w:snapToGrid w:val="0"/>
                    <w:spacing w:line="240" w:lineRule="auto"/>
                    <w:ind w:right="0" w:firstLine="0" w:firstLineChars="0"/>
                    <w:jc w:val="left"/>
                    <w:textAlignment w:val="auto"/>
                    <w:rPr>
                      <w:rFonts w:hint="default" w:ascii="Times New Roman" w:hAnsi="Times New Roman" w:eastAsia="宋体" w:cs="Times New Roman"/>
                      <w:color w:val="auto"/>
                      <w:kern w:val="0"/>
                      <w:sz w:val="21"/>
                      <w:szCs w:val="21"/>
                      <w:u w:val="none"/>
                      <w:lang w:val="en-US" w:eastAsia="zh-CN" w:bidi="ar"/>
                    </w:rPr>
                  </w:pPr>
                  <w:r>
                    <w:rPr>
                      <w:rFonts w:hint="eastAsia"/>
                      <w:color w:val="auto"/>
                      <w:spacing w:val="-6"/>
                      <w:kern w:val="0"/>
                      <w:sz w:val="21"/>
                      <w:szCs w:val="21"/>
                      <w:u w:val="none"/>
                      <w:lang w:bidi="ar"/>
                    </w:rPr>
                    <w:t>项目收集的废旧蓄电池转移过程均严格按</w:t>
                  </w:r>
                  <w:r>
                    <w:rPr>
                      <w:rFonts w:hint="eastAsia"/>
                      <w:color w:val="auto"/>
                      <w:spacing w:val="-6"/>
                      <w:kern w:val="0"/>
                      <w:sz w:val="21"/>
                      <w:szCs w:val="21"/>
                      <w:u w:val="none"/>
                      <w:lang w:val="en-US" w:eastAsia="zh-CN" w:bidi="ar"/>
                    </w:rPr>
                    <w:t>规定</w:t>
                  </w:r>
                  <w:r>
                    <w:rPr>
                      <w:rFonts w:hint="eastAsia"/>
                      <w:color w:val="auto"/>
                      <w:spacing w:val="-6"/>
                      <w:kern w:val="0"/>
                      <w:sz w:val="21"/>
                      <w:szCs w:val="21"/>
                      <w:u w:val="none"/>
                      <w:lang w:bidi="ar"/>
                    </w:rPr>
                    <w:t>执行，如实记录收集、贮存、来源、去向等信息</w:t>
                  </w:r>
                  <w:r>
                    <w:rPr>
                      <w:rFonts w:hint="eastAsia"/>
                      <w:color w:val="auto"/>
                      <w:spacing w:val="-6"/>
                      <w:kern w:val="0"/>
                      <w:sz w:val="21"/>
                      <w:szCs w:val="21"/>
                      <w:u w:val="none"/>
                      <w:lang w:eastAsia="zh-CN" w:bidi="ar"/>
                    </w:rPr>
                    <w:t>，</w:t>
                  </w:r>
                  <w:r>
                    <w:rPr>
                      <w:rFonts w:hint="eastAsia"/>
                      <w:color w:val="auto"/>
                      <w:spacing w:val="-6"/>
                      <w:kern w:val="0"/>
                      <w:sz w:val="21"/>
                      <w:szCs w:val="21"/>
                      <w:u w:val="none"/>
                      <w:lang w:val="en-US" w:eastAsia="zh-CN" w:bidi="ar"/>
                    </w:rPr>
                    <w:t>并</w:t>
                  </w:r>
                  <w:r>
                    <w:rPr>
                      <w:rFonts w:hint="eastAsia"/>
                      <w:color w:val="auto"/>
                      <w:spacing w:val="-6"/>
                      <w:kern w:val="0"/>
                      <w:sz w:val="21"/>
                      <w:szCs w:val="21"/>
                      <w:u w:val="none"/>
                      <w:lang w:bidi="ar"/>
                    </w:rPr>
                    <w:t>与固体废物管理信息系统的数据对接。</w:t>
                  </w:r>
                </w:p>
              </w:tc>
              <w:tc>
                <w:tcPr>
                  <w:tcW w:w="537" w:type="pct"/>
                  <w:tcBorders>
                    <w:tl2br w:val="nil"/>
                    <w:tr2bl w:val="nil"/>
                  </w:tcBorders>
                  <w:noWrap w:val="0"/>
                  <w:vAlign w:val="center"/>
                </w:tcPr>
                <w:p w14:paraId="64619609">
                  <w:pPr>
                    <w:keepNext w:val="0"/>
                    <w:keepLines w:val="0"/>
                    <w:pageBreakBefore w:val="0"/>
                    <w:widowControl/>
                    <w:suppressLineNumbers w:val="0"/>
                    <w:kinsoku/>
                    <w:wordWrap/>
                    <w:overflowPunct/>
                    <w:topLinePunct w:val="0"/>
                    <w:autoSpaceDE/>
                    <w:autoSpaceDN/>
                    <w:bidi w:val="0"/>
                    <w:adjustRightInd/>
                    <w:snapToGrid w:val="0"/>
                    <w:spacing w:line="240" w:lineRule="auto"/>
                    <w:ind w:right="0" w:firstLine="0" w:firstLineChars="0"/>
                    <w:jc w:val="center"/>
                    <w:textAlignment w:val="auto"/>
                    <w:rPr>
                      <w:rFonts w:hint="default" w:ascii="Times New Roman" w:hAnsi="Times New Roman" w:eastAsia="宋体" w:cs="Times New Roman"/>
                      <w:color w:val="auto"/>
                      <w:kern w:val="0"/>
                      <w:sz w:val="21"/>
                      <w:szCs w:val="21"/>
                      <w:u w:val="none"/>
                      <w:lang w:val="en-US" w:eastAsia="zh-CN" w:bidi="ar"/>
                    </w:rPr>
                  </w:pPr>
                  <w:r>
                    <w:rPr>
                      <w:rFonts w:hint="eastAsia" w:ascii="Times New Roman" w:hAnsi="Times New Roman" w:eastAsia="宋体" w:cs="Times New Roman"/>
                      <w:color w:val="auto"/>
                      <w:kern w:val="0"/>
                      <w:sz w:val="21"/>
                      <w:szCs w:val="21"/>
                      <w:u w:val="none"/>
                      <w:lang w:val="en-US" w:eastAsia="zh-CN" w:bidi="ar"/>
                    </w:rPr>
                    <w:t>符合</w:t>
                  </w:r>
                </w:p>
              </w:tc>
            </w:tr>
            <w:tr w14:paraId="64DE24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4" w:hRule="atLeast"/>
                <w:jc w:val="center"/>
              </w:trPr>
              <w:tc>
                <w:tcPr>
                  <w:tcW w:w="431" w:type="pct"/>
                  <w:vMerge w:val="continue"/>
                  <w:tcBorders>
                    <w:tl2br w:val="nil"/>
                    <w:tr2bl w:val="nil"/>
                  </w:tcBorders>
                  <w:noWrap w:val="0"/>
                  <w:vAlign w:val="center"/>
                </w:tcPr>
                <w:p w14:paraId="4E437C66">
                  <w:pPr>
                    <w:keepNext w:val="0"/>
                    <w:keepLines w:val="0"/>
                    <w:pageBreakBefore w:val="0"/>
                    <w:widowControl/>
                    <w:suppressLineNumbers w:val="0"/>
                    <w:kinsoku/>
                    <w:wordWrap/>
                    <w:overflowPunct/>
                    <w:topLinePunct w:val="0"/>
                    <w:autoSpaceDE/>
                    <w:autoSpaceDN/>
                    <w:bidi w:val="0"/>
                    <w:adjustRightInd/>
                    <w:snapToGrid w:val="0"/>
                    <w:spacing w:line="240" w:lineRule="auto"/>
                    <w:ind w:right="0" w:firstLine="0" w:firstLineChars="0"/>
                    <w:jc w:val="center"/>
                    <w:textAlignment w:val="auto"/>
                    <w:rPr>
                      <w:rFonts w:hint="default" w:ascii="Times New Roman" w:hAnsi="Times New Roman" w:eastAsia="宋体" w:cs="Times New Roman"/>
                      <w:color w:val="auto"/>
                      <w:kern w:val="0"/>
                      <w:sz w:val="21"/>
                      <w:szCs w:val="21"/>
                      <w:u w:val="none"/>
                      <w:lang w:val="en-US" w:eastAsia="zh-CN" w:bidi="ar"/>
                    </w:rPr>
                  </w:pPr>
                </w:p>
              </w:tc>
              <w:tc>
                <w:tcPr>
                  <w:tcW w:w="2646" w:type="pct"/>
                  <w:tcBorders>
                    <w:tl2br w:val="nil"/>
                    <w:tr2bl w:val="nil"/>
                  </w:tcBorders>
                  <w:noWrap w:val="0"/>
                  <w:vAlign w:val="center"/>
                </w:tcPr>
                <w:p w14:paraId="5EC873C0">
                  <w:pPr>
                    <w:keepNext w:val="0"/>
                    <w:keepLines w:val="0"/>
                    <w:pageBreakBefore w:val="0"/>
                    <w:widowControl/>
                    <w:suppressLineNumbers w:val="0"/>
                    <w:kinsoku/>
                    <w:wordWrap/>
                    <w:overflowPunct/>
                    <w:topLinePunct w:val="0"/>
                    <w:autoSpaceDE/>
                    <w:autoSpaceDN/>
                    <w:bidi w:val="0"/>
                    <w:adjustRightInd/>
                    <w:snapToGrid w:val="0"/>
                    <w:spacing w:line="240" w:lineRule="auto"/>
                    <w:ind w:right="0" w:firstLine="0" w:firstLineChars="0"/>
                    <w:jc w:val="left"/>
                    <w:textAlignment w:val="auto"/>
                    <w:rPr>
                      <w:rFonts w:hint="eastAsia" w:ascii="Times New Roman" w:hAnsi="Times New Roman" w:eastAsia="宋体" w:cs="Times New Roman"/>
                      <w:color w:val="auto"/>
                      <w:kern w:val="0"/>
                      <w:sz w:val="21"/>
                      <w:szCs w:val="21"/>
                      <w:u w:val="none"/>
                      <w:lang w:val="en-US" w:eastAsia="zh-CN" w:bidi="ar"/>
                    </w:rPr>
                  </w:pPr>
                  <w:r>
                    <w:rPr>
                      <w:rFonts w:hint="eastAsia"/>
                      <w:color w:val="auto"/>
                      <w:spacing w:val="-6"/>
                      <w:kern w:val="0"/>
                      <w:sz w:val="21"/>
                      <w:szCs w:val="21"/>
                      <w:u w:val="none"/>
                      <w:lang w:bidi="ar"/>
                    </w:rPr>
                    <w:t>禁止在收集、运输和贮存过程中擅自拆解、破碎、丢弃废铅蓄电池；禁止倾倒含铅酸性电解质。</w:t>
                  </w:r>
                </w:p>
              </w:tc>
              <w:tc>
                <w:tcPr>
                  <w:tcW w:w="1383" w:type="pct"/>
                  <w:tcBorders>
                    <w:tl2br w:val="nil"/>
                    <w:tr2bl w:val="nil"/>
                  </w:tcBorders>
                  <w:noWrap w:val="0"/>
                  <w:vAlign w:val="center"/>
                </w:tcPr>
                <w:p w14:paraId="7CF5A378">
                  <w:pPr>
                    <w:keepNext w:val="0"/>
                    <w:keepLines w:val="0"/>
                    <w:pageBreakBefore w:val="0"/>
                    <w:widowControl/>
                    <w:suppressLineNumbers w:val="0"/>
                    <w:kinsoku/>
                    <w:wordWrap/>
                    <w:overflowPunct/>
                    <w:topLinePunct w:val="0"/>
                    <w:autoSpaceDE/>
                    <w:autoSpaceDN/>
                    <w:bidi w:val="0"/>
                    <w:adjustRightInd/>
                    <w:snapToGrid w:val="0"/>
                    <w:spacing w:line="240" w:lineRule="auto"/>
                    <w:ind w:right="0" w:firstLine="0" w:firstLineChars="0"/>
                    <w:jc w:val="left"/>
                    <w:textAlignment w:val="auto"/>
                    <w:rPr>
                      <w:rFonts w:hint="default" w:ascii="Times New Roman" w:hAnsi="Times New Roman" w:eastAsia="宋体" w:cs="Times New Roman"/>
                      <w:color w:val="auto"/>
                      <w:kern w:val="0"/>
                      <w:sz w:val="21"/>
                      <w:szCs w:val="21"/>
                      <w:u w:val="none"/>
                      <w:lang w:val="en-US" w:eastAsia="zh-CN" w:bidi="ar"/>
                    </w:rPr>
                  </w:pPr>
                  <w:r>
                    <w:rPr>
                      <w:rFonts w:hint="eastAsia"/>
                      <w:color w:val="auto"/>
                      <w:kern w:val="0"/>
                      <w:szCs w:val="21"/>
                      <w:u w:val="none"/>
                      <w:lang w:bidi="ar"/>
                    </w:rPr>
                    <w:t>本项目不进行废铅蓄电池的拆解、破碎等</w:t>
                  </w:r>
                </w:p>
              </w:tc>
              <w:tc>
                <w:tcPr>
                  <w:tcW w:w="537" w:type="pct"/>
                  <w:tcBorders>
                    <w:tl2br w:val="nil"/>
                    <w:tr2bl w:val="nil"/>
                  </w:tcBorders>
                  <w:noWrap w:val="0"/>
                  <w:vAlign w:val="center"/>
                </w:tcPr>
                <w:p w14:paraId="531715F7">
                  <w:pPr>
                    <w:keepNext w:val="0"/>
                    <w:keepLines w:val="0"/>
                    <w:pageBreakBefore w:val="0"/>
                    <w:widowControl/>
                    <w:suppressLineNumbers w:val="0"/>
                    <w:kinsoku/>
                    <w:wordWrap/>
                    <w:overflowPunct/>
                    <w:topLinePunct w:val="0"/>
                    <w:autoSpaceDE/>
                    <w:autoSpaceDN/>
                    <w:bidi w:val="0"/>
                    <w:adjustRightInd/>
                    <w:snapToGrid w:val="0"/>
                    <w:spacing w:line="240" w:lineRule="auto"/>
                    <w:ind w:right="0" w:firstLine="0" w:firstLineChars="0"/>
                    <w:jc w:val="center"/>
                    <w:textAlignment w:val="auto"/>
                    <w:rPr>
                      <w:rFonts w:hint="default" w:ascii="Times New Roman" w:hAnsi="Times New Roman" w:eastAsia="宋体" w:cs="Times New Roman"/>
                      <w:color w:val="auto"/>
                      <w:kern w:val="0"/>
                      <w:sz w:val="21"/>
                      <w:szCs w:val="21"/>
                      <w:u w:val="none"/>
                      <w:lang w:val="en-US" w:eastAsia="zh-CN" w:bidi="ar"/>
                    </w:rPr>
                  </w:pPr>
                  <w:r>
                    <w:rPr>
                      <w:rFonts w:hint="eastAsia" w:ascii="Times New Roman" w:hAnsi="Times New Roman" w:eastAsia="宋体" w:cs="Times New Roman"/>
                      <w:color w:val="auto"/>
                      <w:kern w:val="0"/>
                      <w:sz w:val="21"/>
                      <w:szCs w:val="21"/>
                      <w:u w:val="none"/>
                      <w:lang w:val="en-US" w:eastAsia="zh-CN" w:bidi="ar"/>
                    </w:rPr>
                    <w:t>符合</w:t>
                  </w:r>
                </w:p>
              </w:tc>
            </w:tr>
            <w:tr w14:paraId="5BC654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431" w:type="pct"/>
                  <w:vMerge w:val="continue"/>
                  <w:tcBorders>
                    <w:tl2br w:val="nil"/>
                    <w:tr2bl w:val="nil"/>
                  </w:tcBorders>
                  <w:noWrap w:val="0"/>
                  <w:vAlign w:val="center"/>
                </w:tcPr>
                <w:p w14:paraId="7BCE940B">
                  <w:pPr>
                    <w:keepNext w:val="0"/>
                    <w:keepLines w:val="0"/>
                    <w:pageBreakBefore w:val="0"/>
                    <w:widowControl/>
                    <w:suppressLineNumbers w:val="0"/>
                    <w:kinsoku/>
                    <w:wordWrap/>
                    <w:overflowPunct/>
                    <w:topLinePunct w:val="0"/>
                    <w:autoSpaceDE/>
                    <w:autoSpaceDN/>
                    <w:bidi w:val="0"/>
                    <w:adjustRightInd/>
                    <w:snapToGrid w:val="0"/>
                    <w:spacing w:line="240" w:lineRule="auto"/>
                    <w:ind w:right="0" w:firstLine="0" w:firstLineChars="0"/>
                    <w:jc w:val="center"/>
                    <w:textAlignment w:val="auto"/>
                    <w:rPr>
                      <w:rFonts w:hint="default" w:ascii="Times New Roman" w:hAnsi="Times New Roman" w:eastAsia="宋体" w:cs="Times New Roman"/>
                      <w:color w:val="auto"/>
                      <w:kern w:val="0"/>
                      <w:sz w:val="21"/>
                      <w:szCs w:val="21"/>
                      <w:u w:val="none"/>
                      <w:lang w:val="en-US" w:eastAsia="zh-CN" w:bidi="ar"/>
                    </w:rPr>
                  </w:pPr>
                </w:p>
              </w:tc>
              <w:tc>
                <w:tcPr>
                  <w:tcW w:w="2646" w:type="pct"/>
                  <w:tcBorders>
                    <w:tl2br w:val="nil"/>
                    <w:tr2bl w:val="nil"/>
                  </w:tcBorders>
                  <w:noWrap w:val="0"/>
                  <w:vAlign w:val="center"/>
                </w:tcPr>
                <w:p w14:paraId="0D3FCB17">
                  <w:pPr>
                    <w:keepNext w:val="0"/>
                    <w:keepLines w:val="0"/>
                    <w:pageBreakBefore w:val="0"/>
                    <w:widowControl/>
                    <w:suppressLineNumbers w:val="0"/>
                    <w:kinsoku/>
                    <w:wordWrap/>
                    <w:overflowPunct/>
                    <w:topLinePunct w:val="0"/>
                    <w:autoSpaceDE/>
                    <w:autoSpaceDN/>
                    <w:bidi w:val="0"/>
                    <w:adjustRightInd/>
                    <w:snapToGrid w:val="0"/>
                    <w:spacing w:line="240" w:lineRule="auto"/>
                    <w:ind w:right="0" w:firstLine="0" w:firstLineChars="0"/>
                    <w:jc w:val="left"/>
                    <w:textAlignment w:val="auto"/>
                    <w:rPr>
                      <w:rFonts w:hint="eastAsia" w:ascii="Times New Roman" w:hAnsi="Times New Roman" w:eastAsia="宋体" w:cs="Times New Roman"/>
                      <w:color w:val="auto"/>
                      <w:kern w:val="0"/>
                      <w:sz w:val="21"/>
                      <w:szCs w:val="21"/>
                      <w:u w:val="none"/>
                      <w:lang w:val="en-US" w:eastAsia="zh-CN" w:bidi="ar"/>
                    </w:rPr>
                  </w:pPr>
                  <w:r>
                    <w:rPr>
                      <w:rFonts w:hint="eastAsia"/>
                      <w:color w:val="auto"/>
                      <w:spacing w:val="-6"/>
                      <w:kern w:val="0"/>
                      <w:sz w:val="21"/>
                      <w:szCs w:val="21"/>
                      <w:u w:val="none"/>
                      <w:lang w:bidi="ar"/>
                    </w:rPr>
                    <w:t>废铅蓄电池收集、运输、贮存过程除应满足环境保护相关要求外，还应符合国家安全生产、职业健康、交通运输、消防等法规标准的相关要求。</w:t>
                  </w:r>
                </w:p>
              </w:tc>
              <w:tc>
                <w:tcPr>
                  <w:tcW w:w="1383" w:type="pct"/>
                  <w:tcBorders>
                    <w:tl2br w:val="nil"/>
                    <w:tr2bl w:val="nil"/>
                  </w:tcBorders>
                  <w:noWrap w:val="0"/>
                  <w:vAlign w:val="center"/>
                </w:tcPr>
                <w:p w14:paraId="0B3293B5">
                  <w:pPr>
                    <w:keepNext w:val="0"/>
                    <w:keepLines w:val="0"/>
                    <w:pageBreakBefore w:val="0"/>
                    <w:widowControl/>
                    <w:suppressLineNumbers w:val="0"/>
                    <w:kinsoku/>
                    <w:wordWrap/>
                    <w:overflowPunct/>
                    <w:topLinePunct w:val="0"/>
                    <w:autoSpaceDE/>
                    <w:autoSpaceDN/>
                    <w:bidi w:val="0"/>
                    <w:adjustRightInd/>
                    <w:snapToGrid w:val="0"/>
                    <w:spacing w:line="240" w:lineRule="auto"/>
                    <w:ind w:right="0" w:firstLine="0" w:firstLineChars="0"/>
                    <w:jc w:val="left"/>
                    <w:textAlignment w:val="auto"/>
                    <w:rPr>
                      <w:rFonts w:hint="default" w:ascii="Times New Roman" w:hAnsi="Times New Roman" w:eastAsia="宋体" w:cs="Times New Roman"/>
                      <w:color w:val="auto"/>
                      <w:kern w:val="0"/>
                      <w:sz w:val="21"/>
                      <w:szCs w:val="21"/>
                      <w:u w:val="none"/>
                      <w:lang w:val="en-US" w:eastAsia="zh-CN" w:bidi="ar"/>
                    </w:rPr>
                  </w:pPr>
                  <w:r>
                    <w:rPr>
                      <w:rFonts w:hint="eastAsia" w:eastAsia="宋体"/>
                      <w:color w:val="auto"/>
                      <w:kern w:val="0"/>
                      <w:szCs w:val="21"/>
                      <w:u w:val="none"/>
                      <w:lang w:val="en-US" w:eastAsia="zh-CN" w:bidi="ar"/>
                    </w:rPr>
                    <w:t>本项目</w:t>
                  </w:r>
                  <w:r>
                    <w:rPr>
                      <w:rFonts w:hint="eastAsia"/>
                      <w:color w:val="auto"/>
                      <w:kern w:val="0"/>
                      <w:szCs w:val="21"/>
                      <w:u w:val="none"/>
                      <w:lang w:bidi="ar"/>
                    </w:rPr>
                    <w:t>收集、运输、贮存过程</w:t>
                  </w:r>
                  <w:r>
                    <w:rPr>
                      <w:rFonts w:hint="eastAsia"/>
                      <w:color w:val="auto"/>
                      <w:kern w:val="0"/>
                      <w:szCs w:val="21"/>
                      <w:u w:val="none"/>
                      <w:lang w:val="en-US" w:eastAsia="zh-CN" w:bidi="ar"/>
                    </w:rPr>
                    <w:t>满足</w:t>
                  </w:r>
                  <w:r>
                    <w:rPr>
                      <w:rFonts w:hint="eastAsia"/>
                      <w:color w:val="auto"/>
                      <w:kern w:val="0"/>
                      <w:szCs w:val="21"/>
                      <w:u w:val="none"/>
                      <w:lang w:bidi="ar"/>
                    </w:rPr>
                    <w:t>相关要求</w:t>
                  </w:r>
                </w:p>
              </w:tc>
              <w:tc>
                <w:tcPr>
                  <w:tcW w:w="537" w:type="pct"/>
                  <w:tcBorders>
                    <w:tl2br w:val="nil"/>
                    <w:tr2bl w:val="nil"/>
                  </w:tcBorders>
                  <w:noWrap w:val="0"/>
                  <w:vAlign w:val="center"/>
                </w:tcPr>
                <w:p w14:paraId="6C741D99">
                  <w:pPr>
                    <w:keepNext w:val="0"/>
                    <w:keepLines w:val="0"/>
                    <w:pageBreakBefore w:val="0"/>
                    <w:widowControl/>
                    <w:suppressLineNumbers w:val="0"/>
                    <w:kinsoku/>
                    <w:wordWrap/>
                    <w:overflowPunct/>
                    <w:topLinePunct w:val="0"/>
                    <w:autoSpaceDE/>
                    <w:autoSpaceDN/>
                    <w:bidi w:val="0"/>
                    <w:adjustRightInd/>
                    <w:snapToGrid w:val="0"/>
                    <w:spacing w:line="240" w:lineRule="auto"/>
                    <w:ind w:right="0" w:firstLine="0" w:firstLineChars="0"/>
                    <w:jc w:val="center"/>
                    <w:textAlignment w:val="auto"/>
                    <w:rPr>
                      <w:rFonts w:hint="default" w:ascii="Times New Roman" w:hAnsi="Times New Roman" w:eastAsia="宋体" w:cs="Times New Roman"/>
                      <w:color w:val="auto"/>
                      <w:kern w:val="0"/>
                      <w:sz w:val="21"/>
                      <w:szCs w:val="21"/>
                      <w:u w:val="none"/>
                      <w:lang w:val="en-US" w:eastAsia="zh-CN" w:bidi="ar"/>
                    </w:rPr>
                  </w:pPr>
                  <w:r>
                    <w:rPr>
                      <w:rFonts w:hint="eastAsia" w:cs="Times New Roman"/>
                      <w:color w:val="auto"/>
                      <w:kern w:val="0"/>
                      <w:sz w:val="21"/>
                      <w:szCs w:val="21"/>
                      <w:u w:val="none"/>
                      <w:lang w:val="en-US" w:eastAsia="zh-CN" w:bidi="ar"/>
                    </w:rPr>
                    <w:t>符合</w:t>
                  </w:r>
                </w:p>
              </w:tc>
            </w:tr>
            <w:tr w14:paraId="1FFDBD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5" w:hRule="atLeast"/>
                <w:jc w:val="center"/>
              </w:trPr>
              <w:tc>
                <w:tcPr>
                  <w:tcW w:w="431" w:type="pct"/>
                  <w:vMerge w:val="continue"/>
                  <w:tcBorders>
                    <w:tl2br w:val="nil"/>
                    <w:tr2bl w:val="nil"/>
                  </w:tcBorders>
                  <w:noWrap w:val="0"/>
                  <w:vAlign w:val="center"/>
                </w:tcPr>
                <w:p w14:paraId="5A547505">
                  <w:pPr>
                    <w:keepNext w:val="0"/>
                    <w:keepLines w:val="0"/>
                    <w:pageBreakBefore w:val="0"/>
                    <w:widowControl/>
                    <w:suppressLineNumbers w:val="0"/>
                    <w:kinsoku/>
                    <w:wordWrap/>
                    <w:overflowPunct/>
                    <w:topLinePunct w:val="0"/>
                    <w:autoSpaceDE/>
                    <w:autoSpaceDN/>
                    <w:bidi w:val="0"/>
                    <w:adjustRightInd/>
                    <w:snapToGrid w:val="0"/>
                    <w:spacing w:line="240" w:lineRule="auto"/>
                    <w:ind w:right="0" w:firstLine="0" w:firstLineChars="0"/>
                    <w:jc w:val="center"/>
                    <w:textAlignment w:val="auto"/>
                    <w:rPr>
                      <w:rFonts w:hint="default" w:ascii="Times New Roman" w:hAnsi="Times New Roman" w:eastAsia="宋体" w:cs="Times New Roman"/>
                      <w:color w:val="auto"/>
                      <w:kern w:val="0"/>
                      <w:sz w:val="21"/>
                      <w:szCs w:val="21"/>
                      <w:u w:val="none"/>
                      <w:lang w:val="en-US" w:eastAsia="zh-CN" w:bidi="ar"/>
                    </w:rPr>
                  </w:pPr>
                </w:p>
              </w:tc>
              <w:tc>
                <w:tcPr>
                  <w:tcW w:w="2646" w:type="pct"/>
                  <w:tcBorders>
                    <w:tl2br w:val="nil"/>
                    <w:tr2bl w:val="nil"/>
                  </w:tcBorders>
                  <w:noWrap w:val="0"/>
                  <w:vAlign w:val="center"/>
                </w:tcPr>
                <w:p w14:paraId="78F51A6A">
                  <w:pPr>
                    <w:keepNext w:val="0"/>
                    <w:keepLines w:val="0"/>
                    <w:pageBreakBefore w:val="0"/>
                    <w:widowControl/>
                    <w:suppressLineNumbers w:val="0"/>
                    <w:kinsoku/>
                    <w:wordWrap/>
                    <w:overflowPunct/>
                    <w:topLinePunct w:val="0"/>
                    <w:autoSpaceDE/>
                    <w:autoSpaceDN/>
                    <w:bidi w:val="0"/>
                    <w:adjustRightInd/>
                    <w:snapToGrid w:val="0"/>
                    <w:spacing w:line="240" w:lineRule="auto"/>
                    <w:ind w:right="0" w:firstLine="0" w:firstLineChars="0"/>
                    <w:jc w:val="left"/>
                    <w:textAlignment w:val="auto"/>
                    <w:rPr>
                      <w:rFonts w:hint="eastAsia" w:ascii="Times New Roman" w:hAnsi="Times New Roman" w:eastAsia="宋体" w:cs="Times New Roman"/>
                      <w:color w:val="auto"/>
                      <w:kern w:val="0"/>
                      <w:sz w:val="21"/>
                      <w:szCs w:val="21"/>
                      <w:u w:val="none"/>
                      <w:lang w:val="en-US" w:eastAsia="zh-CN" w:bidi="ar"/>
                    </w:rPr>
                  </w:pPr>
                  <w:r>
                    <w:rPr>
                      <w:rFonts w:hint="eastAsia"/>
                      <w:color w:val="auto"/>
                      <w:kern w:val="0"/>
                      <w:szCs w:val="21"/>
                      <w:u w:val="none"/>
                      <w:lang w:bidi="ar"/>
                    </w:rPr>
                    <w:t>废铅蓄电池收集企业和运输企业应组织收集人员、运输车辆驾驶员等相关人员参加危险废物环境管理和环境事故应急救援方面的培训。</w:t>
                  </w:r>
                </w:p>
              </w:tc>
              <w:tc>
                <w:tcPr>
                  <w:tcW w:w="1383" w:type="pct"/>
                  <w:tcBorders>
                    <w:tl2br w:val="nil"/>
                    <w:tr2bl w:val="nil"/>
                  </w:tcBorders>
                  <w:noWrap w:val="0"/>
                  <w:vAlign w:val="center"/>
                </w:tcPr>
                <w:p w14:paraId="450C8FA0">
                  <w:pPr>
                    <w:keepNext w:val="0"/>
                    <w:keepLines w:val="0"/>
                    <w:pageBreakBefore w:val="0"/>
                    <w:widowControl/>
                    <w:suppressLineNumbers w:val="0"/>
                    <w:kinsoku/>
                    <w:wordWrap/>
                    <w:overflowPunct/>
                    <w:topLinePunct w:val="0"/>
                    <w:autoSpaceDE/>
                    <w:autoSpaceDN/>
                    <w:bidi w:val="0"/>
                    <w:adjustRightInd/>
                    <w:snapToGrid w:val="0"/>
                    <w:spacing w:line="240" w:lineRule="auto"/>
                    <w:ind w:right="0" w:firstLine="0" w:firstLineChars="0"/>
                    <w:jc w:val="left"/>
                    <w:textAlignment w:val="auto"/>
                    <w:rPr>
                      <w:rFonts w:hint="default" w:ascii="Times New Roman" w:hAnsi="Times New Roman" w:eastAsia="宋体" w:cs="Times New Roman"/>
                      <w:color w:val="auto"/>
                      <w:kern w:val="0"/>
                      <w:sz w:val="21"/>
                      <w:szCs w:val="21"/>
                      <w:u w:val="none"/>
                      <w:lang w:val="en-US" w:eastAsia="zh-CN" w:bidi="ar"/>
                    </w:rPr>
                  </w:pPr>
                  <w:r>
                    <w:rPr>
                      <w:rFonts w:hint="eastAsia" w:ascii="Times New Roman" w:hAnsi="Times New Roman" w:eastAsia="宋体" w:cs="Times New Roman"/>
                      <w:color w:val="auto"/>
                      <w:kern w:val="0"/>
                      <w:sz w:val="21"/>
                      <w:szCs w:val="21"/>
                      <w:u w:val="none"/>
                      <w:lang w:val="en-US" w:eastAsia="zh-CN" w:bidi="ar"/>
                    </w:rPr>
                    <w:t>企业定期按《环境应急预案》进行培训、演练</w:t>
                  </w:r>
                </w:p>
              </w:tc>
              <w:tc>
                <w:tcPr>
                  <w:tcW w:w="537" w:type="pct"/>
                  <w:tcBorders>
                    <w:tl2br w:val="nil"/>
                    <w:tr2bl w:val="nil"/>
                  </w:tcBorders>
                  <w:noWrap w:val="0"/>
                  <w:vAlign w:val="center"/>
                </w:tcPr>
                <w:p w14:paraId="00A834B5">
                  <w:pPr>
                    <w:keepNext w:val="0"/>
                    <w:keepLines w:val="0"/>
                    <w:pageBreakBefore w:val="0"/>
                    <w:widowControl/>
                    <w:suppressLineNumbers w:val="0"/>
                    <w:kinsoku/>
                    <w:wordWrap/>
                    <w:overflowPunct/>
                    <w:topLinePunct w:val="0"/>
                    <w:autoSpaceDE/>
                    <w:autoSpaceDN/>
                    <w:bidi w:val="0"/>
                    <w:adjustRightInd/>
                    <w:snapToGrid w:val="0"/>
                    <w:spacing w:line="240" w:lineRule="auto"/>
                    <w:ind w:right="0" w:firstLine="0" w:firstLineChars="0"/>
                    <w:jc w:val="center"/>
                    <w:textAlignment w:val="auto"/>
                    <w:rPr>
                      <w:rFonts w:hint="default" w:ascii="Times New Roman" w:hAnsi="Times New Roman" w:eastAsia="宋体" w:cs="Times New Roman"/>
                      <w:color w:val="auto"/>
                      <w:kern w:val="0"/>
                      <w:sz w:val="21"/>
                      <w:szCs w:val="21"/>
                      <w:u w:val="none"/>
                      <w:lang w:val="en-US" w:eastAsia="zh-CN" w:bidi="ar"/>
                    </w:rPr>
                  </w:pPr>
                  <w:r>
                    <w:rPr>
                      <w:rFonts w:hint="eastAsia" w:ascii="Times New Roman" w:hAnsi="Times New Roman" w:eastAsia="宋体" w:cs="Times New Roman"/>
                      <w:color w:val="auto"/>
                      <w:kern w:val="0"/>
                      <w:sz w:val="21"/>
                      <w:szCs w:val="21"/>
                      <w:u w:val="none"/>
                      <w:lang w:val="en-US" w:eastAsia="zh-CN" w:bidi="ar"/>
                    </w:rPr>
                    <w:t>符合</w:t>
                  </w:r>
                </w:p>
              </w:tc>
            </w:tr>
            <w:tr w14:paraId="7215F4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31" w:type="pct"/>
                  <w:tcBorders>
                    <w:tl2br w:val="nil"/>
                    <w:tr2bl w:val="nil"/>
                  </w:tcBorders>
                  <w:noWrap w:val="0"/>
                  <w:vAlign w:val="center"/>
                </w:tcPr>
                <w:p w14:paraId="74D4F344">
                  <w:pPr>
                    <w:keepNext w:val="0"/>
                    <w:keepLines w:val="0"/>
                    <w:pageBreakBefore w:val="0"/>
                    <w:widowControl/>
                    <w:suppressLineNumbers w:val="0"/>
                    <w:kinsoku/>
                    <w:wordWrap/>
                    <w:overflowPunct/>
                    <w:topLinePunct w:val="0"/>
                    <w:autoSpaceDE/>
                    <w:autoSpaceDN/>
                    <w:bidi w:val="0"/>
                    <w:adjustRightInd/>
                    <w:snapToGrid w:val="0"/>
                    <w:spacing w:line="240" w:lineRule="auto"/>
                    <w:ind w:right="0" w:firstLine="0" w:firstLineChars="0"/>
                    <w:jc w:val="center"/>
                    <w:textAlignment w:val="auto"/>
                    <w:rPr>
                      <w:rFonts w:hint="eastAsia" w:ascii="Times New Roman" w:hAnsi="Times New Roman" w:eastAsia="宋体" w:cs="Times New Roman"/>
                      <w:color w:val="auto"/>
                      <w:kern w:val="0"/>
                      <w:sz w:val="21"/>
                      <w:szCs w:val="21"/>
                      <w:u w:val="none"/>
                      <w:lang w:val="en-US" w:eastAsia="zh-CN" w:bidi="ar"/>
                    </w:rPr>
                  </w:pPr>
                  <w:r>
                    <w:rPr>
                      <w:rFonts w:hint="eastAsia"/>
                      <w:color w:val="auto"/>
                      <w:kern w:val="0"/>
                      <w:szCs w:val="21"/>
                      <w:u w:val="none"/>
                      <w:lang w:bidi="ar"/>
                    </w:rPr>
                    <w:t>废铅蓄电池的收集</w:t>
                  </w:r>
                  <w:r>
                    <w:rPr>
                      <w:rFonts w:hint="eastAsia" w:ascii="Times New Roman" w:hAnsi="Times New Roman" w:cs="Times New Roman"/>
                      <w:color w:val="auto"/>
                      <w:kern w:val="0"/>
                      <w:szCs w:val="21"/>
                      <w:u w:val="none"/>
                      <w:lang w:val="en-US" w:eastAsia="zh-CN" w:bidi="ar"/>
                    </w:rPr>
                    <w:t>要求</w:t>
                  </w:r>
                </w:p>
              </w:tc>
              <w:tc>
                <w:tcPr>
                  <w:tcW w:w="2646" w:type="pct"/>
                  <w:tcBorders>
                    <w:tl2br w:val="nil"/>
                    <w:tr2bl w:val="nil"/>
                  </w:tcBorders>
                  <w:shd w:val="clear" w:color="auto" w:fill="auto"/>
                  <w:noWrap w:val="0"/>
                  <w:vAlign w:val="center"/>
                </w:tcPr>
                <w:p w14:paraId="266511C0">
                  <w:pPr>
                    <w:keepNext w:val="0"/>
                    <w:keepLines w:val="0"/>
                    <w:pageBreakBefore w:val="0"/>
                    <w:widowControl/>
                    <w:suppressLineNumbers w:val="0"/>
                    <w:kinsoku/>
                    <w:wordWrap/>
                    <w:overflowPunct/>
                    <w:topLinePunct w:val="0"/>
                    <w:autoSpaceDE/>
                    <w:autoSpaceDN/>
                    <w:bidi w:val="0"/>
                    <w:adjustRightInd/>
                    <w:snapToGrid w:val="0"/>
                    <w:spacing w:line="240" w:lineRule="auto"/>
                    <w:ind w:right="0" w:firstLine="0" w:firstLineChars="0"/>
                    <w:jc w:val="left"/>
                    <w:textAlignment w:val="auto"/>
                    <w:rPr>
                      <w:rFonts w:hint="eastAsia"/>
                      <w:color w:val="auto"/>
                      <w:kern w:val="0"/>
                      <w:szCs w:val="21"/>
                      <w:u w:val="none"/>
                      <w:lang w:bidi="ar"/>
                    </w:rPr>
                  </w:pPr>
                  <w:r>
                    <w:rPr>
                      <w:rFonts w:hint="eastAsia"/>
                      <w:color w:val="auto"/>
                      <w:kern w:val="0"/>
                      <w:szCs w:val="21"/>
                      <w:u w:val="none"/>
                      <w:lang w:bidi="ar"/>
                    </w:rPr>
                    <w:t>废铅蓄电池收集过程应采取以下防范措施，避免发生环境污染事故：</w:t>
                  </w:r>
                </w:p>
                <w:p w14:paraId="0203BBF5">
                  <w:pPr>
                    <w:keepNext w:val="0"/>
                    <w:keepLines w:val="0"/>
                    <w:pageBreakBefore w:val="0"/>
                    <w:widowControl/>
                    <w:suppressLineNumbers w:val="0"/>
                    <w:kinsoku/>
                    <w:wordWrap/>
                    <w:overflowPunct/>
                    <w:topLinePunct w:val="0"/>
                    <w:autoSpaceDE/>
                    <w:autoSpaceDN/>
                    <w:bidi w:val="0"/>
                    <w:adjustRightInd/>
                    <w:snapToGrid w:val="0"/>
                    <w:spacing w:line="240" w:lineRule="auto"/>
                    <w:ind w:right="0" w:firstLine="0" w:firstLineChars="0"/>
                    <w:jc w:val="left"/>
                    <w:textAlignment w:val="auto"/>
                    <w:rPr>
                      <w:rFonts w:hint="eastAsia"/>
                      <w:color w:val="auto"/>
                      <w:kern w:val="0"/>
                      <w:szCs w:val="21"/>
                      <w:u w:val="none"/>
                      <w:lang w:bidi="ar"/>
                    </w:rPr>
                  </w:pPr>
                  <w:r>
                    <w:rPr>
                      <w:rFonts w:hint="eastAsia"/>
                      <w:color w:val="auto"/>
                      <w:kern w:val="0"/>
                      <w:szCs w:val="21"/>
                      <w:u w:val="none"/>
                      <w:lang w:bidi="ar"/>
                    </w:rPr>
                    <w:t>a）废铅蓄电池应进行合理包装，防止运输过程破损和电解质泄漏。</w:t>
                  </w:r>
                </w:p>
                <w:p w14:paraId="0A5424F9">
                  <w:pPr>
                    <w:keepNext w:val="0"/>
                    <w:keepLines w:val="0"/>
                    <w:pageBreakBefore w:val="0"/>
                    <w:widowControl/>
                    <w:suppressLineNumbers w:val="0"/>
                    <w:kinsoku/>
                    <w:wordWrap/>
                    <w:overflowPunct/>
                    <w:topLinePunct w:val="0"/>
                    <w:autoSpaceDE/>
                    <w:autoSpaceDN/>
                    <w:bidi w:val="0"/>
                    <w:adjustRightInd/>
                    <w:snapToGrid w:val="0"/>
                    <w:spacing w:line="240" w:lineRule="auto"/>
                    <w:ind w:right="0" w:rightChars="0" w:firstLine="0" w:firstLineChars="0"/>
                    <w:jc w:val="left"/>
                    <w:textAlignment w:val="auto"/>
                    <w:rPr>
                      <w:rFonts w:hint="eastAsia" w:ascii="Times New Roman" w:hAnsi="Times New Roman" w:eastAsia="宋体" w:cs="Times New Roman"/>
                      <w:color w:val="auto"/>
                      <w:kern w:val="0"/>
                      <w:sz w:val="21"/>
                      <w:szCs w:val="21"/>
                      <w:u w:val="none"/>
                      <w:lang w:val="en-US" w:eastAsia="zh-CN" w:bidi="ar"/>
                    </w:rPr>
                  </w:pPr>
                  <w:r>
                    <w:rPr>
                      <w:rFonts w:hint="eastAsia"/>
                      <w:color w:val="auto"/>
                      <w:kern w:val="0"/>
                      <w:szCs w:val="21"/>
                      <w:u w:val="none"/>
                      <w:lang w:bidi="ar"/>
                    </w:rPr>
                    <w:t>b）废铅蓄电池有破损或电解质渗漏的，应将废铅蓄电池及其渗漏液贮存于耐酸容器中。</w:t>
                  </w:r>
                </w:p>
              </w:tc>
              <w:tc>
                <w:tcPr>
                  <w:tcW w:w="1383" w:type="pct"/>
                  <w:tcBorders>
                    <w:tl2br w:val="nil"/>
                    <w:tr2bl w:val="nil"/>
                  </w:tcBorders>
                  <w:shd w:val="clear" w:color="auto" w:fill="auto"/>
                  <w:noWrap w:val="0"/>
                  <w:vAlign w:val="center"/>
                </w:tcPr>
                <w:p w14:paraId="34C6FB1C">
                  <w:pPr>
                    <w:keepNext w:val="0"/>
                    <w:keepLines w:val="0"/>
                    <w:pageBreakBefore w:val="0"/>
                    <w:widowControl/>
                    <w:suppressLineNumbers w:val="0"/>
                    <w:kinsoku/>
                    <w:wordWrap/>
                    <w:overflowPunct/>
                    <w:topLinePunct w:val="0"/>
                    <w:autoSpaceDE/>
                    <w:autoSpaceDN/>
                    <w:bidi w:val="0"/>
                    <w:adjustRightInd/>
                    <w:snapToGrid w:val="0"/>
                    <w:spacing w:line="240" w:lineRule="auto"/>
                    <w:ind w:right="0" w:rightChars="0" w:firstLine="0" w:firstLineChars="0"/>
                    <w:jc w:val="left"/>
                    <w:textAlignment w:val="auto"/>
                    <w:rPr>
                      <w:rFonts w:hint="default" w:ascii="Times New Roman" w:hAnsi="Times New Roman" w:eastAsia="宋体" w:cs="Times New Roman"/>
                      <w:color w:val="auto"/>
                      <w:kern w:val="0"/>
                      <w:sz w:val="21"/>
                      <w:szCs w:val="21"/>
                      <w:u w:val="none"/>
                      <w:lang w:val="en-US" w:eastAsia="zh-CN" w:bidi="ar"/>
                    </w:rPr>
                  </w:pPr>
                  <w:r>
                    <w:rPr>
                      <w:rFonts w:hint="eastAsia"/>
                      <w:color w:val="auto"/>
                      <w:kern w:val="0"/>
                      <w:szCs w:val="21"/>
                      <w:highlight w:val="none"/>
                      <w:u w:val="none"/>
                      <w:lang w:bidi="ar"/>
                    </w:rPr>
                    <w:t>本项目</w:t>
                  </w:r>
                  <w:r>
                    <w:rPr>
                      <w:rFonts w:hint="eastAsia"/>
                      <w:color w:val="auto"/>
                      <w:kern w:val="0"/>
                      <w:szCs w:val="21"/>
                      <w:highlight w:val="none"/>
                      <w:u w:val="none"/>
                      <w:lang w:val="en-US" w:eastAsia="zh-CN" w:bidi="ar"/>
                    </w:rPr>
                    <w:t>不收集破损的或有渗漏现象</w:t>
                  </w:r>
                  <w:r>
                    <w:rPr>
                      <w:rFonts w:hint="eastAsia"/>
                      <w:color w:val="auto"/>
                      <w:kern w:val="0"/>
                      <w:szCs w:val="21"/>
                      <w:highlight w:val="none"/>
                      <w:u w:val="none"/>
                      <w:lang w:bidi="ar"/>
                    </w:rPr>
                    <w:t>的废铅蓄电池</w:t>
                  </w:r>
                  <w:r>
                    <w:rPr>
                      <w:rFonts w:hint="eastAsia"/>
                      <w:color w:val="auto"/>
                      <w:kern w:val="0"/>
                      <w:szCs w:val="21"/>
                      <w:highlight w:val="none"/>
                      <w:u w:val="none"/>
                      <w:lang w:eastAsia="zh-CN" w:bidi="ar"/>
                    </w:rPr>
                    <w:t>。</w:t>
                  </w:r>
                  <w:r>
                    <w:rPr>
                      <w:rFonts w:hint="eastAsia"/>
                      <w:color w:val="auto"/>
                      <w:lang w:val="en-US" w:eastAsia="zh-CN"/>
                    </w:rPr>
                    <w:t>设防渗托盘</w:t>
                  </w:r>
                  <w:r>
                    <w:rPr>
                      <w:rFonts w:hint="eastAsia"/>
                      <w:color w:val="auto"/>
                      <w:kern w:val="0"/>
                      <w:szCs w:val="21"/>
                      <w:u w:val="none"/>
                      <w:lang w:bidi="ar"/>
                    </w:rPr>
                    <w:t>，避免发生环境污染事故</w:t>
                  </w:r>
                  <w:r>
                    <w:rPr>
                      <w:rFonts w:hint="eastAsia"/>
                      <w:color w:val="auto"/>
                      <w:lang w:val="en-US" w:eastAsia="zh-CN"/>
                    </w:rPr>
                    <w:t>。</w:t>
                  </w:r>
                </w:p>
              </w:tc>
              <w:tc>
                <w:tcPr>
                  <w:tcW w:w="537" w:type="pct"/>
                  <w:tcBorders>
                    <w:tl2br w:val="nil"/>
                    <w:tr2bl w:val="nil"/>
                  </w:tcBorders>
                  <w:noWrap w:val="0"/>
                  <w:vAlign w:val="center"/>
                </w:tcPr>
                <w:p w14:paraId="6748649E">
                  <w:pPr>
                    <w:keepNext w:val="0"/>
                    <w:keepLines w:val="0"/>
                    <w:pageBreakBefore w:val="0"/>
                    <w:widowControl/>
                    <w:suppressLineNumbers w:val="0"/>
                    <w:kinsoku/>
                    <w:wordWrap/>
                    <w:overflowPunct/>
                    <w:topLinePunct w:val="0"/>
                    <w:autoSpaceDE/>
                    <w:autoSpaceDN/>
                    <w:bidi w:val="0"/>
                    <w:adjustRightInd/>
                    <w:snapToGrid w:val="0"/>
                    <w:spacing w:line="240" w:lineRule="auto"/>
                    <w:ind w:right="0" w:firstLine="0" w:firstLineChars="0"/>
                    <w:jc w:val="center"/>
                    <w:textAlignment w:val="auto"/>
                    <w:rPr>
                      <w:rFonts w:hint="eastAsia" w:ascii="Times New Roman" w:hAnsi="Times New Roman" w:eastAsia="宋体" w:cs="Times New Roman"/>
                      <w:color w:val="auto"/>
                      <w:kern w:val="0"/>
                      <w:sz w:val="21"/>
                      <w:szCs w:val="21"/>
                      <w:u w:val="none"/>
                      <w:lang w:val="en-US" w:eastAsia="zh-CN" w:bidi="ar"/>
                    </w:rPr>
                  </w:pPr>
                  <w:r>
                    <w:rPr>
                      <w:rFonts w:hint="eastAsia" w:cs="Times New Roman"/>
                      <w:color w:val="auto"/>
                      <w:kern w:val="0"/>
                      <w:sz w:val="21"/>
                      <w:szCs w:val="21"/>
                      <w:u w:val="none"/>
                      <w:lang w:val="en-US" w:eastAsia="zh-CN" w:bidi="ar"/>
                    </w:rPr>
                    <w:t>符合</w:t>
                  </w:r>
                </w:p>
              </w:tc>
            </w:tr>
            <w:tr w14:paraId="5AE259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31" w:type="pct"/>
                  <w:vMerge w:val="restart"/>
                  <w:tcBorders>
                    <w:tl2br w:val="nil"/>
                    <w:tr2bl w:val="nil"/>
                  </w:tcBorders>
                  <w:noWrap w:val="0"/>
                  <w:vAlign w:val="center"/>
                </w:tcPr>
                <w:p w14:paraId="718B6F6D">
                  <w:pPr>
                    <w:keepNext w:val="0"/>
                    <w:keepLines w:val="0"/>
                    <w:pageBreakBefore w:val="0"/>
                    <w:widowControl/>
                    <w:suppressLineNumbers w:val="0"/>
                    <w:kinsoku/>
                    <w:wordWrap/>
                    <w:overflowPunct/>
                    <w:topLinePunct w:val="0"/>
                    <w:autoSpaceDE/>
                    <w:autoSpaceDN/>
                    <w:bidi w:val="0"/>
                    <w:adjustRightInd/>
                    <w:snapToGrid w:val="0"/>
                    <w:spacing w:line="240" w:lineRule="auto"/>
                    <w:ind w:right="0" w:firstLine="0" w:firstLineChars="0"/>
                    <w:jc w:val="center"/>
                    <w:textAlignment w:val="auto"/>
                    <w:rPr>
                      <w:rFonts w:hint="default" w:ascii="Times New Roman" w:hAnsi="Times New Roman" w:eastAsia="宋体" w:cs="Times New Roman"/>
                      <w:color w:val="auto"/>
                      <w:kern w:val="0"/>
                      <w:sz w:val="21"/>
                      <w:szCs w:val="21"/>
                      <w:u w:val="none"/>
                      <w:lang w:val="en-US" w:eastAsia="zh-CN" w:bidi="ar"/>
                    </w:rPr>
                  </w:pPr>
                  <w:r>
                    <w:rPr>
                      <w:rFonts w:hint="eastAsia" w:ascii="Times New Roman" w:hAnsi="Times New Roman" w:cs="Times New Roman"/>
                      <w:color w:val="auto"/>
                      <w:kern w:val="0"/>
                      <w:szCs w:val="21"/>
                      <w:u w:val="none"/>
                      <w:lang w:bidi="ar"/>
                    </w:rPr>
                    <w:t>废铅蓄电池的</w:t>
                  </w:r>
                  <w:r>
                    <w:rPr>
                      <w:rFonts w:hint="eastAsia" w:ascii="Times New Roman" w:hAnsi="Times New Roman" w:cs="Times New Roman"/>
                      <w:color w:val="auto"/>
                      <w:kern w:val="0"/>
                      <w:szCs w:val="21"/>
                      <w:u w:val="none"/>
                      <w:lang w:val="en-US" w:eastAsia="zh-CN" w:bidi="ar"/>
                    </w:rPr>
                    <w:t>运输要求</w:t>
                  </w:r>
                </w:p>
              </w:tc>
              <w:tc>
                <w:tcPr>
                  <w:tcW w:w="2646" w:type="pct"/>
                  <w:tcBorders>
                    <w:tl2br w:val="nil"/>
                    <w:tr2bl w:val="nil"/>
                  </w:tcBorders>
                  <w:noWrap w:val="0"/>
                  <w:vAlign w:val="center"/>
                </w:tcPr>
                <w:p w14:paraId="025319A3">
                  <w:pPr>
                    <w:keepNext w:val="0"/>
                    <w:keepLines w:val="0"/>
                    <w:pageBreakBefore w:val="0"/>
                    <w:widowControl/>
                    <w:suppressLineNumbers w:val="0"/>
                    <w:kinsoku/>
                    <w:wordWrap/>
                    <w:overflowPunct/>
                    <w:topLinePunct w:val="0"/>
                    <w:autoSpaceDE/>
                    <w:autoSpaceDN/>
                    <w:bidi w:val="0"/>
                    <w:adjustRightInd/>
                    <w:snapToGrid w:val="0"/>
                    <w:spacing w:line="240" w:lineRule="auto"/>
                    <w:ind w:right="0" w:firstLine="0" w:firstLineChars="0"/>
                    <w:jc w:val="left"/>
                    <w:textAlignment w:val="auto"/>
                    <w:rPr>
                      <w:rFonts w:hint="default" w:ascii="Times New Roman" w:hAnsi="Times New Roman" w:eastAsia="宋体" w:cs="Times New Roman"/>
                      <w:color w:val="auto"/>
                      <w:kern w:val="0"/>
                      <w:sz w:val="21"/>
                      <w:szCs w:val="21"/>
                      <w:u w:val="none"/>
                      <w:lang w:val="en-US" w:eastAsia="zh-CN" w:bidi="ar"/>
                    </w:rPr>
                  </w:pPr>
                  <w:r>
                    <w:rPr>
                      <w:rFonts w:hint="default"/>
                      <w:color w:val="auto"/>
                      <w:kern w:val="0"/>
                      <w:szCs w:val="21"/>
                      <w:u w:val="none"/>
                      <w:lang w:bidi="ar"/>
                    </w:rPr>
                    <w:t>废铅蓄电池运输企业应执行国家有关危险货物运输管理的规定，具有对危险废物包装发生破裂、泄漏或其他事故进行处理的能力。运输废铅蓄电池应采用符合要求的专用运输工具。公路运输车辆应按GB13392的规定悬挂相应标志；铁路运输和水路运输时，应在集装箱外按GB190的规定悬挂相应标志。满足国家交通运输、环境保护相关规定条件的废铅蓄电池，豁免运输企业资质、专业车辆和从业人员资格等道路危险货物运输管理要求。</w:t>
                  </w:r>
                </w:p>
              </w:tc>
              <w:tc>
                <w:tcPr>
                  <w:tcW w:w="1383" w:type="pct"/>
                  <w:tcBorders>
                    <w:tl2br w:val="nil"/>
                    <w:tr2bl w:val="nil"/>
                  </w:tcBorders>
                  <w:noWrap w:val="0"/>
                  <w:vAlign w:val="center"/>
                </w:tcPr>
                <w:p w14:paraId="16F3855C">
                  <w:pPr>
                    <w:keepNext w:val="0"/>
                    <w:keepLines w:val="0"/>
                    <w:pageBreakBefore w:val="0"/>
                    <w:widowControl/>
                    <w:suppressLineNumbers w:val="0"/>
                    <w:kinsoku/>
                    <w:wordWrap/>
                    <w:overflowPunct/>
                    <w:topLinePunct w:val="0"/>
                    <w:autoSpaceDE/>
                    <w:autoSpaceDN/>
                    <w:bidi w:val="0"/>
                    <w:adjustRightInd/>
                    <w:snapToGrid w:val="0"/>
                    <w:spacing w:line="240" w:lineRule="auto"/>
                    <w:ind w:right="0" w:firstLine="0" w:firstLineChars="0"/>
                    <w:jc w:val="left"/>
                    <w:textAlignment w:val="auto"/>
                    <w:rPr>
                      <w:rFonts w:hint="default" w:ascii="Times New Roman" w:hAnsi="Times New Roman" w:eastAsia="宋体" w:cs="Times New Roman"/>
                      <w:color w:val="auto"/>
                      <w:kern w:val="0"/>
                      <w:sz w:val="21"/>
                      <w:szCs w:val="21"/>
                      <w:u w:val="none"/>
                      <w:lang w:val="en-US" w:eastAsia="zh-CN" w:bidi="ar"/>
                    </w:rPr>
                  </w:pPr>
                  <w:r>
                    <w:rPr>
                      <w:rFonts w:hint="eastAsia" w:eastAsia="宋体"/>
                      <w:bCs/>
                      <w:color w:val="auto"/>
                      <w:szCs w:val="21"/>
                      <w:u w:val="none"/>
                      <w:lang w:val="en-US" w:eastAsia="zh-CN"/>
                    </w:rPr>
                    <w:t>项目运输按有关规定进行。采用符合要求的专用运输工具，悬挂相应标志。采用满足条件的运输企业、车辆及人员</w:t>
                  </w:r>
                </w:p>
              </w:tc>
              <w:tc>
                <w:tcPr>
                  <w:tcW w:w="537" w:type="pct"/>
                  <w:tcBorders>
                    <w:tl2br w:val="nil"/>
                    <w:tr2bl w:val="nil"/>
                  </w:tcBorders>
                  <w:noWrap w:val="0"/>
                  <w:vAlign w:val="center"/>
                </w:tcPr>
                <w:p w14:paraId="3C611C14">
                  <w:pPr>
                    <w:keepNext w:val="0"/>
                    <w:keepLines w:val="0"/>
                    <w:pageBreakBefore w:val="0"/>
                    <w:widowControl/>
                    <w:suppressLineNumbers w:val="0"/>
                    <w:kinsoku/>
                    <w:wordWrap/>
                    <w:overflowPunct/>
                    <w:topLinePunct w:val="0"/>
                    <w:autoSpaceDE/>
                    <w:autoSpaceDN/>
                    <w:bidi w:val="0"/>
                    <w:adjustRightInd/>
                    <w:snapToGrid w:val="0"/>
                    <w:spacing w:line="240" w:lineRule="auto"/>
                    <w:ind w:right="0" w:firstLine="0" w:firstLineChars="0"/>
                    <w:jc w:val="center"/>
                    <w:textAlignment w:val="auto"/>
                    <w:rPr>
                      <w:rFonts w:hint="default" w:ascii="Times New Roman" w:hAnsi="Times New Roman" w:eastAsia="宋体" w:cs="Times New Roman"/>
                      <w:color w:val="auto"/>
                      <w:kern w:val="0"/>
                      <w:sz w:val="21"/>
                      <w:szCs w:val="21"/>
                      <w:u w:val="none"/>
                      <w:lang w:val="en-US" w:eastAsia="zh-CN" w:bidi="ar"/>
                    </w:rPr>
                  </w:pPr>
                  <w:r>
                    <w:rPr>
                      <w:rFonts w:hint="eastAsia" w:ascii="Times New Roman" w:hAnsi="Times New Roman" w:eastAsia="宋体" w:cs="Times New Roman"/>
                      <w:color w:val="auto"/>
                      <w:kern w:val="0"/>
                      <w:sz w:val="21"/>
                      <w:szCs w:val="21"/>
                      <w:u w:val="none"/>
                      <w:lang w:val="en-US" w:eastAsia="zh-CN" w:bidi="ar"/>
                    </w:rPr>
                    <w:t>符合</w:t>
                  </w:r>
                </w:p>
              </w:tc>
            </w:tr>
            <w:tr w14:paraId="2F5596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31" w:type="pct"/>
                  <w:vMerge w:val="continue"/>
                  <w:tcBorders>
                    <w:tl2br w:val="nil"/>
                    <w:tr2bl w:val="nil"/>
                  </w:tcBorders>
                  <w:noWrap w:val="0"/>
                  <w:vAlign w:val="center"/>
                </w:tcPr>
                <w:p w14:paraId="0B20473F">
                  <w:pPr>
                    <w:keepNext w:val="0"/>
                    <w:keepLines w:val="0"/>
                    <w:pageBreakBefore w:val="0"/>
                    <w:widowControl/>
                    <w:suppressLineNumbers w:val="0"/>
                    <w:kinsoku/>
                    <w:wordWrap/>
                    <w:overflowPunct/>
                    <w:topLinePunct w:val="0"/>
                    <w:autoSpaceDE/>
                    <w:autoSpaceDN/>
                    <w:bidi w:val="0"/>
                    <w:adjustRightInd/>
                    <w:snapToGrid w:val="0"/>
                    <w:spacing w:line="240" w:lineRule="auto"/>
                    <w:ind w:right="0" w:firstLine="0" w:firstLineChars="0"/>
                    <w:jc w:val="center"/>
                    <w:textAlignment w:val="auto"/>
                    <w:rPr>
                      <w:rFonts w:hint="eastAsia" w:ascii="Times New Roman" w:hAnsi="Times New Roman" w:eastAsia="宋体" w:cs="Times New Roman"/>
                      <w:color w:val="auto"/>
                      <w:kern w:val="0"/>
                      <w:sz w:val="21"/>
                      <w:szCs w:val="21"/>
                      <w:u w:val="none"/>
                      <w:lang w:val="en-US" w:eastAsia="zh-CN" w:bidi="ar"/>
                    </w:rPr>
                  </w:pPr>
                </w:p>
              </w:tc>
              <w:tc>
                <w:tcPr>
                  <w:tcW w:w="2646" w:type="pct"/>
                  <w:tcBorders>
                    <w:tl2br w:val="nil"/>
                    <w:tr2bl w:val="nil"/>
                  </w:tcBorders>
                  <w:noWrap w:val="0"/>
                  <w:vAlign w:val="center"/>
                </w:tcPr>
                <w:p w14:paraId="7C6A7210">
                  <w:pPr>
                    <w:keepNext w:val="0"/>
                    <w:keepLines w:val="0"/>
                    <w:pageBreakBefore w:val="0"/>
                    <w:widowControl/>
                    <w:suppressLineNumbers w:val="0"/>
                    <w:kinsoku/>
                    <w:wordWrap/>
                    <w:overflowPunct/>
                    <w:topLinePunct w:val="0"/>
                    <w:autoSpaceDE/>
                    <w:autoSpaceDN/>
                    <w:bidi w:val="0"/>
                    <w:adjustRightInd/>
                    <w:snapToGrid w:val="0"/>
                    <w:spacing w:line="240" w:lineRule="auto"/>
                    <w:ind w:right="0" w:firstLine="0" w:firstLineChars="0"/>
                    <w:jc w:val="left"/>
                    <w:textAlignment w:val="auto"/>
                    <w:rPr>
                      <w:rFonts w:hint="default" w:ascii="Times New Roman" w:hAnsi="Times New Roman" w:eastAsia="宋体" w:cs="Times New Roman"/>
                      <w:color w:val="auto"/>
                      <w:kern w:val="0"/>
                      <w:sz w:val="21"/>
                      <w:szCs w:val="21"/>
                      <w:u w:val="none"/>
                      <w:lang w:val="en-US" w:eastAsia="zh-CN" w:bidi="ar"/>
                    </w:rPr>
                  </w:pPr>
                  <w:r>
                    <w:rPr>
                      <w:rFonts w:hint="default"/>
                      <w:color w:val="auto"/>
                      <w:kern w:val="0"/>
                      <w:szCs w:val="21"/>
                      <w:u w:val="none"/>
                      <w:lang w:bidi="ar"/>
                    </w:rPr>
                    <w:t>废铅蓄电池运输企业应制定详细的运输方案及路线，并制定事故应急预案，配备事故应急及个人防护设备，以保证在收集、运输过程中发生事故时能有效防止对环境的污染。</w:t>
                  </w:r>
                </w:p>
              </w:tc>
              <w:tc>
                <w:tcPr>
                  <w:tcW w:w="1383" w:type="pct"/>
                  <w:tcBorders>
                    <w:tl2br w:val="nil"/>
                    <w:tr2bl w:val="nil"/>
                  </w:tcBorders>
                  <w:noWrap w:val="0"/>
                  <w:vAlign w:val="center"/>
                </w:tcPr>
                <w:p w14:paraId="042F1764">
                  <w:pPr>
                    <w:keepNext w:val="0"/>
                    <w:keepLines w:val="0"/>
                    <w:pageBreakBefore w:val="0"/>
                    <w:widowControl/>
                    <w:suppressLineNumbers w:val="0"/>
                    <w:kinsoku/>
                    <w:wordWrap/>
                    <w:overflowPunct/>
                    <w:topLinePunct w:val="0"/>
                    <w:autoSpaceDE/>
                    <w:autoSpaceDN/>
                    <w:bidi w:val="0"/>
                    <w:adjustRightInd/>
                    <w:snapToGrid w:val="0"/>
                    <w:spacing w:line="240" w:lineRule="auto"/>
                    <w:ind w:right="0" w:firstLine="0" w:firstLineChars="0"/>
                    <w:jc w:val="left"/>
                    <w:textAlignment w:val="auto"/>
                    <w:rPr>
                      <w:rFonts w:hint="default" w:ascii="Times New Roman" w:hAnsi="Times New Roman" w:eastAsia="宋体" w:cs="Times New Roman"/>
                      <w:color w:val="auto"/>
                      <w:kern w:val="0"/>
                      <w:sz w:val="21"/>
                      <w:szCs w:val="21"/>
                      <w:u w:val="none"/>
                      <w:lang w:val="en-US" w:eastAsia="zh-CN" w:bidi="ar"/>
                    </w:rPr>
                  </w:pPr>
                  <w:r>
                    <w:rPr>
                      <w:rFonts w:hint="eastAsia"/>
                      <w:color w:val="auto"/>
                      <w:spacing w:val="-6"/>
                      <w:kern w:val="0"/>
                      <w:sz w:val="21"/>
                      <w:szCs w:val="21"/>
                      <w:u w:val="none"/>
                      <w:lang w:val="en-US" w:eastAsia="zh-CN" w:bidi="ar"/>
                    </w:rPr>
                    <w:t>企业</w:t>
                  </w:r>
                  <w:r>
                    <w:rPr>
                      <w:rFonts w:hint="default"/>
                      <w:color w:val="auto"/>
                      <w:spacing w:val="-6"/>
                      <w:kern w:val="0"/>
                      <w:sz w:val="21"/>
                      <w:szCs w:val="21"/>
                      <w:u w:val="none"/>
                      <w:lang w:bidi="ar"/>
                    </w:rPr>
                    <w:t>委托</w:t>
                  </w:r>
                  <w:r>
                    <w:rPr>
                      <w:rFonts w:hint="eastAsia"/>
                      <w:color w:val="auto"/>
                      <w:spacing w:val="-6"/>
                      <w:kern w:val="0"/>
                      <w:sz w:val="21"/>
                      <w:szCs w:val="21"/>
                      <w:u w:val="none"/>
                      <w:lang w:val="en-US" w:eastAsia="zh-CN" w:bidi="ar"/>
                    </w:rPr>
                    <w:t>专业</w:t>
                  </w:r>
                  <w:r>
                    <w:rPr>
                      <w:rFonts w:hint="default"/>
                      <w:color w:val="auto"/>
                      <w:spacing w:val="-6"/>
                      <w:kern w:val="0"/>
                      <w:sz w:val="21"/>
                      <w:szCs w:val="21"/>
                      <w:u w:val="none"/>
                      <w:lang w:bidi="ar"/>
                    </w:rPr>
                    <w:t>运输单位进行运输，</w:t>
                  </w:r>
                  <w:r>
                    <w:rPr>
                      <w:rFonts w:hint="eastAsia"/>
                      <w:color w:val="auto"/>
                      <w:spacing w:val="-6"/>
                      <w:kern w:val="0"/>
                      <w:sz w:val="21"/>
                      <w:szCs w:val="21"/>
                      <w:u w:val="none"/>
                      <w:lang w:val="en-US" w:eastAsia="zh-CN" w:bidi="ar"/>
                    </w:rPr>
                    <w:t>并</w:t>
                  </w:r>
                  <w:r>
                    <w:rPr>
                      <w:rFonts w:hint="default"/>
                      <w:color w:val="auto"/>
                      <w:spacing w:val="-6"/>
                      <w:kern w:val="0"/>
                      <w:sz w:val="21"/>
                      <w:szCs w:val="21"/>
                      <w:u w:val="none"/>
                      <w:lang w:bidi="ar"/>
                    </w:rPr>
                    <w:t>制定详细的运输方案及路线</w:t>
                  </w:r>
                  <w:r>
                    <w:rPr>
                      <w:rFonts w:hint="eastAsia"/>
                      <w:color w:val="auto"/>
                      <w:spacing w:val="-6"/>
                      <w:kern w:val="0"/>
                      <w:sz w:val="21"/>
                      <w:szCs w:val="21"/>
                      <w:u w:val="none"/>
                      <w:lang w:eastAsia="zh-CN" w:bidi="ar"/>
                    </w:rPr>
                    <w:t>，</w:t>
                  </w:r>
                  <w:r>
                    <w:rPr>
                      <w:rFonts w:hint="default"/>
                      <w:color w:val="auto"/>
                      <w:spacing w:val="-6"/>
                      <w:kern w:val="0"/>
                      <w:sz w:val="21"/>
                      <w:szCs w:val="21"/>
                      <w:u w:val="none"/>
                      <w:lang w:bidi="ar"/>
                    </w:rPr>
                    <w:t>制定事故应急预案，配备事故应急及个人防护设备</w:t>
                  </w:r>
                </w:p>
              </w:tc>
              <w:tc>
                <w:tcPr>
                  <w:tcW w:w="537" w:type="pct"/>
                  <w:tcBorders>
                    <w:tl2br w:val="nil"/>
                    <w:tr2bl w:val="nil"/>
                  </w:tcBorders>
                  <w:noWrap w:val="0"/>
                  <w:vAlign w:val="center"/>
                </w:tcPr>
                <w:p w14:paraId="1BF1A8C9">
                  <w:pPr>
                    <w:keepNext w:val="0"/>
                    <w:keepLines w:val="0"/>
                    <w:pageBreakBefore w:val="0"/>
                    <w:widowControl/>
                    <w:suppressLineNumbers w:val="0"/>
                    <w:kinsoku/>
                    <w:wordWrap/>
                    <w:overflowPunct/>
                    <w:topLinePunct w:val="0"/>
                    <w:autoSpaceDE/>
                    <w:autoSpaceDN/>
                    <w:bidi w:val="0"/>
                    <w:adjustRightInd/>
                    <w:snapToGrid w:val="0"/>
                    <w:spacing w:line="240" w:lineRule="auto"/>
                    <w:ind w:right="0" w:firstLine="0" w:firstLineChars="0"/>
                    <w:jc w:val="center"/>
                    <w:textAlignment w:val="auto"/>
                    <w:rPr>
                      <w:rFonts w:hint="default" w:ascii="Times New Roman" w:hAnsi="Times New Roman" w:eastAsia="宋体" w:cs="Times New Roman"/>
                      <w:color w:val="auto"/>
                      <w:kern w:val="0"/>
                      <w:sz w:val="21"/>
                      <w:szCs w:val="21"/>
                      <w:u w:val="none"/>
                      <w:lang w:val="en-US" w:eastAsia="zh-CN" w:bidi="ar"/>
                    </w:rPr>
                  </w:pPr>
                  <w:r>
                    <w:rPr>
                      <w:rFonts w:hint="eastAsia" w:ascii="Times New Roman" w:hAnsi="Times New Roman" w:eastAsia="宋体" w:cs="Times New Roman"/>
                      <w:color w:val="auto"/>
                      <w:kern w:val="0"/>
                      <w:sz w:val="21"/>
                      <w:szCs w:val="21"/>
                      <w:u w:val="none"/>
                      <w:lang w:val="en-US" w:eastAsia="zh-CN" w:bidi="ar"/>
                    </w:rPr>
                    <w:t>符合</w:t>
                  </w:r>
                </w:p>
              </w:tc>
            </w:tr>
            <w:tr w14:paraId="1C5691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31" w:type="pct"/>
                  <w:vMerge w:val="continue"/>
                  <w:tcBorders>
                    <w:tl2br w:val="nil"/>
                    <w:tr2bl w:val="nil"/>
                  </w:tcBorders>
                  <w:noWrap w:val="0"/>
                  <w:vAlign w:val="center"/>
                </w:tcPr>
                <w:p w14:paraId="7CA53D56">
                  <w:pPr>
                    <w:keepNext w:val="0"/>
                    <w:keepLines w:val="0"/>
                    <w:pageBreakBefore w:val="0"/>
                    <w:widowControl/>
                    <w:suppressLineNumbers w:val="0"/>
                    <w:kinsoku/>
                    <w:wordWrap/>
                    <w:overflowPunct/>
                    <w:topLinePunct w:val="0"/>
                    <w:autoSpaceDE/>
                    <w:autoSpaceDN/>
                    <w:bidi w:val="0"/>
                    <w:adjustRightInd/>
                    <w:snapToGrid w:val="0"/>
                    <w:spacing w:line="240" w:lineRule="auto"/>
                    <w:ind w:right="0" w:firstLine="0" w:firstLineChars="0"/>
                    <w:jc w:val="center"/>
                    <w:textAlignment w:val="auto"/>
                    <w:rPr>
                      <w:rFonts w:hint="eastAsia" w:ascii="Times New Roman" w:hAnsi="Times New Roman" w:eastAsia="宋体" w:cs="Times New Roman"/>
                      <w:color w:val="auto"/>
                      <w:kern w:val="0"/>
                      <w:sz w:val="21"/>
                      <w:szCs w:val="21"/>
                      <w:u w:val="none"/>
                      <w:lang w:val="en-US" w:eastAsia="zh-CN" w:bidi="ar"/>
                    </w:rPr>
                  </w:pPr>
                </w:p>
              </w:tc>
              <w:tc>
                <w:tcPr>
                  <w:tcW w:w="2646" w:type="pct"/>
                  <w:tcBorders>
                    <w:tl2br w:val="nil"/>
                    <w:tr2bl w:val="nil"/>
                  </w:tcBorders>
                  <w:noWrap w:val="0"/>
                  <w:vAlign w:val="center"/>
                </w:tcPr>
                <w:p w14:paraId="559BCC79">
                  <w:pPr>
                    <w:keepNext w:val="0"/>
                    <w:keepLines w:val="0"/>
                    <w:pageBreakBefore w:val="0"/>
                    <w:widowControl/>
                    <w:suppressLineNumbers w:val="0"/>
                    <w:kinsoku/>
                    <w:wordWrap/>
                    <w:overflowPunct/>
                    <w:topLinePunct w:val="0"/>
                    <w:autoSpaceDE/>
                    <w:autoSpaceDN/>
                    <w:bidi w:val="0"/>
                    <w:adjustRightInd/>
                    <w:snapToGrid w:val="0"/>
                    <w:spacing w:line="240" w:lineRule="auto"/>
                    <w:ind w:right="0" w:firstLine="0" w:firstLineChars="0"/>
                    <w:jc w:val="left"/>
                    <w:textAlignment w:val="auto"/>
                    <w:rPr>
                      <w:rFonts w:hint="default" w:ascii="Times New Roman" w:hAnsi="Times New Roman" w:eastAsia="宋体" w:cs="Times New Roman"/>
                      <w:color w:val="auto"/>
                      <w:kern w:val="0"/>
                      <w:sz w:val="21"/>
                      <w:szCs w:val="21"/>
                      <w:u w:val="none"/>
                      <w:lang w:val="en-US" w:eastAsia="zh-CN" w:bidi="ar"/>
                    </w:rPr>
                  </w:pPr>
                  <w:r>
                    <w:rPr>
                      <w:rFonts w:hint="default"/>
                      <w:color w:val="auto"/>
                      <w:kern w:val="0"/>
                      <w:szCs w:val="21"/>
                      <w:u w:val="none"/>
                      <w:lang w:bidi="ar"/>
                    </w:rPr>
                    <w:t>废铅蓄电池运输时应采取有效的包装措施，破损的废铅蓄电池应放置于耐腐蚀的容器内，并采取必要的防风、防雨、防渗漏、防遗撒措施。</w:t>
                  </w:r>
                </w:p>
              </w:tc>
              <w:tc>
                <w:tcPr>
                  <w:tcW w:w="1383" w:type="pct"/>
                  <w:tcBorders>
                    <w:tl2br w:val="nil"/>
                    <w:tr2bl w:val="nil"/>
                  </w:tcBorders>
                  <w:noWrap w:val="0"/>
                  <w:vAlign w:val="center"/>
                </w:tcPr>
                <w:p w14:paraId="4A58801A">
                  <w:pPr>
                    <w:keepNext w:val="0"/>
                    <w:keepLines w:val="0"/>
                    <w:pageBreakBefore w:val="0"/>
                    <w:widowControl/>
                    <w:suppressLineNumbers w:val="0"/>
                    <w:kinsoku/>
                    <w:wordWrap/>
                    <w:overflowPunct/>
                    <w:topLinePunct w:val="0"/>
                    <w:autoSpaceDE/>
                    <w:autoSpaceDN/>
                    <w:bidi w:val="0"/>
                    <w:adjustRightInd/>
                    <w:snapToGrid w:val="0"/>
                    <w:spacing w:line="240" w:lineRule="auto"/>
                    <w:ind w:right="0" w:firstLine="0" w:firstLineChars="0"/>
                    <w:jc w:val="left"/>
                    <w:textAlignment w:val="auto"/>
                    <w:rPr>
                      <w:rFonts w:hint="default" w:ascii="Times New Roman" w:hAnsi="Times New Roman" w:eastAsia="宋体" w:cs="Times New Roman"/>
                      <w:color w:val="auto"/>
                      <w:kern w:val="0"/>
                      <w:sz w:val="21"/>
                      <w:szCs w:val="21"/>
                      <w:u w:val="none"/>
                      <w:lang w:val="en-US" w:eastAsia="zh-CN" w:bidi="ar"/>
                    </w:rPr>
                  </w:pPr>
                  <w:r>
                    <w:rPr>
                      <w:rFonts w:hint="eastAsia"/>
                      <w:color w:val="auto"/>
                      <w:spacing w:val="-6"/>
                      <w:kern w:val="0"/>
                      <w:sz w:val="21"/>
                      <w:szCs w:val="21"/>
                      <w:u w:val="none"/>
                      <w:lang w:val="en-US" w:eastAsia="zh-CN" w:bidi="ar"/>
                    </w:rPr>
                    <w:t>废铅蓄电池在收集时设防渗托盘，对于有破损的废</w:t>
                  </w:r>
                  <w:r>
                    <w:rPr>
                      <w:rFonts w:hint="default"/>
                      <w:color w:val="auto"/>
                      <w:spacing w:val="-6"/>
                      <w:kern w:val="0"/>
                      <w:sz w:val="21"/>
                      <w:szCs w:val="21"/>
                      <w:u w:val="none"/>
                      <w:lang w:bidi="ar"/>
                    </w:rPr>
                    <w:t>铅蓄电池或有电解质渗漏的废铅蓄电池</w:t>
                  </w:r>
                  <w:r>
                    <w:rPr>
                      <w:rFonts w:hint="eastAsia"/>
                      <w:color w:val="auto"/>
                      <w:spacing w:val="-6"/>
                      <w:kern w:val="0"/>
                      <w:sz w:val="21"/>
                      <w:szCs w:val="21"/>
                      <w:u w:val="none"/>
                      <w:lang w:val="en-US" w:eastAsia="zh-CN" w:bidi="ar"/>
                    </w:rPr>
                    <w:t>不予收集</w:t>
                  </w:r>
                  <w:r>
                    <w:rPr>
                      <w:rFonts w:hint="default"/>
                      <w:color w:val="auto"/>
                      <w:spacing w:val="-6"/>
                      <w:kern w:val="0"/>
                      <w:sz w:val="21"/>
                      <w:szCs w:val="21"/>
                      <w:u w:val="none"/>
                      <w:lang w:bidi="ar"/>
                    </w:rPr>
                    <w:t>。</w:t>
                  </w:r>
                </w:p>
              </w:tc>
              <w:tc>
                <w:tcPr>
                  <w:tcW w:w="537" w:type="pct"/>
                  <w:tcBorders>
                    <w:tl2br w:val="nil"/>
                    <w:tr2bl w:val="nil"/>
                  </w:tcBorders>
                  <w:noWrap w:val="0"/>
                  <w:vAlign w:val="center"/>
                </w:tcPr>
                <w:p w14:paraId="4315726B">
                  <w:pPr>
                    <w:keepNext w:val="0"/>
                    <w:keepLines w:val="0"/>
                    <w:pageBreakBefore w:val="0"/>
                    <w:widowControl/>
                    <w:suppressLineNumbers w:val="0"/>
                    <w:kinsoku/>
                    <w:wordWrap/>
                    <w:overflowPunct/>
                    <w:topLinePunct w:val="0"/>
                    <w:autoSpaceDE/>
                    <w:autoSpaceDN/>
                    <w:bidi w:val="0"/>
                    <w:adjustRightInd/>
                    <w:snapToGrid w:val="0"/>
                    <w:spacing w:line="240" w:lineRule="auto"/>
                    <w:ind w:right="0" w:firstLine="0" w:firstLineChars="0"/>
                    <w:jc w:val="center"/>
                    <w:textAlignment w:val="auto"/>
                    <w:rPr>
                      <w:rFonts w:hint="default" w:ascii="Times New Roman" w:hAnsi="Times New Roman" w:eastAsia="宋体" w:cs="Times New Roman"/>
                      <w:color w:val="auto"/>
                      <w:kern w:val="0"/>
                      <w:sz w:val="21"/>
                      <w:szCs w:val="21"/>
                      <w:u w:val="none"/>
                      <w:lang w:val="en-US" w:eastAsia="zh-CN" w:bidi="ar"/>
                    </w:rPr>
                  </w:pPr>
                  <w:r>
                    <w:rPr>
                      <w:rFonts w:hint="eastAsia" w:ascii="Times New Roman" w:hAnsi="Times New Roman" w:eastAsia="宋体" w:cs="Times New Roman"/>
                      <w:color w:val="auto"/>
                      <w:kern w:val="0"/>
                      <w:sz w:val="21"/>
                      <w:szCs w:val="21"/>
                      <w:u w:val="none"/>
                      <w:lang w:val="en-US" w:eastAsia="zh-CN" w:bidi="ar"/>
                    </w:rPr>
                    <w:t>符合</w:t>
                  </w:r>
                </w:p>
              </w:tc>
            </w:tr>
            <w:tr w14:paraId="18C531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31" w:type="pct"/>
                  <w:vMerge w:val="restart"/>
                  <w:tcBorders>
                    <w:tl2br w:val="nil"/>
                    <w:tr2bl w:val="nil"/>
                  </w:tcBorders>
                  <w:noWrap w:val="0"/>
                  <w:vAlign w:val="center"/>
                </w:tcPr>
                <w:p w14:paraId="0BDC2303">
                  <w:pPr>
                    <w:keepNext w:val="0"/>
                    <w:keepLines w:val="0"/>
                    <w:pageBreakBefore w:val="0"/>
                    <w:widowControl/>
                    <w:suppressLineNumbers w:val="0"/>
                    <w:kinsoku/>
                    <w:wordWrap/>
                    <w:overflowPunct/>
                    <w:topLinePunct w:val="0"/>
                    <w:autoSpaceDE/>
                    <w:autoSpaceDN/>
                    <w:bidi w:val="0"/>
                    <w:adjustRightInd/>
                    <w:snapToGrid w:val="0"/>
                    <w:spacing w:line="240" w:lineRule="auto"/>
                    <w:ind w:right="0" w:firstLine="0" w:firstLineChars="0"/>
                    <w:jc w:val="center"/>
                    <w:textAlignment w:val="auto"/>
                    <w:rPr>
                      <w:rFonts w:hint="default" w:ascii="Times New Roman" w:hAnsi="Times New Roman" w:eastAsia="宋体" w:cs="Times New Roman"/>
                      <w:color w:val="auto"/>
                      <w:kern w:val="0"/>
                      <w:sz w:val="21"/>
                      <w:szCs w:val="21"/>
                      <w:u w:val="none"/>
                      <w:lang w:val="en-US" w:eastAsia="zh-CN" w:bidi="ar"/>
                    </w:rPr>
                  </w:pPr>
                  <w:r>
                    <w:rPr>
                      <w:rFonts w:hint="eastAsia" w:ascii="Times New Roman" w:hAnsi="Times New Roman" w:cs="Times New Roman"/>
                      <w:color w:val="auto"/>
                      <w:kern w:val="0"/>
                      <w:szCs w:val="21"/>
                      <w:u w:val="none"/>
                      <w:lang w:bidi="ar"/>
                    </w:rPr>
                    <w:t>废铅蓄电池的</w:t>
                  </w:r>
                  <w:r>
                    <w:rPr>
                      <w:rFonts w:hint="eastAsia"/>
                      <w:color w:val="auto"/>
                      <w:kern w:val="0"/>
                      <w:szCs w:val="21"/>
                      <w:u w:val="none"/>
                      <w:lang w:bidi="ar"/>
                    </w:rPr>
                    <w:t>暂存和贮存</w:t>
                  </w:r>
                  <w:r>
                    <w:rPr>
                      <w:rFonts w:hint="eastAsia" w:ascii="Times New Roman" w:hAnsi="Times New Roman" w:cs="Times New Roman"/>
                      <w:color w:val="auto"/>
                      <w:kern w:val="0"/>
                      <w:szCs w:val="21"/>
                      <w:u w:val="none"/>
                      <w:lang w:val="en-US" w:eastAsia="zh-CN" w:bidi="ar"/>
                    </w:rPr>
                    <w:t>要求</w:t>
                  </w:r>
                </w:p>
              </w:tc>
              <w:tc>
                <w:tcPr>
                  <w:tcW w:w="2646" w:type="pct"/>
                  <w:tcBorders>
                    <w:tl2br w:val="nil"/>
                    <w:tr2bl w:val="nil"/>
                  </w:tcBorders>
                  <w:shd w:val="clear" w:color="auto" w:fill="auto"/>
                  <w:noWrap w:val="0"/>
                  <w:vAlign w:val="center"/>
                </w:tcPr>
                <w:p w14:paraId="50E66477">
                  <w:pPr>
                    <w:keepNext w:val="0"/>
                    <w:keepLines w:val="0"/>
                    <w:pageBreakBefore w:val="0"/>
                    <w:widowControl/>
                    <w:suppressLineNumbers w:val="0"/>
                    <w:kinsoku/>
                    <w:wordWrap/>
                    <w:overflowPunct/>
                    <w:topLinePunct w:val="0"/>
                    <w:autoSpaceDE/>
                    <w:autoSpaceDN/>
                    <w:bidi w:val="0"/>
                    <w:adjustRightInd/>
                    <w:snapToGrid w:val="0"/>
                    <w:spacing w:line="240" w:lineRule="auto"/>
                    <w:ind w:right="0" w:firstLine="0" w:firstLineChars="0"/>
                    <w:jc w:val="left"/>
                    <w:textAlignment w:val="auto"/>
                    <w:rPr>
                      <w:rFonts w:hint="default"/>
                      <w:color w:val="auto"/>
                      <w:kern w:val="0"/>
                      <w:szCs w:val="21"/>
                      <w:u w:val="none"/>
                      <w:lang w:bidi="ar"/>
                    </w:rPr>
                  </w:pPr>
                  <w:r>
                    <w:rPr>
                      <w:rFonts w:hint="default"/>
                      <w:color w:val="auto"/>
                      <w:kern w:val="0"/>
                      <w:szCs w:val="21"/>
                      <w:u w:val="none"/>
                      <w:lang w:bidi="ar"/>
                    </w:rPr>
                    <w:t>废铅蓄电池集中转运点贮存设施应开展环境影响评价，并参照GB18597的有关要求进行建设和管理，符合以下要求：</w:t>
                  </w:r>
                </w:p>
                <w:p w14:paraId="36069D9F">
                  <w:pPr>
                    <w:keepNext w:val="0"/>
                    <w:keepLines w:val="0"/>
                    <w:pageBreakBefore w:val="0"/>
                    <w:widowControl/>
                    <w:suppressLineNumbers w:val="0"/>
                    <w:kinsoku/>
                    <w:wordWrap/>
                    <w:overflowPunct/>
                    <w:topLinePunct w:val="0"/>
                    <w:autoSpaceDE/>
                    <w:autoSpaceDN/>
                    <w:bidi w:val="0"/>
                    <w:adjustRightInd/>
                    <w:snapToGrid w:val="0"/>
                    <w:spacing w:line="240" w:lineRule="auto"/>
                    <w:ind w:right="0" w:firstLine="0" w:firstLineChars="0"/>
                    <w:jc w:val="left"/>
                    <w:textAlignment w:val="auto"/>
                    <w:rPr>
                      <w:rFonts w:hint="default"/>
                      <w:color w:val="auto"/>
                      <w:kern w:val="0"/>
                      <w:szCs w:val="21"/>
                      <w:u w:val="none"/>
                      <w:lang w:bidi="ar"/>
                    </w:rPr>
                  </w:pPr>
                  <w:r>
                    <w:rPr>
                      <w:rFonts w:hint="default"/>
                      <w:color w:val="auto"/>
                      <w:kern w:val="0"/>
                      <w:szCs w:val="21"/>
                      <w:u w:val="none"/>
                      <w:lang w:bidi="ar"/>
                    </w:rPr>
                    <w:t>a）应防雨，必须远离其他水源和热源。</w:t>
                  </w:r>
                </w:p>
                <w:p w14:paraId="0914F27B">
                  <w:pPr>
                    <w:keepNext w:val="0"/>
                    <w:keepLines w:val="0"/>
                    <w:pageBreakBefore w:val="0"/>
                    <w:widowControl/>
                    <w:suppressLineNumbers w:val="0"/>
                    <w:kinsoku/>
                    <w:wordWrap/>
                    <w:overflowPunct/>
                    <w:topLinePunct w:val="0"/>
                    <w:autoSpaceDE/>
                    <w:autoSpaceDN/>
                    <w:bidi w:val="0"/>
                    <w:adjustRightInd/>
                    <w:snapToGrid w:val="0"/>
                    <w:spacing w:line="240" w:lineRule="auto"/>
                    <w:ind w:right="0" w:firstLine="0" w:firstLineChars="0"/>
                    <w:jc w:val="left"/>
                    <w:textAlignment w:val="auto"/>
                    <w:rPr>
                      <w:rFonts w:hint="default"/>
                      <w:color w:val="auto"/>
                      <w:kern w:val="0"/>
                      <w:szCs w:val="21"/>
                      <w:u w:val="none"/>
                      <w:lang w:bidi="ar"/>
                    </w:rPr>
                  </w:pPr>
                  <w:r>
                    <w:rPr>
                      <w:rFonts w:hint="default"/>
                      <w:color w:val="auto"/>
                      <w:kern w:val="0"/>
                      <w:szCs w:val="21"/>
                      <w:u w:val="none"/>
                      <w:lang w:bidi="ar"/>
                    </w:rPr>
                    <w:t>b）面积不少于30m</w:t>
                  </w:r>
                  <w:r>
                    <w:rPr>
                      <w:rFonts w:hint="default"/>
                      <w:color w:val="auto"/>
                      <w:kern w:val="0"/>
                      <w:szCs w:val="21"/>
                      <w:u w:val="none"/>
                      <w:vertAlign w:val="superscript"/>
                      <w:lang w:bidi="ar"/>
                    </w:rPr>
                    <w:t>2</w:t>
                  </w:r>
                  <w:r>
                    <w:rPr>
                      <w:rFonts w:hint="default"/>
                      <w:color w:val="auto"/>
                      <w:kern w:val="0"/>
                      <w:szCs w:val="21"/>
                      <w:u w:val="none"/>
                      <w:lang w:bidi="ar"/>
                    </w:rPr>
                    <w:t>，有硬化地面和必要的防渗措施。</w:t>
                  </w:r>
                </w:p>
                <w:p w14:paraId="1434D994">
                  <w:pPr>
                    <w:keepNext w:val="0"/>
                    <w:keepLines w:val="0"/>
                    <w:pageBreakBefore w:val="0"/>
                    <w:widowControl/>
                    <w:suppressLineNumbers w:val="0"/>
                    <w:kinsoku/>
                    <w:wordWrap/>
                    <w:overflowPunct/>
                    <w:topLinePunct w:val="0"/>
                    <w:autoSpaceDE/>
                    <w:autoSpaceDN/>
                    <w:bidi w:val="0"/>
                    <w:adjustRightInd/>
                    <w:snapToGrid w:val="0"/>
                    <w:spacing w:line="240" w:lineRule="auto"/>
                    <w:ind w:right="0" w:firstLine="0" w:firstLineChars="0"/>
                    <w:jc w:val="left"/>
                    <w:textAlignment w:val="auto"/>
                    <w:rPr>
                      <w:rFonts w:hint="default"/>
                      <w:color w:val="auto"/>
                      <w:kern w:val="0"/>
                      <w:szCs w:val="21"/>
                      <w:u w:val="none"/>
                      <w:lang w:bidi="ar"/>
                    </w:rPr>
                  </w:pPr>
                  <w:r>
                    <w:rPr>
                      <w:rFonts w:hint="default"/>
                      <w:color w:val="auto"/>
                      <w:kern w:val="0"/>
                      <w:szCs w:val="21"/>
                      <w:u w:val="none"/>
                      <w:lang w:bidi="ar"/>
                    </w:rPr>
                    <w:t>c）应设有截流槽、导流沟、临时应急池和废液收集系统。</w:t>
                  </w:r>
                </w:p>
                <w:p w14:paraId="097B4B43">
                  <w:pPr>
                    <w:keepNext w:val="0"/>
                    <w:keepLines w:val="0"/>
                    <w:pageBreakBefore w:val="0"/>
                    <w:widowControl/>
                    <w:suppressLineNumbers w:val="0"/>
                    <w:kinsoku/>
                    <w:wordWrap/>
                    <w:overflowPunct/>
                    <w:topLinePunct w:val="0"/>
                    <w:autoSpaceDE/>
                    <w:autoSpaceDN/>
                    <w:bidi w:val="0"/>
                    <w:adjustRightInd/>
                    <w:snapToGrid w:val="0"/>
                    <w:spacing w:line="240" w:lineRule="auto"/>
                    <w:ind w:right="0" w:firstLine="0" w:firstLineChars="0"/>
                    <w:jc w:val="left"/>
                    <w:textAlignment w:val="auto"/>
                    <w:rPr>
                      <w:rFonts w:hint="default"/>
                      <w:color w:val="auto"/>
                      <w:kern w:val="0"/>
                      <w:szCs w:val="21"/>
                      <w:u w:val="none"/>
                      <w:lang w:bidi="ar"/>
                    </w:rPr>
                  </w:pPr>
                  <w:r>
                    <w:rPr>
                      <w:rFonts w:hint="default"/>
                      <w:color w:val="auto"/>
                      <w:kern w:val="0"/>
                      <w:szCs w:val="21"/>
                      <w:u w:val="none"/>
                      <w:lang w:bidi="ar"/>
                    </w:rPr>
                    <w:t>d）应配备通讯设备、计量设备、照明设施、视频监控设施。</w:t>
                  </w:r>
                </w:p>
                <w:p w14:paraId="0AE5B342">
                  <w:pPr>
                    <w:keepNext w:val="0"/>
                    <w:keepLines w:val="0"/>
                    <w:pageBreakBefore w:val="0"/>
                    <w:widowControl/>
                    <w:suppressLineNumbers w:val="0"/>
                    <w:kinsoku/>
                    <w:wordWrap/>
                    <w:overflowPunct/>
                    <w:topLinePunct w:val="0"/>
                    <w:autoSpaceDE/>
                    <w:autoSpaceDN/>
                    <w:bidi w:val="0"/>
                    <w:adjustRightInd/>
                    <w:snapToGrid w:val="0"/>
                    <w:spacing w:line="240" w:lineRule="auto"/>
                    <w:ind w:right="0" w:firstLine="0" w:firstLineChars="0"/>
                    <w:jc w:val="left"/>
                    <w:textAlignment w:val="auto"/>
                    <w:rPr>
                      <w:rFonts w:hint="default"/>
                      <w:color w:val="auto"/>
                      <w:kern w:val="0"/>
                      <w:szCs w:val="21"/>
                      <w:u w:val="none"/>
                      <w:lang w:bidi="ar"/>
                    </w:rPr>
                  </w:pPr>
                  <w:r>
                    <w:rPr>
                      <w:rFonts w:hint="default"/>
                      <w:color w:val="auto"/>
                      <w:kern w:val="0"/>
                      <w:szCs w:val="21"/>
                      <w:u w:val="none"/>
                      <w:lang w:bidi="ar"/>
                    </w:rPr>
                    <w:t>e）应设立警示标志，只允许收集废铅蓄电池的专门人员进入。</w:t>
                  </w:r>
                </w:p>
                <w:p w14:paraId="0041DE9E">
                  <w:pPr>
                    <w:keepNext w:val="0"/>
                    <w:keepLines w:val="0"/>
                    <w:pageBreakBefore w:val="0"/>
                    <w:widowControl/>
                    <w:suppressLineNumbers w:val="0"/>
                    <w:kinsoku/>
                    <w:wordWrap/>
                    <w:overflowPunct/>
                    <w:topLinePunct w:val="0"/>
                    <w:autoSpaceDE/>
                    <w:autoSpaceDN/>
                    <w:bidi w:val="0"/>
                    <w:adjustRightInd/>
                    <w:snapToGrid w:val="0"/>
                    <w:spacing w:line="240" w:lineRule="auto"/>
                    <w:ind w:right="0" w:firstLine="0" w:firstLineChars="0"/>
                    <w:jc w:val="left"/>
                    <w:textAlignment w:val="auto"/>
                    <w:rPr>
                      <w:rFonts w:hint="default"/>
                      <w:color w:val="auto"/>
                      <w:kern w:val="0"/>
                      <w:szCs w:val="21"/>
                      <w:u w:val="none"/>
                      <w:lang w:bidi="ar"/>
                    </w:rPr>
                  </w:pPr>
                  <w:r>
                    <w:rPr>
                      <w:rFonts w:hint="default"/>
                      <w:color w:val="auto"/>
                      <w:kern w:val="0"/>
                      <w:szCs w:val="21"/>
                      <w:u w:val="none"/>
                      <w:lang w:bidi="ar"/>
                    </w:rPr>
                    <w:t>f）应有排风换气系统，保证良好通风。</w:t>
                  </w:r>
                </w:p>
                <w:p w14:paraId="5F5B6C10">
                  <w:pPr>
                    <w:keepNext w:val="0"/>
                    <w:keepLines w:val="0"/>
                    <w:pageBreakBefore w:val="0"/>
                    <w:widowControl/>
                    <w:suppressLineNumbers w:val="0"/>
                    <w:kinsoku/>
                    <w:wordWrap/>
                    <w:overflowPunct/>
                    <w:topLinePunct w:val="0"/>
                    <w:autoSpaceDE/>
                    <w:autoSpaceDN/>
                    <w:bidi w:val="0"/>
                    <w:adjustRightInd/>
                    <w:snapToGrid w:val="0"/>
                    <w:spacing w:line="240" w:lineRule="auto"/>
                    <w:ind w:right="0" w:rightChars="0" w:firstLine="0" w:firstLineChars="0"/>
                    <w:jc w:val="left"/>
                    <w:textAlignment w:val="auto"/>
                    <w:rPr>
                      <w:rFonts w:hint="default" w:ascii="Times New Roman" w:hAnsi="Times New Roman" w:eastAsia="宋体" w:cs="Times New Roman"/>
                      <w:color w:val="auto"/>
                      <w:kern w:val="0"/>
                      <w:sz w:val="21"/>
                      <w:szCs w:val="21"/>
                      <w:u w:val="none"/>
                      <w:lang w:val="en-US" w:eastAsia="zh-CN" w:bidi="ar"/>
                    </w:rPr>
                  </w:pPr>
                  <w:r>
                    <w:rPr>
                      <w:rFonts w:hint="default"/>
                      <w:color w:val="auto"/>
                      <w:kern w:val="0"/>
                      <w:szCs w:val="21"/>
                      <w:u w:val="none"/>
                      <w:lang w:bidi="ar"/>
                    </w:rPr>
                    <w:t>g）应配备耐腐蚀、不易破损变形的专用容器，用于单独分区存放开口式废铅蓄电池和破损的密闭式免维护废铅蓄电池。</w:t>
                  </w:r>
                </w:p>
              </w:tc>
              <w:tc>
                <w:tcPr>
                  <w:tcW w:w="1383" w:type="pct"/>
                  <w:tcBorders>
                    <w:tl2br w:val="nil"/>
                    <w:tr2bl w:val="nil"/>
                  </w:tcBorders>
                  <w:shd w:val="clear" w:color="auto" w:fill="auto"/>
                  <w:noWrap w:val="0"/>
                  <w:vAlign w:val="center"/>
                </w:tcPr>
                <w:p w14:paraId="345A8E7A">
                  <w:pPr>
                    <w:keepNext w:val="0"/>
                    <w:keepLines w:val="0"/>
                    <w:pageBreakBefore w:val="0"/>
                    <w:widowControl/>
                    <w:suppressLineNumbers w:val="0"/>
                    <w:kinsoku/>
                    <w:wordWrap/>
                    <w:overflowPunct/>
                    <w:topLinePunct w:val="0"/>
                    <w:autoSpaceDE/>
                    <w:autoSpaceDN/>
                    <w:bidi w:val="0"/>
                    <w:adjustRightInd/>
                    <w:snapToGrid w:val="0"/>
                    <w:spacing w:line="240" w:lineRule="auto"/>
                    <w:ind w:right="0" w:rightChars="0" w:firstLine="0" w:firstLineChars="0"/>
                    <w:jc w:val="left"/>
                    <w:textAlignment w:val="auto"/>
                    <w:rPr>
                      <w:rFonts w:hint="eastAsia"/>
                      <w:color w:val="auto"/>
                      <w:kern w:val="0"/>
                      <w:szCs w:val="21"/>
                      <w:u w:val="none"/>
                      <w:lang w:eastAsia="zh-CN" w:bidi="ar"/>
                    </w:rPr>
                  </w:pPr>
                  <w:r>
                    <w:rPr>
                      <w:rFonts w:hint="eastAsia" w:eastAsia="宋体"/>
                      <w:color w:val="auto"/>
                      <w:kern w:val="0"/>
                      <w:szCs w:val="21"/>
                      <w:u w:val="none"/>
                      <w:lang w:val="en-US" w:eastAsia="zh-CN" w:bidi="ar"/>
                    </w:rPr>
                    <w:t>现有项目已取得环境影响评价批复，</w:t>
                  </w:r>
                  <w:r>
                    <w:rPr>
                      <w:rFonts w:hint="default"/>
                      <w:color w:val="auto"/>
                      <w:kern w:val="0"/>
                      <w:szCs w:val="21"/>
                      <w:u w:val="none"/>
                      <w:lang w:bidi="ar"/>
                    </w:rPr>
                    <w:t>并参照GB18597的有关要求进行建设和管理</w:t>
                  </w:r>
                  <w:r>
                    <w:rPr>
                      <w:rFonts w:hint="eastAsia"/>
                      <w:color w:val="auto"/>
                      <w:kern w:val="0"/>
                      <w:szCs w:val="21"/>
                      <w:u w:val="none"/>
                      <w:lang w:eastAsia="zh-CN" w:bidi="ar"/>
                    </w:rPr>
                    <w:t>。</w:t>
                  </w:r>
                </w:p>
                <w:p w14:paraId="2CFE76AE">
                  <w:pPr>
                    <w:keepNext w:val="0"/>
                    <w:keepLines w:val="0"/>
                    <w:pageBreakBefore w:val="0"/>
                    <w:widowControl/>
                    <w:suppressLineNumbers w:val="0"/>
                    <w:kinsoku/>
                    <w:wordWrap/>
                    <w:overflowPunct/>
                    <w:topLinePunct w:val="0"/>
                    <w:autoSpaceDE/>
                    <w:autoSpaceDN/>
                    <w:bidi w:val="0"/>
                    <w:adjustRightInd/>
                    <w:snapToGrid w:val="0"/>
                    <w:spacing w:line="240" w:lineRule="auto"/>
                    <w:ind w:right="0" w:rightChars="0" w:firstLine="0" w:firstLineChars="0"/>
                    <w:jc w:val="left"/>
                    <w:textAlignment w:val="auto"/>
                    <w:rPr>
                      <w:rFonts w:hint="default" w:ascii="Times New Roman" w:hAnsi="Times New Roman" w:eastAsia="宋体" w:cs="Times New Roman"/>
                      <w:color w:val="auto"/>
                      <w:kern w:val="0"/>
                      <w:sz w:val="21"/>
                      <w:szCs w:val="21"/>
                      <w:u w:val="none"/>
                      <w:lang w:val="en-US" w:eastAsia="zh-CN" w:bidi="ar"/>
                    </w:rPr>
                  </w:pPr>
                  <w:r>
                    <w:rPr>
                      <w:rFonts w:hint="eastAsia"/>
                      <w:color w:val="auto"/>
                      <w:kern w:val="0"/>
                      <w:szCs w:val="21"/>
                      <w:u w:val="none"/>
                      <w:lang w:val="en-US" w:eastAsia="zh-CN" w:bidi="ar"/>
                    </w:rPr>
                    <w:t>搬迁项目环境影响评价正在办理，并将按相关规定进行建设和管理。</w:t>
                  </w:r>
                </w:p>
              </w:tc>
              <w:tc>
                <w:tcPr>
                  <w:tcW w:w="537" w:type="pct"/>
                  <w:tcBorders>
                    <w:tl2br w:val="nil"/>
                    <w:tr2bl w:val="nil"/>
                  </w:tcBorders>
                  <w:shd w:val="clear" w:color="auto" w:fill="auto"/>
                  <w:noWrap w:val="0"/>
                  <w:vAlign w:val="center"/>
                </w:tcPr>
                <w:p w14:paraId="3A3247A4">
                  <w:pPr>
                    <w:keepNext w:val="0"/>
                    <w:keepLines w:val="0"/>
                    <w:pageBreakBefore w:val="0"/>
                    <w:widowControl/>
                    <w:suppressLineNumbers w:val="0"/>
                    <w:kinsoku/>
                    <w:wordWrap/>
                    <w:overflowPunct/>
                    <w:topLinePunct w:val="0"/>
                    <w:autoSpaceDE/>
                    <w:autoSpaceDN/>
                    <w:bidi w:val="0"/>
                    <w:adjustRightInd/>
                    <w:snapToGrid w:val="0"/>
                    <w:spacing w:line="240" w:lineRule="auto"/>
                    <w:ind w:right="0" w:rightChars="0" w:firstLine="0" w:firstLineChars="0"/>
                    <w:jc w:val="center"/>
                    <w:textAlignment w:val="auto"/>
                    <w:rPr>
                      <w:rFonts w:hint="default" w:ascii="Times New Roman" w:hAnsi="Times New Roman" w:eastAsia="宋体" w:cs="Times New Roman"/>
                      <w:color w:val="auto"/>
                      <w:kern w:val="0"/>
                      <w:sz w:val="21"/>
                      <w:szCs w:val="21"/>
                      <w:u w:val="none"/>
                      <w:lang w:val="en-US" w:eastAsia="zh-CN" w:bidi="ar"/>
                    </w:rPr>
                  </w:pPr>
                  <w:r>
                    <w:rPr>
                      <w:rFonts w:hint="eastAsia" w:ascii="Times New Roman" w:hAnsi="Times New Roman" w:eastAsia="宋体" w:cs="Times New Roman"/>
                      <w:color w:val="auto"/>
                      <w:kern w:val="0"/>
                      <w:sz w:val="21"/>
                      <w:szCs w:val="21"/>
                      <w:u w:val="none"/>
                      <w:lang w:val="en-US" w:eastAsia="zh-CN" w:bidi="ar"/>
                    </w:rPr>
                    <w:t>符合</w:t>
                  </w:r>
                </w:p>
              </w:tc>
            </w:tr>
            <w:tr w14:paraId="741BFB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31" w:type="pct"/>
                  <w:vMerge w:val="continue"/>
                  <w:tcBorders>
                    <w:tl2br w:val="nil"/>
                    <w:tr2bl w:val="nil"/>
                  </w:tcBorders>
                  <w:noWrap w:val="0"/>
                  <w:vAlign w:val="center"/>
                </w:tcPr>
                <w:p w14:paraId="2B3A3B00">
                  <w:pPr>
                    <w:keepNext w:val="0"/>
                    <w:keepLines w:val="0"/>
                    <w:pageBreakBefore w:val="0"/>
                    <w:widowControl/>
                    <w:suppressLineNumbers w:val="0"/>
                    <w:kinsoku/>
                    <w:wordWrap/>
                    <w:overflowPunct/>
                    <w:topLinePunct w:val="0"/>
                    <w:autoSpaceDE/>
                    <w:autoSpaceDN/>
                    <w:bidi w:val="0"/>
                    <w:adjustRightInd/>
                    <w:snapToGrid w:val="0"/>
                    <w:spacing w:line="240" w:lineRule="auto"/>
                    <w:ind w:right="0" w:firstLine="0" w:firstLineChars="0"/>
                    <w:jc w:val="center"/>
                    <w:textAlignment w:val="auto"/>
                    <w:rPr>
                      <w:rFonts w:hint="eastAsia" w:ascii="Times New Roman" w:hAnsi="Times New Roman" w:eastAsia="宋体" w:cs="Times New Roman"/>
                      <w:color w:val="auto"/>
                      <w:kern w:val="0"/>
                      <w:sz w:val="21"/>
                      <w:szCs w:val="21"/>
                      <w:u w:val="none"/>
                      <w:lang w:val="en-US" w:eastAsia="zh-CN" w:bidi="ar"/>
                    </w:rPr>
                  </w:pPr>
                </w:p>
              </w:tc>
              <w:tc>
                <w:tcPr>
                  <w:tcW w:w="2646" w:type="pct"/>
                  <w:tcBorders>
                    <w:tl2br w:val="nil"/>
                    <w:tr2bl w:val="nil"/>
                  </w:tcBorders>
                  <w:noWrap w:val="0"/>
                  <w:vAlign w:val="center"/>
                </w:tcPr>
                <w:p w14:paraId="74A43796">
                  <w:pPr>
                    <w:keepNext w:val="0"/>
                    <w:keepLines w:val="0"/>
                    <w:pageBreakBefore w:val="0"/>
                    <w:widowControl/>
                    <w:suppressLineNumbers w:val="0"/>
                    <w:kinsoku/>
                    <w:wordWrap/>
                    <w:overflowPunct/>
                    <w:topLinePunct w:val="0"/>
                    <w:autoSpaceDE/>
                    <w:autoSpaceDN/>
                    <w:bidi w:val="0"/>
                    <w:adjustRightInd/>
                    <w:snapToGrid w:val="0"/>
                    <w:spacing w:line="240" w:lineRule="auto"/>
                    <w:ind w:right="0" w:firstLine="0" w:firstLineChars="0"/>
                    <w:jc w:val="left"/>
                    <w:textAlignment w:val="auto"/>
                    <w:rPr>
                      <w:rFonts w:hint="default" w:ascii="Times New Roman" w:hAnsi="Times New Roman" w:eastAsia="宋体" w:cs="Times New Roman"/>
                      <w:color w:val="auto"/>
                      <w:kern w:val="0"/>
                      <w:sz w:val="21"/>
                      <w:szCs w:val="21"/>
                      <w:u w:val="none"/>
                      <w:lang w:val="en-US" w:eastAsia="zh-CN" w:bidi="ar"/>
                    </w:rPr>
                  </w:pPr>
                  <w:r>
                    <w:rPr>
                      <w:rFonts w:hint="default"/>
                      <w:color w:val="auto"/>
                      <w:kern w:val="0"/>
                      <w:szCs w:val="21"/>
                      <w:u w:val="none"/>
                      <w:lang w:bidi="ar"/>
                    </w:rPr>
                    <w:t>禁止将废铅蓄电池堆放在露天场地，避免废铅蓄电池遭受雨淋水浸。</w:t>
                  </w:r>
                </w:p>
              </w:tc>
              <w:tc>
                <w:tcPr>
                  <w:tcW w:w="1383" w:type="pct"/>
                  <w:tcBorders>
                    <w:tl2br w:val="nil"/>
                    <w:tr2bl w:val="nil"/>
                  </w:tcBorders>
                  <w:noWrap w:val="0"/>
                  <w:vAlign w:val="center"/>
                </w:tcPr>
                <w:p w14:paraId="57752651">
                  <w:pPr>
                    <w:keepNext w:val="0"/>
                    <w:keepLines w:val="0"/>
                    <w:pageBreakBefore w:val="0"/>
                    <w:widowControl/>
                    <w:suppressLineNumbers w:val="0"/>
                    <w:kinsoku/>
                    <w:wordWrap/>
                    <w:overflowPunct/>
                    <w:topLinePunct w:val="0"/>
                    <w:autoSpaceDE/>
                    <w:autoSpaceDN/>
                    <w:bidi w:val="0"/>
                    <w:adjustRightInd/>
                    <w:snapToGrid w:val="0"/>
                    <w:spacing w:line="240" w:lineRule="auto"/>
                    <w:ind w:right="0" w:firstLine="0" w:firstLineChars="0"/>
                    <w:jc w:val="left"/>
                    <w:textAlignment w:val="auto"/>
                    <w:rPr>
                      <w:rFonts w:hint="default" w:ascii="Times New Roman" w:hAnsi="Times New Roman" w:eastAsia="宋体" w:cs="Times New Roman"/>
                      <w:color w:val="auto"/>
                      <w:kern w:val="0"/>
                      <w:sz w:val="21"/>
                      <w:szCs w:val="21"/>
                      <w:u w:val="none"/>
                      <w:lang w:val="en-US" w:eastAsia="zh-CN" w:bidi="ar"/>
                    </w:rPr>
                  </w:pPr>
                  <w:r>
                    <w:rPr>
                      <w:rFonts w:hint="eastAsia" w:cs="Times New Roman"/>
                      <w:color w:val="auto"/>
                      <w:spacing w:val="-6"/>
                      <w:kern w:val="0"/>
                      <w:sz w:val="21"/>
                      <w:szCs w:val="21"/>
                      <w:u w:val="none"/>
                      <w:lang w:val="en-US" w:eastAsia="zh-CN" w:bidi="ar"/>
                    </w:rPr>
                    <w:t>废铅蓄电池存放于仓库内，不会遭受雨淋水浸</w:t>
                  </w:r>
                </w:p>
              </w:tc>
              <w:tc>
                <w:tcPr>
                  <w:tcW w:w="537" w:type="pct"/>
                  <w:tcBorders>
                    <w:tl2br w:val="nil"/>
                    <w:tr2bl w:val="nil"/>
                  </w:tcBorders>
                  <w:noWrap w:val="0"/>
                  <w:vAlign w:val="center"/>
                </w:tcPr>
                <w:p w14:paraId="3507737E">
                  <w:pPr>
                    <w:keepNext w:val="0"/>
                    <w:keepLines w:val="0"/>
                    <w:pageBreakBefore w:val="0"/>
                    <w:widowControl/>
                    <w:suppressLineNumbers w:val="0"/>
                    <w:kinsoku/>
                    <w:wordWrap/>
                    <w:overflowPunct/>
                    <w:topLinePunct w:val="0"/>
                    <w:autoSpaceDE/>
                    <w:autoSpaceDN/>
                    <w:bidi w:val="0"/>
                    <w:adjustRightInd/>
                    <w:snapToGrid w:val="0"/>
                    <w:spacing w:line="240" w:lineRule="auto"/>
                    <w:ind w:right="0" w:firstLine="0" w:firstLineChars="0"/>
                    <w:jc w:val="center"/>
                    <w:textAlignment w:val="auto"/>
                    <w:rPr>
                      <w:rFonts w:hint="default" w:ascii="Times New Roman" w:hAnsi="Times New Roman" w:eastAsia="宋体" w:cs="Times New Roman"/>
                      <w:color w:val="auto"/>
                      <w:kern w:val="0"/>
                      <w:sz w:val="21"/>
                      <w:szCs w:val="21"/>
                      <w:u w:val="none"/>
                      <w:lang w:val="en-US" w:eastAsia="zh-CN" w:bidi="ar"/>
                    </w:rPr>
                  </w:pPr>
                  <w:r>
                    <w:rPr>
                      <w:rFonts w:hint="eastAsia" w:ascii="Times New Roman" w:hAnsi="Times New Roman" w:eastAsia="宋体" w:cs="Times New Roman"/>
                      <w:color w:val="auto"/>
                      <w:kern w:val="0"/>
                      <w:sz w:val="21"/>
                      <w:szCs w:val="21"/>
                      <w:u w:val="none"/>
                      <w:lang w:val="en-US" w:eastAsia="zh-CN" w:bidi="ar"/>
                    </w:rPr>
                    <w:t>符合</w:t>
                  </w:r>
                </w:p>
              </w:tc>
            </w:tr>
          </w:tbl>
          <w:p w14:paraId="7A061E8F">
            <w:pPr>
              <w:keepNext w:val="0"/>
              <w:keepLines w:val="0"/>
              <w:pageBreakBefore w:val="0"/>
              <w:widowControl w:val="0"/>
              <w:numPr>
                <w:ilvl w:val="0"/>
                <w:numId w:val="8"/>
              </w:numPr>
              <w:kinsoku/>
              <w:wordWrap/>
              <w:overflowPunct/>
              <w:topLinePunct w:val="0"/>
              <w:autoSpaceDE/>
              <w:autoSpaceDN/>
              <w:bidi w:val="0"/>
              <w:adjustRightInd/>
              <w:snapToGrid/>
              <w:spacing w:line="360" w:lineRule="auto"/>
              <w:ind w:left="0" w:leftChars="0" w:firstLine="425" w:firstLineChars="0"/>
              <w:textAlignment w:val="auto"/>
              <w:rPr>
                <w:rFonts w:hint="default" w:ascii="Times New Roman" w:hAnsi="Times New Roman" w:eastAsia="宋体" w:cs="Times New Roman"/>
                <w:color w:val="auto"/>
                <w:spacing w:val="0"/>
                <w:sz w:val="24"/>
                <w:szCs w:val="24"/>
                <w:lang w:val="en-US" w:eastAsia="zh-CN"/>
              </w:rPr>
            </w:pPr>
            <w:r>
              <w:rPr>
                <w:rFonts w:hint="eastAsia" w:ascii="Times New Roman" w:hAnsi="Times New Roman" w:eastAsia="宋体" w:cs="Times New Roman"/>
                <w:color w:val="auto"/>
                <w:spacing w:val="0"/>
                <w:sz w:val="24"/>
                <w:szCs w:val="24"/>
                <w:lang w:val="en-US" w:eastAsia="zh-CN"/>
              </w:rPr>
              <w:t>与《山东省固体废物污染防治条例》符合性分析</w:t>
            </w:r>
          </w:p>
          <w:p w14:paraId="2FD997F4">
            <w:pPr>
              <w:keepNext w:val="0"/>
              <w:keepLines w:val="0"/>
              <w:pageBreakBefore w:val="0"/>
              <w:widowControl w:val="0"/>
              <w:numPr>
                <w:ilvl w:val="0"/>
                <w:numId w:val="9"/>
              </w:numPr>
              <w:kinsoku/>
              <w:wordWrap/>
              <w:overflowPunct/>
              <w:topLinePunct w:val="0"/>
              <w:autoSpaceDE w:val="0"/>
              <w:autoSpaceDN w:val="0"/>
              <w:bidi w:val="0"/>
              <w:adjustRightInd w:val="0"/>
              <w:snapToGrid/>
              <w:spacing w:line="360" w:lineRule="auto"/>
              <w:ind w:left="3150" w:leftChars="0" w:hanging="3110" w:firstLineChars="0"/>
              <w:jc w:val="center"/>
              <w:textAlignment w:val="auto"/>
              <w:rPr>
                <w:rFonts w:hint="eastAsia" w:ascii="宋体" w:hAnsi="宋体" w:eastAsia="宋体" w:cs="宋体"/>
                <w:b/>
                <w:bCs/>
                <w:color w:val="auto"/>
                <w:kern w:val="0"/>
                <w:sz w:val="24"/>
                <w:szCs w:val="24"/>
                <w:lang w:val="en-US" w:eastAsia="zh-CN" w:bidi="ar"/>
              </w:rPr>
            </w:pPr>
            <w:r>
              <w:rPr>
                <w:rFonts w:hint="eastAsia" w:ascii="宋体" w:hAnsi="宋体" w:eastAsia="宋体" w:cs="宋体"/>
                <w:b/>
                <w:bCs/>
                <w:color w:val="auto"/>
                <w:kern w:val="0"/>
                <w:sz w:val="24"/>
                <w:szCs w:val="24"/>
                <w:lang w:val="en-US" w:eastAsia="zh-CN" w:bidi="ar"/>
              </w:rPr>
              <w:t>与《山东省固体废物污染防治条例》符合性分析</w:t>
            </w:r>
          </w:p>
          <w:tbl>
            <w:tblPr>
              <w:tblStyle w:val="89"/>
              <w:tblW w:w="4998"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681"/>
              <w:gridCol w:w="4324"/>
              <w:gridCol w:w="1957"/>
              <w:gridCol w:w="700"/>
            </w:tblGrid>
            <w:tr w14:paraId="34E760F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444" w:type="pct"/>
                  <w:vAlign w:val="center"/>
                </w:tcPr>
                <w:p w14:paraId="640E59BF">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宋体" w:hAnsi="宋体" w:eastAsia="宋体" w:cs="宋体"/>
                      <w:color w:val="auto"/>
                      <w:spacing w:val="0"/>
                      <w:sz w:val="21"/>
                      <w:szCs w:val="21"/>
                    </w:rPr>
                  </w:pPr>
                  <w:r>
                    <w:rPr>
                      <w:rFonts w:ascii="宋体" w:hAnsi="宋体" w:eastAsia="宋体" w:cs="宋体"/>
                      <w:color w:val="auto"/>
                      <w:spacing w:val="0"/>
                      <w:sz w:val="21"/>
                      <w:szCs w:val="21"/>
                    </w:rPr>
                    <w:t>序号</w:t>
                  </w:r>
                </w:p>
              </w:tc>
              <w:tc>
                <w:tcPr>
                  <w:tcW w:w="2821" w:type="pct"/>
                  <w:vAlign w:val="center"/>
                </w:tcPr>
                <w:p w14:paraId="483516DA">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宋体" w:hAnsi="宋体" w:eastAsia="宋体" w:cs="宋体"/>
                      <w:color w:val="auto"/>
                      <w:spacing w:val="0"/>
                      <w:sz w:val="21"/>
                      <w:szCs w:val="21"/>
                    </w:rPr>
                  </w:pPr>
                  <w:r>
                    <w:rPr>
                      <w:rFonts w:ascii="宋体" w:hAnsi="宋体" w:eastAsia="宋体" w:cs="宋体"/>
                      <w:color w:val="auto"/>
                      <w:spacing w:val="0"/>
                      <w:sz w:val="21"/>
                      <w:szCs w:val="21"/>
                    </w:rPr>
                    <w:t>文件要求</w:t>
                  </w:r>
                </w:p>
              </w:tc>
              <w:tc>
                <w:tcPr>
                  <w:tcW w:w="1277" w:type="pct"/>
                  <w:vAlign w:val="center"/>
                </w:tcPr>
                <w:p w14:paraId="690372F6">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宋体" w:hAnsi="宋体" w:eastAsia="宋体" w:cs="宋体"/>
                      <w:color w:val="auto"/>
                      <w:spacing w:val="0"/>
                      <w:sz w:val="21"/>
                      <w:szCs w:val="21"/>
                    </w:rPr>
                  </w:pPr>
                  <w:r>
                    <w:rPr>
                      <w:rFonts w:ascii="宋体" w:hAnsi="宋体" w:eastAsia="宋体" w:cs="宋体"/>
                      <w:color w:val="auto"/>
                      <w:spacing w:val="0"/>
                      <w:sz w:val="21"/>
                      <w:szCs w:val="21"/>
                    </w:rPr>
                    <w:t>本项目</w:t>
                  </w:r>
                </w:p>
              </w:tc>
              <w:tc>
                <w:tcPr>
                  <w:tcW w:w="456" w:type="pct"/>
                  <w:vAlign w:val="center"/>
                </w:tcPr>
                <w:p w14:paraId="20F08596">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宋体" w:hAnsi="宋体" w:eastAsia="宋体" w:cs="宋体"/>
                      <w:color w:val="auto"/>
                      <w:spacing w:val="0"/>
                      <w:sz w:val="21"/>
                      <w:szCs w:val="21"/>
                    </w:rPr>
                  </w:pPr>
                  <w:r>
                    <w:rPr>
                      <w:rFonts w:ascii="宋体" w:hAnsi="宋体" w:eastAsia="宋体" w:cs="宋体"/>
                      <w:color w:val="auto"/>
                      <w:spacing w:val="0"/>
                      <w:sz w:val="21"/>
                      <w:szCs w:val="21"/>
                    </w:rPr>
                    <w:t>符合性</w:t>
                  </w:r>
                </w:p>
              </w:tc>
            </w:tr>
            <w:tr w14:paraId="365DAC1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444" w:type="pct"/>
                  <w:vAlign w:val="center"/>
                </w:tcPr>
                <w:p w14:paraId="5F25E556">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宋体" w:hAnsi="宋体" w:eastAsia="宋体" w:cs="宋体"/>
                      <w:color w:val="auto"/>
                      <w:spacing w:val="0"/>
                      <w:sz w:val="21"/>
                      <w:szCs w:val="21"/>
                      <w:lang w:eastAsia="zh-CN"/>
                    </w:rPr>
                  </w:pPr>
                  <w:r>
                    <w:rPr>
                      <w:rFonts w:hint="eastAsia" w:ascii="宋体" w:hAnsi="宋体" w:cs="宋体"/>
                      <w:color w:val="auto"/>
                      <w:spacing w:val="0"/>
                      <w:sz w:val="21"/>
                      <w:szCs w:val="21"/>
                      <w:lang w:val="en-US" w:eastAsia="zh-CN"/>
                    </w:rPr>
                    <w:t>二</w:t>
                  </w:r>
                </w:p>
              </w:tc>
              <w:tc>
                <w:tcPr>
                  <w:tcW w:w="4555" w:type="pct"/>
                  <w:gridSpan w:val="3"/>
                  <w:vAlign w:val="center"/>
                </w:tcPr>
                <w:p w14:paraId="2859AEF8">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宋体" w:hAnsi="宋体" w:eastAsia="宋体" w:cs="宋体"/>
                      <w:color w:val="auto"/>
                      <w:spacing w:val="0"/>
                      <w:sz w:val="21"/>
                      <w:szCs w:val="21"/>
                      <w:lang w:val="en-US" w:eastAsia="zh-CN"/>
                    </w:rPr>
                  </w:pPr>
                  <w:r>
                    <w:rPr>
                      <w:rFonts w:hint="eastAsia" w:ascii="宋体" w:hAnsi="宋体" w:cs="宋体"/>
                      <w:color w:val="auto"/>
                      <w:spacing w:val="0"/>
                      <w:sz w:val="21"/>
                      <w:szCs w:val="21"/>
                      <w:lang w:val="en-US" w:eastAsia="zh-CN"/>
                    </w:rPr>
                    <w:t>监督管理</w:t>
                  </w:r>
                </w:p>
              </w:tc>
            </w:tr>
            <w:tr w14:paraId="0B2DA2C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444" w:type="pct"/>
                  <w:tcBorders>
                    <w:bottom w:val="single" w:color="auto" w:sz="4" w:space="0"/>
                  </w:tcBorders>
                  <w:vAlign w:val="center"/>
                </w:tcPr>
                <w:p w14:paraId="2B660F81">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宋体" w:hAnsi="宋体" w:eastAsia="宋体" w:cs="宋体"/>
                      <w:color w:val="auto"/>
                      <w:spacing w:val="0"/>
                      <w:sz w:val="21"/>
                      <w:szCs w:val="21"/>
                    </w:rPr>
                  </w:pPr>
                  <w:r>
                    <w:rPr>
                      <w:rFonts w:hint="eastAsia" w:ascii="宋体" w:hAnsi="宋体" w:cs="宋体"/>
                      <w:color w:val="auto"/>
                      <w:spacing w:val="0"/>
                      <w:sz w:val="21"/>
                      <w:szCs w:val="21"/>
                      <w:lang w:val="en-US" w:eastAsia="zh-CN"/>
                    </w:rPr>
                    <w:t>第九条</w:t>
                  </w:r>
                </w:p>
              </w:tc>
              <w:tc>
                <w:tcPr>
                  <w:tcW w:w="2821" w:type="pct"/>
                  <w:tcBorders>
                    <w:bottom w:val="single" w:color="auto" w:sz="4" w:space="0"/>
                  </w:tcBorders>
                  <w:vAlign w:val="center"/>
                </w:tcPr>
                <w:p w14:paraId="048F3DF2">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jc w:val="center"/>
                    <w:textAlignment w:val="auto"/>
                    <w:rPr>
                      <w:rFonts w:ascii="宋体" w:hAnsi="宋体" w:eastAsia="宋体" w:cs="宋体"/>
                      <w:color w:val="auto"/>
                      <w:spacing w:val="0"/>
                      <w:sz w:val="21"/>
                      <w:szCs w:val="21"/>
                    </w:rPr>
                  </w:pPr>
                  <w:r>
                    <w:rPr>
                      <w:rFonts w:hint="eastAsia" w:ascii="宋体" w:hAnsi="宋体" w:eastAsia="宋体" w:cs="宋体"/>
                      <w:color w:val="auto"/>
                      <w:spacing w:val="0"/>
                      <w:sz w:val="21"/>
                      <w:szCs w:val="21"/>
                    </w:rPr>
                    <w:t>建设工业固体废物、危险废物集中贮存、利用、处置设施、场所以及尾矿库，应当符合生态保护红线、环境质量底线、资源利用上线和生态环境准入清单等分区管控要求</w:t>
                  </w:r>
                </w:p>
              </w:tc>
              <w:tc>
                <w:tcPr>
                  <w:tcW w:w="1277" w:type="pct"/>
                  <w:vAlign w:val="center"/>
                </w:tcPr>
                <w:p w14:paraId="5DB57B12">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宋体" w:hAnsi="宋体" w:eastAsia="宋体" w:cs="宋体"/>
                      <w:color w:val="auto"/>
                      <w:spacing w:val="0"/>
                      <w:sz w:val="21"/>
                      <w:szCs w:val="21"/>
                      <w:lang w:val="en-US" w:eastAsia="zh-CN"/>
                    </w:rPr>
                  </w:pPr>
                  <w:r>
                    <w:rPr>
                      <w:rFonts w:ascii="宋体" w:hAnsi="宋体" w:eastAsia="宋体" w:cs="宋体"/>
                      <w:color w:val="auto"/>
                      <w:spacing w:val="0"/>
                      <w:sz w:val="21"/>
                      <w:szCs w:val="21"/>
                    </w:rPr>
                    <w:t>本项</w:t>
                  </w:r>
                  <w:r>
                    <w:rPr>
                      <w:rFonts w:hint="eastAsia" w:ascii="宋体" w:hAnsi="宋体" w:eastAsia="宋体" w:cs="宋体"/>
                      <w:color w:val="auto"/>
                      <w:spacing w:val="0"/>
                      <w:sz w:val="21"/>
                      <w:szCs w:val="21"/>
                    </w:rPr>
                    <w:t>目位于</w:t>
                  </w:r>
                  <w:r>
                    <w:rPr>
                      <w:rFonts w:hint="eastAsia" w:ascii="宋体" w:hAnsi="宋体" w:eastAsia="宋体" w:cs="宋体"/>
                      <w:color w:val="auto"/>
                      <w:spacing w:val="0"/>
                      <w:sz w:val="21"/>
                      <w:szCs w:val="21"/>
                      <w:lang w:val="en-US" w:eastAsia="zh-CN"/>
                    </w:rPr>
                    <w:t>淄博市淄川区罗村镇</w:t>
                  </w:r>
                  <w:r>
                    <w:rPr>
                      <w:rFonts w:hint="eastAsia" w:ascii="宋体" w:hAnsi="宋体" w:eastAsia="宋体" w:cs="宋体"/>
                      <w:color w:val="auto"/>
                      <w:spacing w:val="0"/>
                      <w:sz w:val="21"/>
                      <w:szCs w:val="21"/>
                      <w:lang w:eastAsia="zh-CN"/>
                    </w:rPr>
                    <w:t>，</w:t>
                  </w:r>
                  <w:r>
                    <w:rPr>
                      <w:rFonts w:hint="eastAsia" w:ascii="宋体" w:hAnsi="宋体" w:cs="宋体"/>
                      <w:color w:val="auto"/>
                      <w:spacing w:val="0"/>
                      <w:sz w:val="21"/>
                      <w:szCs w:val="21"/>
                      <w:lang w:val="en-US" w:eastAsia="zh-CN"/>
                    </w:rPr>
                    <w:t>租赁现有闲置厂房，</w:t>
                  </w:r>
                  <w:r>
                    <w:rPr>
                      <w:rFonts w:hint="eastAsia" w:ascii="宋体" w:hAnsi="宋体" w:eastAsia="宋体" w:cs="宋体"/>
                      <w:color w:val="auto"/>
                      <w:spacing w:val="0"/>
                      <w:sz w:val="21"/>
                      <w:szCs w:val="21"/>
                      <w:lang w:val="en-US" w:eastAsia="zh-CN"/>
                    </w:rPr>
                    <w:t>符合分区管控要求</w:t>
                  </w:r>
                </w:p>
              </w:tc>
              <w:tc>
                <w:tcPr>
                  <w:tcW w:w="456" w:type="pct"/>
                  <w:vAlign w:val="center"/>
                </w:tcPr>
                <w:p w14:paraId="28C94B3F">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宋体" w:hAnsi="宋体" w:eastAsia="宋体" w:cs="宋体"/>
                      <w:color w:val="auto"/>
                      <w:spacing w:val="0"/>
                      <w:sz w:val="21"/>
                      <w:szCs w:val="21"/>
                    </w:rPr>
                  </w:pPr>
                  <w:r>
                    <w:rPr>
                      <w:rFonts w:ascii="宋体" w:hAnsi="宋体" w:eastAsia="宋体" w:cs="宋体"/>
                      <w:color w:val="auto"/>
                      <w:spacing w:val="0"/>
                      <w:sz w:val="21"/>
                      <w:szCs w:val="21"/>
                    </w:rPr>
                    <w:t>符合</w:t>
                  </w:r>
                </w:p>
              </w:tc>
            </w:tr>
            <w:tr w14:paraId="2E2A043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943" w:hRule="atLeast"/>
              </w:trPr>
              <w:tc>
                <w:tcPr>
                  <w:tcW w:w="444" w:type="pct"/>
                  <w:vAlign w:val="center"/>
                </w:tcPr>
                <w:p w14:paraId="14106D82">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宋体" w:hAnsi="宋体" w:cs="宋体"/>
                      <w:color w:val="auto"/>
                      <w:spacing w:val="0"/>
                      <w:sz w:val="21"/>
                      <w:szCs w:val="21"/>
                      <w:lang w:val="en-US" w:eastAsia="zh-CN"/>
                    </w:rPr>
                  </w:pPr>
                  <w:r>
                    <w:rPr>
                      <w:rFonts w:hint="eastAsia" w:ascii="宋体" w:hAnsi="宋体" w:cs="宋体"/>
                      <w:color w:val="auto"/>
                      <w:spacing w:val="0"/>
                      <w:sz w:val="21"/>
                      <w:szCs w:val="21"/>
                      <w:lang w:val="en-US" w:eastAsia="zh-CN"/>
                    </w:rPr>
                    <w:t>第十二条</w:t>
                  </w:r>
                </w:p>
              </w:tc>
              <w:tc>
                <w:tcPr>
                  <w:tcW w:w="2821" w:type="pct"/>
                  <w:vAlign w:val="center"/>
                </w:tcPr>
                <w:p w14:paraId="33AA4EB2">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color w:val="auto"/>
                      <w:spacing w:val="0"/>
                      <w:sz w:val="21"/>
                      <w:szCs w:val="21"/>
                    </w:rPr>
                  </w:pPr>
                  <w:r>
                    <w:rPr>
                      <w:rFonts w:hint="eastAsia" w:ascii="宋体" w:hAnsi="宋体" w:eastAsia="宋体" w:cs="宋体"/>
                      <w:color w:val="auto"/>
                      <w:spacing w:val="0"/>
                      <w:sz w:val="21"/>
                      <w:szCs w:val="21"/>
                    </w:rPr>
                    <w:t>新建、改建、扩建产生、贮存、利用、处置固体废物的建设项目，应当依法进行环境影响评价。环境影响评价文件应当对固体废物综合利用和无害化处置方式进行分析，明确收集、贮存、利用、处置方案，并在设计、建设和生产过程中落实环境影响评价文件和审批意见要求。</w:t>
                  </w:r>
                </w:p>
                <w:p w14:paraId="2F2A6219">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color w:val="auto"/>
                      <w:spacing w:val="0"/>
                      <w:sz w:val="21"/>
                      <w:szCs w:val="21"/>
                    </w:rPr>
                  </w:pPr>
                  <w:r>
                    <w:rPr>
                      <w:rFonts w:hint="eastAsia" w:ascii="宋体" w:hAnsi="宋体" w:eastAsia="宋体" w:cs="宋体"/>
                      <w:color w:val="auto"/>
                      <w:spacing w:val="0"/>
                      <w:sz w:val="21"/>
                      <w:szCs w:val="21"/>
                    </w:rPr>
                    <w:t>利用、处置危险废物的建设项目，其环境影响评价文件内容中还应当明确原材料的来源。</w:t>
                  </w:r>
                </w:p>
              </w:tc>
              <w:tc>
                <w:tcPr>
                  <w:tcW w:w="1277" w:type="pct"/>
                  <w:vAlign w:val="center"/>
                </w:tcPr>
                <w:p w14:paraId="44E448B4">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cs="宋体"/>
                      <w:color w:val="auto"/>
                      <w:spacing w:val="0"/>
                      <w:sz w:val="21"/>
                      <w:szCs w:val="21"/>
                      <w:lang w:val="en-US" w:eastAsia="zh-CN"/>
                    </w:rPr>
                  </w:pPr>
                  <w:r>
                    <w:rPr>
                      <w:rFonts w:hint="eastAsia" w:ascii="宋体" w:hAnsi="宋体" w:cs="宋体"/>
                      <w:color w:val="auto"/>
                      <w:spacing w:val="0"/>
                      <w:sz w:val="21"/>
                      <w:szCs w:val="21"/>
                      <w:lang w:val="en-US" w:eastAsia="zh-CN"/>
                    </w:rPr>
                    <w:t>本项目为危废收集项目，现有项目已依法进行环境影响评价，并落实环评文件和审批意见要求</w:t>
                  </w:r>
                </w:p>
                <w:p w14:paraId="1A0E4584">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jc w:val="center"/>
                    <w:textAlignment w:val="auto"/>
                    <w:rPr>
                      <w:rFonts w:hint="default" w:ascii="宋体" w:hAnsi="宋体" w:eastAsia="宋体" w:cs="宋体"/>
                      <w:color w:val="auto"/>
                      <w:spacing w:val="0"/>
                      <w:sz w:val="21"/>
                      <w:szCs w:val="21"/>
                      <w:lang w:val="en-US" w:eastAsia="zh-CN"/>
                    </w:rPr>
                  </w:pPr>
                  <w:r>
                    <w:rPr>
                      <w:rFonts w:hint="eastAsia" w:ascii="宋体" w:hAnsi="宋体" w:cs="宋体"/>
                      <w:color w:val="auto"/>
                      <w:spacing w:val="0"/>
                      <w:sz w:val="21"/>
                      <w:szCs w:val="21"/>
                      <w:lang w:val="en-US" w:eastAsia="zh-CN"/>
                    </w:rPr>
                    <w:t>搬迁项目正在办理环境影响评价。并将落实环评文件和审批意见要求</w:t>
                  </w:r>
                </w:p>
              </w:tc>
              <w:tc>
                <w:tcPr>
                  <w:tcW w:w="456" w:type="pct"/>
                  <w:vAlign w:val="center"/>
                </w:tcPr>
                <w:p w14:paraId="7918EE15">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宋体" w:hAnsi="宋体" w:cs="宋体"/>
                      <w:color w:val="auto"/>
                      <w:spacing w:val="0"/>
                      <w:sz w:val="21"/>
                      <w:szCs w:val="21"/>
                      <w:lang w:val="en-US" w:eastAsia="zh-CN"/>
                    </w:rPr>
                  </w:pPr>
                  <w:r>
                    <w:rPr>
                      <w:rFonts w:hint="eastAsia" w:ascii="宋体" w:hAnsi="宋体" w:cs="宋体"/>
                      <w:color w:val="auto"/>
                      <w:spacing w:val="0"/>
                      <w:sz w:val="21"/>
                      <w:szCs w:val="21"/>
                      <w:lang w:val="en-US" w:eastAsia="zh-CN"/>
                    </w:rPr>
                    <w:t>符合</w:t>
                  </w:r>
                </w:p>
              </w:tc>
            </w:tr>
            <w:tr w14:paraId="19C628E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444" w:type="pct"/>
                  <w:vAlign w:val="center"/>
                </w:tcPr>
                <w:p w14:paraId="7B61438A">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宋体" w:hAnsi="宋体" w:cs="宋体"/>
                      <w:color w:val="auto"/>
                      <w:spacing w:val="0"/>
                      <w:sz w:val="21"/>
                      <w:szCs w:val="21"/>
                      <w:lang w:val="en-US" w:eastAsia="zh-CN"/>
                    </w:rPr>
                  </w:pPr>
                  <w:r>
                    <w:rPr>
                      <w:rFonts w:hint="eastAsia" w:ascii="宋体" w:hAnsi="宋体" w:cs="宋体"/>
                      <w:color w:val="auto"/>
                      <w:spacing w:val="0"/>
                      <w:sz w:val="21"/>
                      <w:szCs w:val="21"/>
                      <w:lang w:val="en-US" w:eastAsia="zh-CN"/>
                    </w:rPr>
                    <w:t>三</w:t>
                  </w:r>
                </w:p>
              </w:tc>
              <w:tc>
                <w:tcPr>
                  <w:tcW w:w="4555" w:type="pct"/>
                  <w:gridSpan w:val="3"/>
                  <w:vAlign w:val="center"/>
                </w:tcPr>
                <w:p w14:paraId="50790AF1">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宋体" w:hAnsi="宋体" w:cs="宋体"/>
                      <w:color w:val="auto"/>
                      <w:spacing w:val="0"/>
                      <w:sz w:val="21"/>
                      <w:szCs w:val="21"/>
                      <w:lang w:val="en-US" w:eastAsia="zh-CN"/>
                    </w:rPr>
                  </w:pPr>
                  <w:r>
                    <w:rPr>
                      <w:rFonts w:hint="eastAsia" w:ascii="宋体" w:hAnsi="宋体" w:cs="宋体"/>
                      <w:color w:val="auto"/>
                      <w:spacing w:val="0"/>
                      <w:sz w:val="21"/>
                      <w:szCs w:val="21"/>
                      <w:lang w:val="en-US" w:eastAsia="zh-CN"/>
                    </w:rPr>
                    <w:t>污染防治</w:t>
                  </w:r>
                </w:p>
              </w:tc>
            </w:tr>
            <w:tr w14:paraId="1E3BEA5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444" w:type="pct"/>
                  <w:vAlign w:val="center"/>
                </w:tcPr>
                <w:p w14:paraId="670B15A5">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宋体" w:hAnsi="宋体" w:cs="宋体"/>
                      <w:color w:val="auto"/>
                      <w:spacing w:val="0"/>
                      <w:sz w:val="21"/>
                      <w:szCs w:val="21"/>
                      <w:lang w:val="en-US" w:eastAsia="zh-CN"/>
                    </w:rPr>
                  </w:pPr>
                  <w:r>
                    <w:rPr>
                      <w:rFonts w:hint="eastAsia" w:ascii="宋体" w:hAnsi="宋体" w:cs="宋体"/>
                      <w:color w:val="auto"/>
                      <w:spacing w:val="0"/>
                      <w:sz w:val="21"/>
                      <w:szCs w:val="21"/>
                      <w:lang w:val="en-US" w:eastAsia="zh-CN"/>
                    </w:rPr>
                    <w:t>第十九条</w:t>
                  </w:r>
                </w:p>
              </w:tc>
              <w:tc>
                <w:tcPr>
                  <w:tcW w:w="2821" w:type="pct"/>
                  <w:vAlign w:val="center"/>
                </w:tcPr>
                <w:p w14:paraId="21045701">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color w:val="auto"/>
                      <w:spacing w:val="0"/>
                      <w:sz w:val="21"/>
                      <w:szCs w:val="21"/>
                      <w:lang w:val="en-US" w:eastAsia="zh-CN"/>
                    </w:rPr>
                  </w:pPr>
                  <w:r>
                    <w:rPr>
                      <w:rFonts w:hint="eastAsia" w:ascii="宋体" w:hAnsi="宋体" w:eastAsia="宋体" w:cs="宋体"/>
                      <w:color w:val="auto"/>
                      <w:spacing w:val="0"/>
                      <w:sz w:val="21"/>
                      <w:szCs w:val="21"/>
                    </w:rPr>
                    <w:t>产生、收集、贮存、运输、利用、处置固体废物的单位和其他生产经营者，应当建立健全固体废物污染环境防治责任制度，明确污染防治措施、环境风险管控要求以及有关责任人员、从业人员的责任，减少固体废物产生量，防止发生环境污染事故</w:t>
                  </w:r>
                </w:p>
              </w:tc>
              <w:tc>
                <w:tcPr>
                  <w:tcW w:w="1277" w:type="pct"/>
                  <w:vAlign w:val="center"/>
                </w:tcPr>
                <w:p w14:paraId="40365928">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jc w:val="center"/>
                    <w:textAlignment w:val="auto"/>
                    <w:rPr>
                      <w:rFonts w:hint="default" w:ascii="宋体" w:hAnsi="宋体" w:cs="宋体"/>
                      <w:color w:val="auto"/>
                      <w:spacing w:val="0"/>
                      <w:sz w:val="21"/>
                      <w:szCs w:val="21"/>
                      <w:lang w:val="en-US" w:eastAsia="zh-CN"/>
                    </w:rPr>
                  </w:pPr>
                  <w:r>
                    <w:rPr>
                      <w:rFonts w:hint="eastAsia" w:ascii="宋体" w:hAnsi="宋体" w:cs="宋体"/>
                      <w:color w:val="auto"/>
                      <w:spacing w:val="0"/>
                      <w:sz w:val="21"/>
                      <w:szCs w:val="21"/>
                      <w:lang w:val="en-US" w:eastAsia="zh-CN"/>
                    </w:rPr>
                    <w:t>企业设专职人员进行环境管理，制定了固体废物污染环境防治责任制度</w:t>
                  </w:r>
                </w:p>
              </w:tc>
              <w:tc>
                <w:tcPr>
                  <w:tcW w:w="456" w:type="pct"/>
                  <w:vAlign w:val="center"/>
                </w:tcPr>
                <w:p w14:paraId="253DC93A">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宋体" w:hAnsi="宋体" w:cs="宋体"/>
                      <w:color w:val="auto"/>
                      <w:spacing w:val="0"/>
                      <w:sz w:val="21"/>
                      <w:szCs w:val="21"/>
                      <w:lang w:val="en-US" w:eastAsia="zh-CN"/>
                    </w:rPr>
                  </w:pPr>
                  <w:r>
                    <w:rPr>
                      <w:rFonts w:hint="eastAsia" w:ascii="宋体" w:hAnsi="宋体" w:cs="宋体"/>
                      <w:color w:val="auto"/>
                      <w:spacing w:val="0"/>
                      <w:sz w:val="21"/>
                      <w:szCs w:val="21"/>
                      <w:lang w:val="en-US" w:eastAsia="zh-CN"/>
                    </w:rPr>
                    <w:t>符合</w:t>
                  </w:r>
                </w:p>
              </w:tc>
            </w:tr>
            <w:tr w14:paraId="75DC898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444" w:type="pct"/>
                  <w:vAlign w:val="center"/>
                </w:tcPr>
                <w:p w14:paraId="4B685683">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宋体" w:hAnsi="宋体" w:cs="宋体"/>
                      <w:color w:val="auto"/>
                      <w:spacing w:val="0"/>
                      <w:sz w:val="21"/>
                      <w:szCs w:val="21"/>
                      <w:lang w:val="en-US" w:eastAsia="zh-CN"/>
                    </w:rPr>
                  </w:pPr>
                  <w:r>
                    <w:rPr>
                      <w:rFonts w:hint="eastAsia" w:ascii="宋体" w:hAnsi="宋体" w:cs="宋体"/>
                      <w:color w:val="auto"/>
                      <w:spacing w:val="0"/>
                      <w:sz w:val="21"/>
                      <w:szCs w:val="21"/>
                      <w:lang w:val="en-US" w:eastAsia="zh-CN"/>
                    </w:rPr>
                    <w:t>第二十条</w:t>
                  </w:r>
                </w:p>
              </w:tc>
              <w:tc>
                <w:tcPr>
                  <w:tcW w:w="2821" w:type="pct"/>
                  <w:vAlign w:val="center"/>
                </w:tcPr>
                <w:p w14:paraId="7DD26426">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color w:val="auto"/>
                      <w:spacing w:val="0"/>
                      <w:sz w:val="21"/>
                      <w:szCs w:val="21"/>
                      <w:lang w:val="en-US" w:eastAsia="zh-CN"/>
                    </w:rPr>
                  </w:pPr>
                  <w:r>
                    <w:rPr>
                      <w:rFonts w:hint="eastAsia" w:ascii="宋体" w:hAnsi="宋体" w:eastAsia="宋体" w:cs="宋体"/>
                      <w:color w:val="auto"/>
                      <w:spacing w:val="0"/>
                      <w:sz w:val="21"/>
                      <w:szCs w:val="21"/>
                    </w:rPr>
                    <w:t>产生、收集、贮存、运输、利用、处置固体废物的单位和其他生产经营者，应当按照有关规定对固体废物污染环境防治设施、设备和场所进行管理和维护，保证其正常运行和使用。</w:t>
                  </w:r>
                </w:p>
              </w:tc>
              <w:tc>
                <w:tcPr>
                  <w:tcW w:w="1277" w:type="pct"/>
                  <w:vAlign w:val="center"/>
                </w:tcPr>
                <w:p w14:paraId="44051ECC">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jc w:val="center"/>
                    <w:textAlignment w:val="auto"/>
                    <w:rPr>
                      <w:rFonts w:hint="default" w:ascii="宋体" w:hAnsi="宋体" w:cs="宋体"/>
                      <w:color w:val="auto"/>
                      <w:spacing w:val="0"/>
                      <w:sz w:val="21"/>
                      <w:szCs w:val="21"/>
                      <w:lang w:val="en-US" w:eastAsia="zh-CN"/>
                    </w:rPr>
                  </w:pPr>
                  <w:r>
                    <w:rPr>
                      <w:rFonts w:hint="eastAsia" w:ascii="宋体" w:hAnsi="宋体" w:cs="宋体"/>
                      <w:color w:val="auto"/>
                      <w:spacing w:val="0"/>
                      <w:sz w:val="21"/>
                      <w:szCs w:val="21"/>
                      <w:lang w:val="en-US" w:eastAsia="zh-CN"/>
                    </w:rPr>
                    <w:t>企业将按照相关要求对设施、设备和场所进行管理和维护，保证正常运行和使用</w:t>
                  </w:r>
                </w:p>
              </w:tc>
              <w:tc>
                <w:tcPr>
                  <w:tcW w:w="456" w:type="pct"/>
                  <w:vAlign w:val="center"/>
                </w:tcPr>
                <w:p w14:paraId="4A4C8E24">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宋体" w:hAnsi="宋体" w:cs="宋体"/>
                      <w:color w:val="auto"/>
                      <w:spacing w:val="0"/>
                      <w:sz w:val="21"/>
                      <w:szCs w:val="21"/>
                      <w:lang w:val="en-US" w:eastAsia="zh-CN"/>
                    </w:rPr>
                  </w:pPr>
                  <w:r>
                    <w:rPr>
                      <w:rFonts w:hint="eastAsia" w:ascii="宋体" w:hAnsi="宋体" w:cs="宋体"/>
                      <w:color w:val="auto"/>
                      <w:spacing w:val="0"/>
                      <w:sz w:val="21"/>
                      <w:szCs w:val="21"/>
                      <w:lang w:val="en-US" w:eastAsia="zh-CN"/>
                    </w:rPr>
                    <w:t>符合</w:t>
                  </w:r>
                </w:p>
              </w:tc>
            </w:tr>
            <w:tr w14:paraId="398DE64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444" w:type="pct"/>
                  <w:vAlign w:val="center"/>
                </w:tcPr>
                <w:p w14:paraId="3CB7ED5B">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宋体" w:hAnsi="宋体" w:cs="宋体"/>
                      <w:color w:val="auto"/>
                      <w:spacing w:val="0"/>
                      <w:sz w:val="21"/>
                      <w:szCs w:val="21"/>
                      <w:lang w:val="en-US" w:eastAsia="zh-CN"/>
                    </w:rPr>
                  </w:pPr>
                  <w:r>
                    <w:rPr>
                      <w:rFonts w:hint="eastAsia" w:ascii="宋体" w:hAnsi="宋体" w:cs="宋体"/>
                      <w:color w:val="auto"/>
                      <w:spacing w:val="0"/>
                      <w:sz w:val="21"/>
                      <w:szCs w:val="21"/>
                      <w:lang w:val="en-US" w:eastAsia="zh-CN"/>
                    </w:rPr>
                    <w:t>第二十三条</w:t>
                  </w:r>
                </w:p>
              </w:tc>
              <w:tc>
                <w:tcPr>
                  <w:tcW w:w="2821" w:type="pct"/>
                  <w:vAlign w:val="center"/>
                </w:tcPr>
                <w:p w14:paraId="685A8152">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color w:val="auto"/>
                      <w:spacing w:val="0"/>
                      <w:sz w:val="21"/>
                      <w:szCs w:val="21"/>
                    </w:rPr>
                  </w:pPr>
                  <w:r>
                    <w:rPr>
                      <w:rFonts w:hint="eastAsia" w:ascii="宋体" w:hAnsi="宋体" w:eastAsia="宋体" w:cs="宋体"/>
                      <w:color w:val="auto"/>
                      <w:spacing w:val="0"/>
                      <w:sz w:val="21"/>
                      <w:szCs w:val="21"/>
                    </w:rPr>
                    <w:t>产生危险废物的单位应当按照国家有关规定制定危险废物管理计划，并在每年1月31日前报所在地人民政府生态环境主管部门备案。</w:t>
                  </w:r>
                </w:p>
                <w:p w14:paraId="7CFC5669">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color w:val="auto"/>
                      <w:spacing w:val="0"/>
                      <w:sz w:val="21"/>
                      <w:szCs w:val="21"/>
                    </w:rPr>
                  </w:pPr>
                  <w:r>
                    <w:rPr>
                      <w:rFonts w:hint="eastAsia" w:ascii="宋体" w:hAnsi="宋体" w:eastAsia="宋体" w:cs="宋体"/>
                      <w:color w:val="auto"/>
                      <w:spacing w:val="0"/>
                      <w:sz w:val="21"/>
                      <w:szCs w:val="21"/>
                    </w:rPr>
                    <w:t>产生危险废物的单位有下列情形之一的，应当对危险废物管理计划进行调整，并自发生改变之日起十个工作日内向所在地人民政府生态环境主管部门重新备案：</w:t>
                  </w:r>
                </w:p>
                <w:p w14:paraId="59597229">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color w:val="auto"/>
                      <w:spacing w:val="0"/>
                      <w:sz w:val="21"/>
                      <w:szCs w:val="21"/>
                    </w:rPr>
                  </w:pPr>
                  <w:r>
                    <w:rPr>
                      <w:rFonts w:hint="eastAsia" w:ascii="宋体" w:hAnsi="宋体" w:eastAsia="宋体" w:cs="宋体"/>
                      <w:color w:val="auto"/>
                      <w:spacing w:val="0"/>
                      <w:sz w:val="21"/>
                      <w:szCs w:val="21"/>
                    </w:rPr>
                    <w:t>（一）产生的危险废物种类发生变化的；（二）危险废物产生数量超过预计数量的百分之二十的；（三）危险废物产生数量少于预计数量的百分之五十的；（四）危险废物自行利用、处置设备、工艺发生变化的；（五）委托他人收集、贮存、利用或者处置危险废物，受托方发生变更的；（六）发生其他重大改变事项的。</w:t>
                  </w:r>
                </w:p>
              </w:tc>
              <w:tc>
                <w:tcPr>
                  <w:tcW w:w="1277" w:type="pct"/>
                  <w:vAlign w:val="center"/>
                </w:tcPr>
                <w:p w14:paraId="13305200">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jc w:val="center"/>
                    <w:textAlignment w:val="auto"/>
                    <w:rPr>
                      <w:rFonts w:hint="default" w:ascii="宋体" w:hAnsi="宋体" w:cs="宋体"/>
                      <w:color w:val="auto"/>
                      <w:spacing w:val="0"/>
                      <w:sz w:val="21"/>
                      <w:szCs w:val="21"/>
                      <w:lang w:val="en-US" w:eastAsia="zh-CN"/>
                    </w:rPr>
                  </w:pPr>
                  <w:r>
                    <w:rPr>
                      <w:rFonts w:hint="eastAsia" w:ascii="宋体" w:hAnsi="宋体" w:cs="宋体"/>
                      <w:color w:val="auto"/>
                      <w:spacing w:val="0"/>
                      <w:sz w:val="21"/>
                      <w:szCs w:val="21"/>
                      <w:lang w:val="en-US" w:eastAsia="zh-CN"/>
                    </w:rPr>
                    <w:t>企业已按照规定制定危险废物管理计划，并进行备案。有调整时按规定时间进行重新备案</w:t>
                  </w:r>
                </w:p>
              </w:tc>
              <w:tc>
                <w:tcPr>
                  <w:tcW w:w="456" w:type="pct"/>
                  <w:vAlign w:val="center"/>
                </w:tcPr>
                <w:p w14:paraId="078599D6">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宋体" w:hAnsi="宋体" w:cs="宋体"/>
                      <w:color w:val="auto"/>
                      <w:spacing w:val="0"/>
                      <w:sz w:val="21"/>
                      <w:szCs w:val="21"/>
                      <w:lang w:val="en-US" w:eastAsia="zh-CN"/>
                    </w:rPr>
                  </w:pPr>
                  <w:r>
                    <w:rPr>
                      <w:rFonts w:hint="eastAsia" w:ascii="宋体" w:hAnsi="宋体" w:cs="宋体"/>
                      <w:color w:val="auto"/>
                      <w:spacing w:val="0"/>
                      <w:sz w:val="21"/>
                      <w:szCs w:val="21"/>
                      <w:lang w:val="en-US" w:eastAsia="zh-CN"/>
                    </w:rPr>
                    <w:t>符合</w:t>
                  </w:r>
                </w:p>
              </w:tc>
            </w:tr>
            <w:tr w14:paraId="1251ED0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444" w:type="pct"/>
                  <w:vAlign w:val="center"/>
                </w:tcPr>
                <w:p w14:paraId="7E2A24D1">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宋体" w:hAnsi="宋体" w:cs="宋体"/>
                      <w:color w:val="auto"/>
                      <w:spacing w:val="0"/>
                      <w:sz w:val="21"/>
                      <w:szCs w:val="21"/>
                      <w:lang w:val="en-US" w:eastAsia="zh-CN"/>
                    </w:rPr>
                  </w:pPr>
                  <w:r>
                    <w:rPr>
                      <w:rFonts w:hint="eastAsia" w:ascii="宋体" w:hAnsi="宋体" w:cs="宋体"/>
                      <w:color w:val="auto"/>
                      <w:spacing w:val="0"/>
                      <w:sz w:val="21"/>
                      <w:szCs w:val="21"/>
                      <w:lang w:val="en-US" w:eastAsia="zh-CN"/>
                    </w:rPr>
                    <w:t>第二十四条</w:t>
                  </w:r>
                </w:p>
              </w:tc>
              <w:tc>
                <w:tcPr>
                  <w:tcW w:w="2821" w:type="pct"/>
                  <w:vAlign w:val="center"/>
                </w:tcPr>
                <w:p w14:paraId="5F4659A8">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color w:val="auto"/>
                      <w:spacing w:val="-6"/>
                      <w:sz w:val="21"/>
                      <w:szCs w:val="21"/>
                    </w:rPr>
                  </w:pPr>
                  <w:r>
                    <w:rPr>
                      <w:rFonts w:hint="eastAsia" w:ascii="宋体" w:hAnsi="宋体" w:eastAsia="宋体" w:cs="宋体"/>
                      <w:color w:val="auto"/>
                      <w:spacing w:val="-6"/>
                      <w:sz w:val="21"/>
                      <w:szCs w:val="21"/>
                    </w:rPr>
                    <w:t>从事收集、贮存、利用、处置危险废物经营活动的单位，应当依法申请取得许可证。</w:t>
                  </w:r>
                </w:p>
                <w:p w14:paraId="25BCF90E">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color w:val="auto"/>
                      <w:spacing w:val="-6"/>
                      <w:sz w:val="21"/>
                      <w:szCs w:val="21"/>
                    </w:rPr>
                  </w:pPr>
                  <w:r>
                    <w:rPr>
                      <w:rFonts w:hint="eastAsia" w:ascii="宋体" w:hAnsi="宋体" w:eastAsia="宋体" w:cs="宋体"/>
                      <w:color w:val="auto"/>
                      <w:spacing w:val="-6"/>
                      <w:sz w:val="21"/>
                      <w:szCs w:val="21"/>
                    </w:rPr>
                    <w:t>禁止伪造、变造、转让许可证。</w:t>
                  </w:r>
                </w:p>
                <w:p w14:paraId="4318D27C">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color w:val="auto"/>
                      <w:spacing w:val="-6"/>
                      <w:sz w:val="21"/>
                      <w:szCs w:val="21"/>
                    </w:rPr>
                  </w:pPr>
                  <w:r>
                    <w:rPr>
                      <w:rFonts w:hint="eastAsia" w:ascii="宋体" w:hAnsi="宋体" w:eastAsia="宋体" w:cs="宋体"/>
                      <w:color w:val="auto"/>
                      <w:spacing w:val="-6"/>
                      <w:sz w:val="21"/>
                      <w:szCs w:val="21"/>
                    </w:rPr>
                    <w:t>禁止无许可证或者未按照许可证规定从事危险废物收集、贮存、利用、处置的经营活动。</w:t>
                  </w:r>
                </w:p>
                <w:p w14:paraId="45FB0989">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color w:val="auto"/>
                      <w:spacing w:val="0"/>
                      <w:sz w:val="21"/>
                      <w:szCs w:val="21"/>
                    </w:rPr>
                  </w:pPr>
                  <w:r>
                    <w:rPr>
                      <w:rFonts w:hint="eastAsia" w:ascii="宋体" w:hAnsi="宋体" w:eastAsia="宋体" w:cs="宋体"/>
                      <w:color w:val="auto"/>
                      <w:spacing w:val="-6"/>
                      <w:sz w:val="21"/>
                      <w:szCs w:val="21"/>
                    </w:rPr>
                    <w:t>禁止将危险废物提供或者委托给无许可证的单位或者其他生产经营者从事收集、贮存、利用、处置活动。</w:t>
                  </w:r>
                </w:p>
              </w:tc>
              <w:tc>
                <w:tcPr>
                  <w:tcW w:w="1277" w:type="pct"/>
                  <w:vAlign w:val="center"/>
                </w:tcPr>
                <w:p w14:paraId="7701B2F1">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jc w:val="center"/>
                    <w:textAlignment w:val="auto"/>
                    <w:rPr>
                      <w:rFonts w:hint="default" w:ascii="宋体" w:hAnsi="宋体" w:eastAsia="宋体" w:cs="宋体"/>
                      <w:color w:val="auto"/>
                      <w:spacing w:val="0"/>
                      <w:sz w:val="21"/>
                      <w:szCs w:val="21"/>
                      <w:lang w:val="en-US" w:eastAsia="zh-CN"/>
                    </w:rPr>
                  </w:pPr>
                  <w:r>
                    <w:rPr>
                      <w:rFonts w:hint="eastAsia" w:ascii="宋体" w:hAnsi="宋体" w:cs="宋体"/>
                      <w:color w:val="auto"/>
                      <w:spacing w:val="0"/>
                      <w:sz w:val="21"/>
                      <w:szCs w:val="21"/>
                      <w:lang w:val="en-US" w:eastAsia="zh-CN"/>
                    </w:rPr>
                    <w:t>企业已取得危险废物经营许可证，并按照规定经营</w:t>
                  </w:r>
                </w:p>
              </w:tc>
              <w:tc>
                <w:tcPr>
                  <w:tcW w:w="456" w:type="pct"/>
                  <w:vAlign w:val="center"/>
                </w:tcPr>
                <w:p w14:paraId="5831DFF1">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宋体" w:hAnsi="宋体" w:cs="宋体"/>
                      <w:color w:val="auto"/>
                      <w:spacing w:val="0"/>
                      <w:sz w:val="21"/>
                      <w:szCs w:val="21"/>
                      <w:lang w:val="en-US" w:eastAsia="zh-CN"/>
                    </w:rPr>
                  </w:pPr>
                  <w:r>
                    <w:rPr>
                      <w:rFonts w:hint="eastAsia" w:ascii="宋体" w:hAnsi="宋体" w:cs="宋体"/>
                      <w:color w:val="auto"/>
                      <w:spacing w:val="0"/>
                      <w:sz w:val="21"/>
                      <w:szCs w:val="21"/>
                      <w:lang w:val="en-US" w:eastAsia="zh-CN"/>
                    </w:rPr>
                    <w:t>符合</w:t>
                  </w:r>
                </w:p>
              </w:tc>
            </w:tr>
            <w:tr w14:paraId="413149E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444" w:type="pct"/>
                  <w:tcBorders>
                    <w:bottom w:val="single" w:color="auto" w:sz="4" w:space="0"/>
                  </w:tcBorders>
                  <w:vAlign w:val="center"/>
                </w:tcPr>
                <w:p w14:paraId="54B874E9">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宋体" w:hAnsi="宋体" w:cs="宋体"/>
                      <w:color w:val="auto"/>
                      <w:spacing w:val="0"/>
                      <w:sz w:val="21"/>
                      <w:szCs w:val="21"/>
                      <w:lang w:val="en-US" w:eastAsia="zh-CN"/>
                    </w:rPr>
                  </w:pPr>
                  <w:r>
                    <w:rPr>
                      <w:rFonts w:hint="eastAsia" w:ascii="宋体" w:hAnsi="宋体" w:cs="宋体"/>
                      <w:color w:val="auto"/>
                      <w:spacing w:val="0"/>
                      <w:sz w:val="21"/>
                      <w:szCs w:val="21"/>
                      <w:lang w:val="en-US" w:eastAsia="zh-CN"/>
                    </w:rPr>
                    <w:t>第三十八条</w:t>
                  </w:r>
                </w:p>
              </w:tc>
              <w:tc>
                <w:tcPr>
                  <w:tcW w:w="2821" w:type="pct"/>
                  <w:tcBorders>
                    <w:bottom w:val="single" w:color="auto" w:sz="4" w:space="0"/>
                  </w:tcBorders>
                  <w:vAlign w:val="center"/>
                </w:tcPr>
                <w:p w14:paraId="7B534CE0">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color w:val="auto"/>
                      <w:spacing w:val="0"/>
                      <w:sz w:val="21"/>
                      <w:szCs w:val="21"/>
                    </w:rPr>
                  </w:pPr>
                  <w:r>
                    <w:rPr>
                      <w:rFonts w:hint="eastAsia" w:ascii="宋体" w:hAnsi="宋体" w:eastAsia="宋体" w:cs="宋体"/>
                      <w:color w:val="auto"/>
                      <w:spacing w:val="0"/>
                      <w:sz w:val="21"/>
                      <w:szCs w:val="21"/>
                    </w:rPr>
                    <w:t>产生、收集、贮存、利用、处置危险废物的单位终止或者搬迁前，应当制定并实施污染防治工作方案。污染防治工作方案应当明确现有固体废物的种类、数量、地点、处置措施和污染治</w:t>
                  </w:r>
                  <w:r>
                    <w:rPr>
                      <w:rFonts w:hint="eastAsia" w:ascii="宋体" w:hAnsi="宋体" w:eastAsia="宋体" w:cs="宋体"/>
                      <w:color w:val="auto"/>
                      <w:spacing w:val="0"/>
                      <w:sz w:val="21"/>
                      <w:szCs w:val="21"/>
                      <w:lang w:val="en-US" w:eastAsia="zh-CN"/>
                    </w:rPr>
                    <w:t>理、环境修复措施以及污染防</w:t>
                  </w:r>
                  <w:r>
                    <w:rPr>
                      <w:rFonts w:hint="eastAsia" w:ascii="宋体" w:hAnsi="宋体" w:eastAsia="宋体" w:cs="宋体"/>
                      <w:color w:val="auto"/>
                      <w:spacing w:val="0"/>
                      <w:sz w:val="21"/>
                      <w:szCs w:val="21"/>
                    </w:rPr>
                    <w:t>治资金安排等内容。</w:t>
                  </w:r>
                </w:p>
                <w:p w14:paraId="21E3D586">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color w:val="auto"/>
                      <w:spacing w:val="0"/>
                      <w:sz w:val="21"/>
                      <w:szCs w:val="21"/>
                    </w:rPr>
                  </w:pPr>
                  <w:r>
                    <w:rPr>
                      <w:rFonts w:hint="eastAsia" w:ascii="宋体" w:hAnsi="宋体" w:eastAsia="宋体" w:cs="宋体"/>
                      <w:color w:val="auto"/>
                      <w:spacing w:val="0"/>
                      <w:sz w:val="21"/>
                      <w:szCs w:val="21"/>
                    </w:rPr>
                    <w:t>污染防治工作方案应当在终止或者搬迁十五日前报所在地人民政府生态环境主管部门备案。</w:t>
                  </w:r>
                </w:p>
              </w:tc>
              <w:tc>
                <w:tcPr>
                  <w:tcW w:w="1277" w:type="pct"/>
                  <w:vAlign w:val="center"/>
                </w:tcPr>
                <w:p w14:paraId="6201A5DA">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jc w:val="center"/>
                    <w:textAlignment w:val="auto"/>
                    <w:rPr>
                      <w:rFonts w:hint="default" w:ascii="宋体" w:hAnsi="宋体" w:eastAsia="宋体" w:cs="宋体"/>
                      <w:color w:val="auto"/>
                      <w:spacing w:val="0"/>
                      <w:sz w:val="21"/>
                      <w:szCs w:val="21"/>
                      <w:lang w:val="en-US" w:eastAsia="zh-CN"/>
                    </w:rPr>
                  </w:pPr>
                  <w:r>
                    <w:rPr>
                      <w:rFonts w:hint="eastAsia" w:ascii="宋体" w:hAnsi="宋体" w:cs="宋体"/>
                      <w:color w:val="auto"/>
                      <w:spacing w:val="0"/>
                      <w:sz w:val="21"/>
                      <w:szCs w:val="21"/>
                      <w:lang w:val="en-US" w:eastAsia="zh-CN"/>
                    </w:rPr>
                    <w:t>企业搬迁将按要求</w:t>
                  </w:r>
                  <w:r>
                    <w:rPr>
                      <w:rFonts w:hint="eastAsia" w:ascii="宋体" w:hAnsi="宋体" w:eastAsia="宋体" w:cs="宋体"/>
                      <w:color w:val="auto"/>
                      <w:spacing w:val="0"/>
                      <w:sz w:val="21"/>
                      <w:szCs w:val="21"/>
                    </w:rPr>
                    <w:t>制定并实施污染防治工作方案。</w:t>
                  </w:r>
                </w:p>
              </w:tc>
              <w:tc>
                <w:tcPr>
                  <w:tcW w:w="456" w:type="pct"/>
                  <w:vAlign w:val="center"/>
                </w:tcPr>
                <w:p w14:paraId="0DDA0338">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宋体" w:hAnsi="宋体" w:cs="宋体"/>
                      <w:color w:val="auto"/>
                      <w:spacing w:val="0"/>
                      <w:sz w:val="21"/>
                      <w:szCs w:val="21"/>
                      <w:lang w:val="en-US" w:eastAsia="zh-CN"/>
                    </w:rPr>
                  </w:pPr>
                  <w:r>
                    <w:rPr>
                      <w:rFonts w:hint="eastAsia" w:ascii="宋体" w:hAnsi="宋体" w:cs="宋体"/>
                      <w:color w:val="auto"/>
                      <w:spacing w:val="0"/>
                      <w:sz w:val="21"/>
                      <w:szCs w:val="21"/>
                      <w:lang w:val="en-US" w:eastAsia="zh-CN"/>
                    </w:rPr>
                    <w:t>符合</w:t>
                  </w:r>
                </w:p>
              </w:tc>
            </w:tr>
          </w:tbl>
          <w:p w14:paraId="3BA6001C">
            <w:pPr>
              <w:keepNext w:val="0"/>
              <w:keepLines w:val="0"/>
              <w:pageBreakBefore w:val="0"/>
              <w:widowControl w:val="0"/>
              <w:numPr>
                <w:ilvl w:val="0"/>
                <w:numId w:val="8"/>
              </w:numPr>
              <w:kinsoku/>
              <w:wordWrap/>
              <w:overflowPunct/>
              <w:topLinePunct w:val="0"/>
              <w:autoSpaceDE/>
              <w:autoSpaceDN/>
              <w:bidi w:val="0"/>
              <w:adjustRightInd/>
              <w:snapToGrid/>
              <w:spacing w:line="360" w:lineRule="auto"/>
              <w:ind w:left="0" w:leftChars="0" w:firstLine="425" w:firstLineChars="0"/>
              <w:textAlignment w:val="auto"/>
              <w:rPr>
                <w:rFonts w:hint="eastAsia" w:ascii="Times New Roman" w:hAnsi="Times New Roman" w:eastAsia="宋体" w:cs="Times New Roman"/>
                <w:color w:val="auto"/>
                <w:spacing w:val="0"/>
                <w:sz w:val="24"/>
                <w:szCs w:val="24"/>
                <w:lang w:val="en-US" w:eastAsia="zh-CN"/>
              </w:rPr>
            </w:pPr>
            <w:r>
              <w:rPr>
                <w:rFonts w:hint="eastAsia" w:ascii="Times New Roman" w:hAnsi="Times New Roman" w:eastAsia="宋体" w:cs="Times New Roman"/>
                <w:color w:val="auto"/>
                <w:spacing w:val="0"/>
                <w:sz w:val="24"/>
                <w:szCs w:val="24"/>
                <w:lang w:val="en-US" w:eastAsia="zh-CN"/>
              </w:rPr>
              <w:t>与</w:t>
            </w:r>
            <w:r>
              <w:rPr>
                <w:rFonts w:hint="eastAsia" w:cs="Times New Roman"/>
                <w:color w:val="auto"/>
                <w:spacing w:val="0"/>
                <w:sz w:val="24"/>
                <w:szCs w:val="24"/>
                <w:lang w:val="en-US" w:eastAsia="zh-CN"/>
              </w:rPr>
              <w:t>《</w:t>
            </w:r>
            <w:r>
              <w:rPr>
                <w:rFonts w:hint="eastAsia" w:ascii="Times New Roman" w:hAnsi="Times New Roman" w:eastAsia="宋体" w:cs="Times New Roman"/>
                <w:color w:val="auto"/>
                <w:spacing w:val="0"/>
                <w:sz w:val="24"/>
                <w:szCs w:val="24"/>
                <w:lang w:val="en-US" w:eastAsia="zh-CN"/>
              </w:rPr>
              <w:t>山东省生态环境厅关于开展危险废物集中收集贮存转运试点的指导意见》（鲁环发〔2019〕142号）符合性分析</w:t>
            </w:r>
          </w:p>
          <w:p w14:paraId="0DFF54E4">
            <w:pPr>
              <w:keepNext w:val="0"/>
              <w:keepLines w:val="0"/>
              <w:pageBreakBefore w:val="0"/>
              <w:widowControl w:val="0"/>
              <w:numPr>
                <w:ilvl w:val="0"/>
                <w:numId w:val="9"/>
              </w:numPr>
              <w:kinsoku/>
              <w:wordWrap/>
              <w:overflowPunct/>
              <w:topLinePunct w:val="0"/>
              <w:autoSpaceDE w:val="0"/>
              <w:autoSpaceDN w:val="0"/>
              <w:bidi w:val="0"/>
              <w:adjustRightInd w:val="0"/>
              <w:snapToGrid/>
              <w:spacing w:line="360" w:lineRule="auto"/>
              <w:ind w:left="3150" w:leftChars="0" w:hanging="3110" w:firstLineChars="0"/>
              <w:jc w:val="center"/>
              <w:textAlignment w:val="auto"/>
              <w:rPr>
                <w:rFonts w:hint="eastAsia" w:ascii="宋体" w:hAnsi="宋体" w:eastAsia="宋体" w:cs="宋体"/>
                <w:b/>
                <w:bCs/>
                <w:color w:val="auto"/>
                <w:kern w:val="0"/>
                <w:sz w:val="24"/>
                <w:szCs w:val="24"/>
                <w:lang w:val="en-US" w:eastAsia="zh-CN" w:bidi="ar"/>
              </w:rPr>
            </w:pPr>
            <w:r>
              <w:rPr>
                <w:rFonts w:hint="eastAsia" w:ascii="宋体" w:hAnsi="宋体" w:eastAsia="宋体" w:cs="宋体"/>
                <w:b/>
                <w:bCs/>
                <w:color w:val="auto"/>
                <w:kern w:val="0"/>
                <w:sz w:val="24"/>
                <w:szCs w:val="24"/>
                <w:lang w:val="en-US" w:eastAsia="zh-CN" w:bidi="ar"/>
              </w:rPr>
              <w:t>与鲁环发〔2019〕142号相关要求符合性</w:t>
            </w:r>
          </w:p>
          <w:tbl>
            <w:tblPr>
              <w:tblStyle w:val="89"/>
              <w:tblW w:w="4978"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636"/>
              <w:gridCol w:w="4019"/>
              <w:gridCol w:w="2366"/>
              <w:gridCol w:w="610"/>
            </w:tblGrid>
            <w:tr w14:paraId="6C917B8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3006" w:type="pct"/>
                  <w:gridSpan w:val="2"/>
                  <w:vAlign w:val="center"/>
                </w:tcPr>
                <w:p w14:paraId="01F25E26">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lang w:val="en-US" w:eastAsia="zh-CN"/>
                    </w:rPr>
                    <w:t>鲁环发〔2019〕142号</w:t>
                  </w:r>
                  <w:r>
                    <w:rPr>
                      <w:rFonts w:hint="default" w:ascii="Times New Roman" w:hAnsi="Times New Roman" w:eastAsia="宋体" w:cs="Times New Roman"/>
                      <w:color w:val="auto"/>
                      <w:spacing w:val="0"/>
                      <w:sz w:val="21"/>
                      <w:szCs w:val="21"/>
                    </w:rPr>
                    <w:t>要求</w:t>
                  </w:r>
                </w:p>
              </w:tc>
              <w:tc>
                <w:tcPr>
                  <w:tcW w:w="1571" w:type="pct"/>
                  <w:vAlign w:val="center"/>
                </w:tcPr>
                <w:p w14:paraId="51BE4D16">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项目相关</w:t>
                  </w:r>
                </w:p>
              </w:tc>
              <w:tc>
                <w:tcPr>
                  <w:tcW w:w="421" w:type="pct"/>
                  <w:vAlign w:val="center"/>
                </w:tcPr>
                <w:p w14:paraId="6362B43F">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符合性</w:t>
                  </w:r>
                </w:p>
              </w:tc>
            </w:tr>
            <w:tr w14:paraId="4DB0D90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3006" w:type="pct"/>
                  <w:gridSpan w:val="2"/>
                  <w:vAlign w:val="center"/>
                </w:tcPr>
                <w:p w14:paraId="60EE83FA">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left"/>
                    <w:textAlignment w:val="auto"/>
                    <w:rPr>
                      <w:rFonts w:hint="eastAsia" w:cs="Times New Roman"/>
                      <w:color w:val="auto"/>
                      <w:spacing w:val="0"/>
                      <w:sz w:val="21"/>
                      <w:szCs w:val="21"/>
                      <w:lang w:val="en-US" w:eastAsia="zh-CN"/>
                    </w:rPr>
                  </w:pPr>
                  <w:r>
                    <w:rPr>
                      <w:rFonts w:hint="eastAsia" w:cs="Times New Roman"/>
                      <w:color w:val="auto"/>
                      <w:spacing w:val="0"/>
                      <w:sz w:val="21"/>
                      <w:szCs w:val="21"/>
                      <w:lang w:val="en-US" w:eastAsia="zh-CN"/>
                    </w:rPr>
                    <w:t>（二）收集范围及种类。收集范围为颁发许可的设区的市行政区域内，原则上不允许跨设区的市收集。除废矿物油和铅蓄电池外，年收集总规模原则上不大于10000吨。</w:t>
                  </w:r>
                </w:p>
                <w:p w14:paraId="7656F813">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left"/>
                    <w:textAlignment w:val="auto"/>
                    <w:rPr>
                      <w:rFonts w:hint="eastAsia" w:cs="Times New Roman"/>
                      <w:color w:val="auto"/>
                      <w:spacing w:val="0"/>
                      <w:sz w:val="21"/>
                      <w:szCs w:val="21"/>
                      <w:lang w:val="en-US" w:eastAsia="zh-CN"/>
                    </w:rPr>
                  </w:pPr>
                  <w:r>
                    <w:rPr>
                      <w:rFonts w:hint="eastAsia" w:cs="Times New Roman"/>
                      <w:color w:val="auto"/>
                      <w:spacing w:val="0"/>
                      <w:sz w:val="21"/>
                      <w:szCs w:val="21"/>
                      <w:lang w:val="en-US" w:eastAsia="zh-CN"/>
                    </w:rPr>
                    <w:t>仅限收集年产生危险废物50吨以下企业、实验室危险废物产生单位、机动车维修拆解单位产生且自愿委托的危险废物，废荧光灯管、废硒鼓及其它垃圾分类产生的家庭源危险废物原则上不受产废单位年产生量的限制。</w:t>
                  </w:r>
                </w:p>
                <w:p w14:paraId="5E7E0259">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left"/>
                    <w:textAlignment w:val="auto"/>
                    <w:rPr>
                      <w:rFonts w:hint="default" w:ascii="Times New Roman" w:hAnsi="Times New Roman" w:eastAsia="宋体" w:cs="Times New Roman"/>
                      <w:color w:val="auto"/>
                      <w:spacing w:val="0"/>
                      <w:sz w:val="21"/>
                      <w:szCs w:val="21"/>
                    </w:rPr>
                  </w:pPr>
                  <w:r>
                    <w:rPr>
                      <w:rFonts w:hint="eastAsia" w:cs="Times New Roman"/>
                      <w:color w:val="auto"/>
                      <w:spacing w:val="0"/>
                      <w:sz w:val="21"/>
                      <w:szCs w:val="21"/>
                      <w:lang w:val="en-US" w:eastAsia="zh-CN"/>
                    </w:rPr>
                    <w:t>严禁收集、贮存感染性、废弃剧毒化学品及有关行政管理部门认为不宜收集、贮存的危险废物；严禁收集无明确利用处置途径的危险废物。</w:t>
                  </w:r>
                </w:p>
              </w:tc>
              <w:tc>
                <w:tcPr>
                  <w:tcW w:w="1571" w:type="pct"/>
                  <w:vAlign w:val="center"/>
                </w:tcPr>
                <w:p w14:paraId="7FB695C8">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cs="Times New Roman"/>
                      <w:color w:val="auto"/>
                      <w:spacing w:val="0"/>
                      <w:sz w:val="21"/>
                      <w:szCs w:val="21"/>
                      <w:lang w:val="en-US" w:eastAsia="zh-CN"/>
                    </w:rPr>
                  </w:pPr>
                  <w:r>
                    <w:rPr>
                      <w:rFonts w:hint="eastAsia" w:cs="Times New Roman"/>
                      <w:color w:val="auto"/>
                      <w:spacing w:val="0"/>
                      <w:sz w:val="21"/>
                      <w:szCs w:val="21"/>
                      <w:lang w:val="en-US" w:eastAsia="zh-CN"/>
                    </w:rPr>
                    <w:t>本项目年收集总规模不大于10000吨，仅收集年产生危险废物50吨以下企业、实验室危险废物产生单位、机动车维修拆解单位产生且自愿委托的危险废物。</w:t>
                  </w:r>
                </w:p>
                <w:p w14:paraId="7D71E8CC">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cs="Times New Roman"/>
                      <w:color w:val="auto"/>
                      <w:spacing w:val="0"/>
                      <w:sz w:val="21"/>
                      <w:szCs w:val="21"/>
                      <w:lang w:val="en-US" w:eastAsia="zh-CN"/>
                    </w:rPr>
                  </w:pPr>
                  <w:r>
                    <w:rPr>
                      <w:rFonts w:hint="eastAsia" w:cs="Times New Roman"/>
                      <w:color w:val="auto"/>
                      <w:spacing w:val="0"/>
                      <w:sz w:val="21"/>
                      <w:szCs w:val="21"/>
                      <w:lang w:val="en-US" w:eastAsia="zh-CN"/>
                    </w:rPr>
                    <w:t>不收集感染性、废弃剧毒化学品及有关行政管理部门认为不宜收集、贮存的危险废物；不收集无明确利用处置途径的危险废物。</w:t>
                  </w:r>
                </w:p>
              </w:tc>
              <w:tc>
                <w:tcPr>
                  <w:tcW w:w="421" w:type="pct"/>
                  <w:vAlign w:val="center"/>
                </w:tcPr>
                <w:p w14:paraId="3785C81C">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符合</w:t>
                  </w:r>
                </w:p>
              </w:tc>
            </w:tr>
            <w:tr w14:paraId="6177CB1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352" w:type="pct"/>
                  <w:vMerge w:val="restart"/>
                  <w:vAlign w:val="center"/>
                </w:tcPr>
                <w:p w14:paraId="7EE54AAE">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0"/>
                      <w:sz w:val="21"/>
                      <w:szCs w:val="21"/>
                    </w:rPr>
                  </w:pPr>
                  <w:r>
                    <w:rPr>
                      <w:rFonts w:hint="eastAsia" w:cs="Times New Roman"/>
                      <w:color w:val="auto"/>
                      <w:spacing w:val="0"/>
                      <w:sz w:val="21"/>
                      <w:szCs w:val="21"/>
                      <w:lang w:val="en-US" w:eastAsia="zh-CN"/>
                    </w:rPr>
                    <w:t>（四）试点要求。</w:t>
                  </w:r>
                </w:p>
              </w:tc>
              <w:tc>
                <w:tcPr>
                  <w:tcW w:w="2653" w:type="pct"/>
                  <w:vAlign w:val="center"/>
                </w:tcPr>
                <w:p w14:paraId="439E9921">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left"/>
                    <w:textAlignment w:val="auto"/>
                    <w:rPr>
                      <w:rFonts w:hint="default" w:cs="Times New Roman"/>
                      <w:color w:val="auto"/>
                      <w:spacing w:val="0"/>
                      <w:sz w:val="21"/>
                      <w:szCs w:val="21"/>
                      <w:lang w:val="en-US" w:eastAsia="zh-CN"/>
                    </w:rPr>
                  </w:pPr>
                  <w:r>
                    <w:rPr>
                      <w:rFonts w:hint="eastAsia" w:cs="Times New Roman"/>
                      <w:color w:val="auto"/>
                      <w:spacing w:val="0"/>
                      <w:sz w:val="21"/>
                      <w:szCs w:val="21"/>
                      <w:lang w:val="en-US" w:eastAsia="zh-CN"/>
                    </w:rPr>
                    <w:t>1.至少有1名环境工程专业或者相关专业中级以上职称，并有3年以上固体废物污染管理经历的技术人员。</w:t>
                  </w:r>
                </w:p>
              </w:tc>
              <w:tc>
                <w:tcPr>
                  <w:tcW w:w="1571" w:type="pct"/>
                  <w:vAlign w:val="center"/>
                </w:tcPr>
                <w:p w14:paraId="4D33F7B3">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left"/>
                    <w:textAlignment w:val="auto"/>
                    <w:rPr>
                      <w:rFonts w:hint="default" w:cs="Times New Roman"/>
                      <w:color w:val="auto"/>
                      <w:spacing w:val="0"/>
                      <w:sz w:val="21"/>
                      <w:szCs w:val="21"/>
                      <w:lang w:val="en-US" w:eastAsia="zh-CN"/>
                    </w:rPr>
                  </w:pPr>
                  <w:r>
                    <w:rPr>
                      <w:rFonts w:hint="eastAsia" w:cs="Times New Roman"/>
                      <w:color w:val="auto"/>
                      <w:spacing w:val="0"/>
                      <w:sz w:val="21"/>
                      <w:szCs w:val="21"/>
                      <w:lang w:val="en-US" w:eastAsia="zh-CN"/>
                    </w:rPr>
                    <w:t>企业已配备符合要求的技术人员。</w:t>
                  </w:r>
                </w:p>
              </w:tc>
              <w:tc>
                <w:tcPr>
                  <w:tcW w:w="421" w:type="pct"/>
                  <w:vAlign w:val="center"/>
                </w:tcPr>
                <w:p w14:paraId="50E94D53">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符合</w:t>
                  </w:r>
                </w:p>
              </w:tc>
            </w:tr>
            <w:tr w14:paraId="3358363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352" w:type="pct"/>
                  <w:vMerge w:val="continue"/>
                  <w:vAlign w:val="center"/>
                </w:tcPr>
                <w:p w14:paraId="1C6010C3">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cs="Times New Roman"/>
                      <w:color w:val="auto"/>
                      <w:spacing w:val="0"/>
                      <w:sz w:val="21"/>
                      <w:szCs w:val="21"/>
                      <w:lang w:val="en-US" w:eastAsia="zh-CN"/>
                    </w:rPr>
                  </w:pPr>
                </w:p>
              </w:tc>
              <w:tc>
                <w:tcPr>
                  <w:tcW w:w="2653" w:type="pct"/>
                  <w:vAlign w:val="center"/>
                </w:tcPr>
                <w:p w14:paraId="6308DC26">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left"/>
                    <w:textAlignment w:val="auto"/>
                    <w:rPr>
                      <w:rFonts w:hint="default" w:cs="Times New Roman"/>
                      <w:color w:val="auto"/>
                      <w:spacing w:val="0"/>
                      <w:sz w:val="21"/>
                      <w:szCs w:val="21"/>
                      <w:lang w:val="en-US" w:eastAsia="zh-CN"/>
                    </w:rPr>
                  </w:pPr>
                  <w:r>
                    <w:rPr>
                      <w:rFonts w:hint="eastAsia" w:cs="Times New Roman"/>
                      <w:color w:val="auto"/>
                      <w:spacing w:val="0"/>
                      <w:sz w:val="21"/>
                      <w:szCs w:val="21"/>
                      <w:lang w:val="en-US" w:eastAsia="zh-CN"/>
                    </w:rPr>
                    <w:t>2.收集、贮存的范围、规模、危险废物类别不得超过许可要求。须与利用处置单位签订接受意向书或者协议书并投保环境污染责任险，及时将收集的危险废物委托给有资质单位利用处置，严禁将危险废物转移至无资质单位。最长贮存期限不得超过6个月，最大贮存量不大于有效库容的50%。</w:t>
                  </w:r>
                </w:p>
              </w:tc>
              <w:tc>
                <w:tcPr>
                  <w:tcW w:w="1571" w:type="pct"/>
                  <w:vAlign w:val="center"/>
                </w:tcPr>
                <w:p w14:paraId="05164B1E">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left"/>
                    <w:textAlignment w:val="auto"/>
                    <w:rPr>
                      <w:rFonts w:hint="default" w:cs="Times New Roman"/>
                      <w:color w:val="auto"/>
                      <w:spacing w:val="0"/>
                      <w:sz w:val="21"/>
                      <w:szCs w:val="21"/>
                      <w:lang w:val="en-US" w:eastAsia="zh-CN"/>
                    </w:rPr>
                  </w:pPr>
                  <w:r>
                    <w:rPr>
                      <w:rFonts w:hint="eastAsia" w:cs="Times New Roman"/>
                      <w:color w:val="auto"/>
                      <w:spacing w:val="0"/>
                      <w:sz w:val="21"/>
                      <w:szCs w:val="21"/>
                      <w:lang w:val="en-US" w:eastAsia="zh-CN"/>
                    </w:rPr>
                    <w:t>企业按许可要求进行收集、贮存。并与利用处置单位签订合同，利用处置单位具有符合要求的类别和规模。库内危废最长贮存期限不得超过6个月，最大贮存量不大于有效库容的50%。</w:t>
                  </w:r>
                </w:p>
              </w:tc>
              <w:tc>
                <w:tcPr>
                  <w:tcW w:w="421" w:type="pct"/>
                  <w:vAlign w:val="center"/>
                </w:tcPr>
                <w:p w14:paraId="4EAF2A17">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符合</w:t>
                  </w:r>
                </w:p>
              </w:tc>
            </w:tr>
            <w:tr w14:paraId="0794213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352" w:type="pct"/>
                  <w:vMerge w:val="continue"/>
                  <w:vAlign w:val="center"/>
                </w:tcPr>
                <w:p w14:paraId="01846ED8">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cs="Times New Roman"/>
                      <w:color w:val="auto"/>
                      <w:spacing w:val="0"/>
                      <w:sz w:val="21"/>
                      <w:szCs w:val="21"/>
                      <w:lang w:val="en-US" w:eastAsia="zh-CN"/>
                    </w:rPr>
                  </w:pPr>
                </w:p>
              </w:tc>
              <w:tc>
                <w:tcPr>
                  <w:tcW w:w="2653" w:type="pct"/>
                  <w:vAlign w:val="center"/>
                </w:tcPr>
                <w:p w14:paraId="29BD95BE">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left"/>
                    <w:textAlignment w:val="auto"/>
                    <w:rPr>
                      <w:rFonts w:hint="default" w:cs="Times New Roman"/>
                      <w:color w:val="auto"/>
                      <w:spacing w:val="0"/>
                      <w:sz w:val="21"/>
                      <w:szCs w:val="21"/>
                      <w:lang w:val="en-US" w:eastAsia="zh-CN"/>
                    </w:rPr>
                  </w:pPr>
                  <w:r>
                    <w:rPr>
                      <w:rFonts w:hint="eastAsia" w:cs="Times New Roman"/>
                      <w:color w:val="auto"/>
                      <w:spacing w:val="0"/>
                      <w:sz w:val="21"/>
                      <w:szCs w:val="21"/>
                      <w:lang w:val="en-US" w:eastAsia="zh-CN"/>
                    </w:rPr>
                    <w:t>3.具有完善的环保手续，有符合国家或者地方环境保护标准和安全要求的贮存设施、包装容器，张贴危险废物标志、标识；有防止危险废物贮存区域的废水流入其他区域或者环境中的措施；有防止雨水侵入危险废物贮存区域的措施（如排水沟或者阻水堤）；贮存产生挥发性气体的，贮存库要有挥发性气体收集处理设施。</w:t>
                  </w:r>
                </w:p>
              </w:tc>
              <w:tc>
                <w:tcPr>
                  <w:tcW w:w="1571" w:type="pct"/>
                  <w:vAlign w:val="center"/>
                </w:tcPr>
                <w:p w14:paraId="1BA3A558">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left"/>
                    <w:textAlignment w:val="auto"/>
                    <w:rPr>
                      <w:rFonts w:hint="default" w:cs="Times New Roman"/>
                      <w:color w:val="auto"/>
                      <w:spacing w:val="0"/>
                      <w:sz w:val="21"/>
                      <w:szCs w:val="21"/>
                      <w:lang w:val="en-US" w:eastAsia="zh-CN"/>
                    </w:rPr>
                  </w:pPr>
                  <w:r>
                    <w:rPr>
                      <w:rFonts w:hint="eastAsia" w:cs="Times New Roman"/>
                      <w:color w:val="auto"/>
                      <w:spacing w:val="0"/>
                      <w:sz w:val="21"/>
                      <w:szCs w:val="21"/>
                      <w:lang w:val="en-US" w:eastAsia="zh-CN"/>
                    </w:rPr>
                    <w:t>现有项目已取得完善的环保手续，有符合要求的设施、包装容器，并张贴危险废物标签。设有导流沟、收集池、事故池，收集可能产生的废水废液。仓库密闭，有效避免雨水侵入。设有废气收集装置及处理设施。</w:t>
                  </w:r>
                </w:p>
              </w:tc>
              <w:tc>
                <w:tcPr>
                  <w:tcW w:w="421" w:type="pct"/>
                  <w:vAlign w:val="center"/>
                </w:tcPr>
                <w:p w14:paraId="36CD35D9">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cs="Times New Roman"/>
                      <w:color w:val="auto"/>
                      <w:spacing w:val="0"/>
                      <w:sz w:val="21"/>
                      <w:szCs w:val="21"/>
                      <w:lang w:val="en-US" w:eastAsia="zh-CN"/>
                    </w:rPr>
                  </w:pPr>
                  <w:r>
                    <w:rPr>
                      <w:rFonts w:hint="eastAsia" w:cs="Times New Roman"/>
                      <w:color w:val="auto"/>
                      <w:spacing w:val="0"/>
                      <w:sz w:val="21"/>
                      <w:szCs w:val="21"/>
                      <w:lang w:val="en-US" w:eastAsia="zh-CN"/>
                    </w:rPr>
                    <w:t>符合</w:t>
                  </w:r>
                </w:p>
              </w:tc>
            </w:tr>
            <w:tr w14:paraId="182DEA9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352" w:type="pct"/>
                  <w:vMerge w:val="continue"/>
                  <w:vAlign w:val="center"/>
                </w:tcPr>
                <w:p w14:paraId="5FFB944C">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cs="Times New Roman"/>
                      <w:color w:val="auto"/>
                      <w:spacing w:val="0"/>
                      <w:sz w:val="21"/>
                      <w:szCs w:val="21"/>
                      <w:lang w:val="en-US" w:eastAsia="zh-CN"/>
                    </w:rPr>
                  </w:pPr>
                </w:p>
              </w:tc>
              <w:tc>
                <w:tcPr>
                  <w:tcW w:w="2653" w:type="pct"/>
                  <w:vAlign w:val="center"/>
                </w:tcPr>
                <w:p w14:paraId="790FEADD">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left"/>
                    <w:textAlignment w:val="auto"/>
                    <w:rPr>
                      <w:rFonts w:hint="default" w:ascii="Times New Roman" w:hAnsi="Times New Roman" w:eastAsia="宋体" w:cs="Times New Roman"/>
                      <w:color w:val="auto"/>
                      <w:spacing w:val="0"/>
                      <w:sz w:val="21"/>
                      <w:szCs w:val="21"/>
                    </w:rPr>
                  </w:pPr>
                  <w:r>
                    <w:rPr>
                      <w:rFonts w:hint="eastAsia" w:cs="Times New Roman"/>
                      <w:color w:val="auto"/>
                      <w:spacing w:val="0"/>
                      <w:sz w:val="21"/>
                      <w:szCs w:val="21"/>
                      <w:lang w:val="en-US" w:eastAsia="zh-CN"/>
                    </w:rPr>
                    <w:t>4.有相应的收集运输工具，在遵守危险货物运输规定的基础上，固态危险废物及5吨以下密闭容器包装的液态、半固态危险废物，可采用防扬散、防溢漏的密闭车辆收集运输，其它危险废物收集及收集到的危险废物转移，应采用符合国务院交通运输主管部门有关危险货物运输安全要求的运输工具运输。</w:t>
                  </w:r>
                </w:p>
              </w:tc>
              <w:tc>
                <w:tcPr>
                  <w:tcW w:w="1571" w:type="pct"/>
                  <w:vAlign w:val="center"/>
                </w:tcPr>
                <w:p w14:paraId="735BB22E">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0"/>
                      <w:sz w:val="21"/>
                      <w:szCs w:val="21"/>
                      <w:lang w:val="en-US" w:eastAsia="zh-CN"/>
                    </w:rPr>
                  </w:pPr>
                  <w:r>
                    <w:rPr>
                      <w:rFonts w:hint="eastAsia" w:cs="Times New Roman"/>
                      <w:color w:val="auto"/>
                      <w:spacing w:val="0"/>
                      <w:sz w:val="21"/>
                      <w:szCs w:val="21"/>
                      <w:lang w:val="en-US" w:eastAsia="zh-CN"/>
                    </w:rPr>
                    <w:t>企业备有相应的收集运输工具，遵守危险货物运输规定。</w:t>
                  </w:r>
                </w:p>
              </w:tc>
              <w:tc>
                <w:tcPr>
                  <w:tcW w:w="421" w:type="pct"/>
                  <w:vAlign w:val="center"/>
                </w:tcPr>
                <w:p w14:paraId="46B130C7">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Times New Roman"/>
                      <w:color w:val="auto"/>
                      <w:spacing w:val="0"/>
                      <w:sz w:val="21"/>
                      <w:szCs w:val="21"/>
                      <w:lang w:val="en-US" w:eastAsia="zh-CN"/>
                    </w:rPr>
                  </w:pPr>
                  <w:r>
                    <w:rPr>
                      <w:rFonts w:hint="eastAsia" w:cs="Times New Roman"/>
                      <w:color w:val="auto"/>
                      <w:spacing w:val="0"/>
                      <w:sz w:val="21"/>
                      <w:szCs w:val="21"/>
                      <w:lang w:val="en-US" w:eastAsia="zh-CN"/>
                    </w:rPr>
                    <w:t>符合</w:t>
                  </w:r>
                </w:p>
              </w:tc>
            </w:tr>
            <w:tr w14:paraId="6CCF5D5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352" w:type="pct"/>
                  <w:vMerge w:val="continue"/>
                  <w:vAlign w:val="center"/>
                </w:tcPr>
                <w:p w14:paraId="798EA2B0">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cs="Times New Roman"/>
                      <w:color w:val="auto"/>
                      <w:spacing w:val="0"/>
                      <w:sz w:val="21"/>
                      <w:szCs w:val="21"/>
                      <w:lang w:val="en-US" w:eastAsia="zh-CN"/>
                    </w:rPr>
                  </w:pPr>
                </w:p>
              </w:tc>
              <w:tc>
                <w:tcPr>
                  <w:tcW w:w="2653" w:type="pct"/>
                  <w:vAlign w:val="center"/>
                </w:tcPr>
                <w:p w14:paraId="26C22105">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left"/>
                    <w:textAlignment w:val="auto"/>
                    <w:rPr>
                      <w:rFonts w:hint="default" w:cs="Times New Roman"/>
                      <w:color w:val="auto"/>
                      <w:spacing w:val="0"/>
                      <w:sz w:val="21"/>
                      <w:szCs w:val="21"/>
                      <w:lang w:val="en-US" w:eastAsia="zh-CN"/>
                    </w:rPr>
                  </w:pPr>
                  <w:r>
                    <w:rPr>
                      <w:rFonts w:hint="eastAsia" w:cs="Times New Roman"/>
                      <w:color w:val="auto"/>
                      <w:spacing w:val="0"/>
                      <w:sz w:val="21"/>
                      <w:szCs w:val="21"/>
                      <w:lang w:val="en-US" w:eastAsia="zh-CN"/>
                    </w:rPr>
                    <w:t>5.有降低设备故障或者断电影响的措施；有防止人体不适当暴露于危险废物的措施（如防护服、呼吸器、防毒面具、防毒口罩、安全帽、防酸碱手套和长筒靴等）。</w:t>
                  </w:r>
                </w:p>
              </w:tc>
              <w:tc>
                <w:tcPr>
                  <w:tcW w:w="1571" w:type="pct"/>
                  <w:vAlign w:val="center"/>
                </w:tcPr>
                <w:p w14:paraId="579441ED">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0"/>
                      <w:sz w:val="21"/>
                      <w:szCs w:val="21"/>
                      <w:lang w:val="en-US" w:eastAsia="zh-CN"/>
                    </w:rPr>
                  </w:pPr>
                  <w:r>
                    <w:rPr>
                      <w:rFonts w:hint="eastAsia" w:cs="Times New Roman"/>
                      <w:color w:val="auto"/>
                      <w:spacing w:val="0"/>
                      <w:sz w:val="21"/>
                      <w:szCs w:val="21"/>
                      <w:lang w:val="en-US" w:eastAsia="zh-CN"/>
                    </w:rPr>
                    <w:t>企业设有防护措施</w:t>
                  </w:r>
                </w:p>
              </w:tc>
              <w:tc>
                <w:tcPr>
                  <w:tcW w:w="421" w:type="pct"/>
                  <w:vAlign w:val="center"/>
                </w:tcPr>
                <w:p w14:paraId="02E70EEA">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Times New Roman"/>
                      <w:color w:val="auto"/>
                      <w:spacing w:val="0"/>
                      <w:sz w:val="21"/>
                      <w:szCs w:val="21"/>
                      <w:lang w:val="en-US" w:eastAsia="zh-CN"/>
                    </w:rPr>
                  </w:pPr>
                  <w:r>
                    <w:rPr>
                      <w:rFonts w:hint="eastAsia" w:cs="Times New Roman"/>
                      <w:color w:val="auto"/>
                      <w:spacing w:val="0"/>
                      <w:sz w:val="21"/>
                      <w:szCs w:val="21"/>
                      <w:lang w:val="en-US" w:eastAsia="zh-CN"/>
                    </w:rPr>
                    <w:t>符合</w:t>
                  </w:r>
                </w:p>
              </w:tc>
            </w:tr>
            <w:tr w14:paraId="5DD259E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352" w:type="pct"/>
                  <w:vMerge w:val="continue"/>
                  <w:vAlign w:val="center"/>
                </w:tcPr>
                <w:p w14:paraId="4DD3612B">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cs="Times New Roman"/>
                      <w:color w:val="auto"/>
                      <w:spacing w:val="0"/>
                      <w:sz w:val="21"/>
                      <w:szCs w:val="21"/>
                      <w:lang w:val="en-US" w:eastAsia="zh-CN"/>
                    </w:rPr>
                  </w:pPr>
                </w:p>
              </w:tc>
              <w:tc>
                <w:tcPr>
                  <w:tcW w:w="2653" w:type="pct"/>
                  <w:vAlign w:val="center"/>
                </w:tcPr>
                <w:p w14:paraId="37E7AE80">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left"/>
                    <w:textAlignment w:val="auto"/>
                    <w:rPr>
                      <w:rFonts w:hint="eastAsia" w:cs="Times New Roman"/>
                      <w:color w:val="auto"/>
                      <w:spacing w:val="0"/>
                      <w:sz w:val="21"/>
                      <w:szCs w:val="21"/>
                      <w:lang w:val="en-US" w:eastAsia="zh-CN"/>
                    </w:rPr>
                  </w:pPr>
                  <w:r>
                    <w:rPr>
                      <w:rFonts w:hint="eastAsia" w:cs="Times New Roman"/>
                      <w:color w:val="auto"/>
                      <w:spacing w:val="0"/>
                      <w:sz w:val="21"/>
                      <w:szCs w:val="21"/>
                      <w:lang w:val="en-US" w:eastAsia="zh-CN"/>
                    </w:rPr>
                    <w:t>6.有下列保证危险废物经营管理的规章制度：</w:t>
                  </w:r>
                </w:p>
                <w:p w14:paraId="3F562315">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left"/>
                    <w:textAlignment w:val="auto"/>
                    <w:rPr>
                      <w:rFonts w:hint="eastAsia" w:cs="Times New Roman"/>
                      <w:color w:val="auto"/>
                      <w:spacing w:val="0"/>
                      <w:sz w:val="21"/>
                      <w:szCs w:val="21"/>
                      <w:lang w:val="en-US" w:eastAsia="zh-CN"/>
                    </w:rPr>
                  </w:pPr>
                  <w:r>
                    <w:rPr>
                      <w:rFonts w:hint="eastAsia" w:cs="Times New Roman"/>
                      <w:color w:val="auto"/>
                      <w:spacing w:val="0"/>
                      <w:sz w:val="21"/>
                      <w:szCs w:val="21"/>
                      <w:lang w:val="en-US" w:eastAsia="zh-CN"/>
                    </w:rPr>
                    <w:t>（1）台账记录制度。根据收集范围内产废单位的特点，制定月度、季度收集、贮存和转运计划。建立危险废物出入库台账记录、转移联单、经营情况报送、应急预案备案等管理制度，清晰记录每批危险废物的来源、收集日期、数量和去向等情况，实现“专人、专库、专账”管理。建立危险废物收集、贮存、转运的全过程内部监管体系，做到来源可追溯、贮存可查看、去向可跟踪。</w:t>
                  </w:r>
                </w:p>
                <w:p w14:paraId="29AE0D77">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left"/>
                    <w:textAlignment w:val="auto"/>
                    <w:rPr>
                      <w:rFonts w:hint="eastAsia" w:cs="Times New Roman"/>
                      <w:color w:val="auto"/>
                      <w:spacing w:val="0"/>
                      <w:sz w:val="21"/>
                      <w:szCs w:val="21"/>
                      <w:lang w:val="en-US" w:eastAsia="zh-CN"/>
                    </w:rPr>
                  </w:pPr>
                  <w:r>
                    <w:rPr>
                      <w:rFonts w:hint="eastAsia" w:cs="Times New Roman"/>
                      <w:color w:val="auto"/>
                      <w:spacing w:val="0"/>
                      <w:sz w:val="21"/>
                      <w:szCs w:val="21"/>
                      <w:lang w:val="en-US" w:eastAsia="zh-CN"/>
                    </w:rPr>
                    <w:t>（2）内部监管制度。贮存区域实现连续视频监控，视频记录至少保存3个月，定期对运输工具、贮存设施、应急设备等进行检查、维护。</w:t>
                  </w:r>
                </w:p>
                <w:p w14:paraId="3E93CD17">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left"/>
                    <w:textAlignment w:val="auto"/>
                    <w:rPr>
                      <w:rFonts w:hint="eastAsia" w:cs="Times New Roman"/>
                      <w:color w:val="auto"/>
                      <w:spacing w:val="0"/>
                      <w:sz w:val="21"/>
                      <w:szCs w:val="21"/>
                      <w:lang w:val="en-US" w:eastAsia="zh-CN"/>
                    </w:rPr>
                  </w:pPr>
                  <w:r>
                    <w:rPr>
                      <w:rFonts w:hint="eastAsia" w:cs="Times New Roman"/>
                      <w:color w:val="auto"/>
                      <w:spacing w:val="0"/>
                      <w:sz w:val="21"/>
                      <w:szCs w:val="21"/>
                      <w:lang w:val="en-US" w:eastAsia="zh-CN"/>
                    </w:rPr>
                    <w:t>（3）人员培训制度。清晰描述涉及危险废物管理的每个岗位的职责，制定培训计划，包括针对该岗位的危险废物管理程序和应急预案的实施等，使受训人员能够有效应对紧急状态。要求受训人员熟悉：应急程序、应急设备、应急系统，包括使用、检查、修理和更换设施内应急、监测设备的程序；通讯联络或者警报系统；火灾或者爆炸的应对等。</w:t>
                  </w:r>
                </w:p>
                <w:p w14:paraId="4E197EBC">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left"/>
                    <w:textAlignment w:val="auto"/>
                    <w:rPr>
                      <w:rFonts w:hint="eastAsia" w:cs="Times New Roman"/>
                      <w:color w:val="auto"/>
                      <w:spacing w:val="0"/>
                      <w:sz w:val="21"/>
                      <w:szCs w:val="21"/>
                      <w:lang w:val="en-US" w:eastAsia="zh-CN"/>
                    </w:rPr>
                  </w:pPr>
                  <w:r>
                    <w:rPr>
                      <w:rFonts w:hint="eastAsia" w:cs="Times New Roman"/>
                      <w:color w:val="auto"/>
                      <w:spacing w:val="0"/>
                      <w:sz w:val="21"/>
                      <w:szCs w:val="21"/>
                      <w:lang w:val="en-US" w:eastAsia="zh-CN"/>
                    </w:rPr>
                    <w:t>（4）环境监测制度。按照相关要求建立监测制度，制定监测方案，加强对特征污染物的监测，保存原始记录。监测方案应包括监测点位、监测频次、监测指标、执行排放标准及其限值。</w:t>
                  </w:r>
                </w:p>
              </w:tc>
              <w:tc>
                <w:tcPr>
                  <w:tcW w:w="1571" w:type="pct"/>
                  <w:vAlign w:val="center"/>
                </w:tcPr>
                <w:p w14:paraId="389843CD">
                  <w:pPr>
                    <w:keepNext w:val="0"/>
                    <w:keepLines w:val="0"/>
                    <w:pageBreakBefore w:val="0"/>
                    <w:widowControl w:val="0"/>
                    <w:numPr>
                      <w:ilvl w:val="0"/>
                      <w:numId w:val="10"/>
                    </w:numPr>
                    <w:kinsoku/>
                    <w:wordWrap/>
                    <w:overflowPunct/>
                    <w:topLinePunct w:val="0"/>
                    <w:autoSpaceDE/>
                    <w:autoSpaceDN/>
                    <w:bidi w:val="0"/>
                    <w:adjustRightInd/>
                    <w:snapToGrid/>
                    <w:spacing w:line="240" w:lineRule="auto"/>
                    <w:ind w:left="0" w:leftChars="0" w:right="0" w:firstLine="0" w:firstLineChars="0"/>
                    <w:jc w:val="center"/>
                    <w:textAlignment w:val="auto"/>
                    <w:rPr>
                      <w:rFonts w:hint="eastAsia" w:cs="Times New Roman"/>
                      <w:color w:val="auto"/>
                      <w:spacing w:val="0"/>
                      <w:sz w:val="21"/>
                      <w:szCs w:val="21"/>
                      <w:lang w:val="en-US" w:eastAsia="zh-CN"/>
                    </w:rPr>
                  </w:pPr>
                  <w:r>
                    <w:rPr>
                      <w:rFonts w:hint="eastAsia" w:cs="Times New Roman"/>
                      <w:color w:val="auto"/>
                      <w:spacing w:val="0"/>
                      <w:sz w:val="21"/>
                      <w:szCs w:val="21"/>
                      <w:lang w:val="en-US" w:eastAsia="zh-CN"/>
                    </w:rPr>
                    <w:t>企业按要求设置台账记录制度，并按要求进行台账记录。建立危险废物收集、贮存、转运的全过程内部监管体系。</w:t>
                  </w:r>
                </w:p>
                <w:p w14:paraId="6CF78109">
                  <w:pPr>
                    <w:keepNext w:val="0"/>
                    <w:keepLines w:val="0"/>
                    <w:pageBreakBefore w:val="0"/>
                    <w:widowControl w:val="0"/>
                    <w:numPr>
                      <w:ilvl w:val="0"/>
                      <w:numId w:val="10"/>
                    </w:numPr>
                    <w:kinsoku/>
                    <w:wordWrap/>
                    <w:overflowPunct/>
                    <w:topLinePunct w:val="0"/>
                    <w:autoSpaceDE/>
                    <w:autoSpaceDN/>
                    <w:bidi w:val="0"/>
                    <w:adjustRightInd/>
                    <w:snapToGrid/>
                    <w:spacing w:line="240" w:lineRule="auto"/>
                    <w:ind w:left="0" w:leftChars="0" w:right="0" w:firstLine="0" w:firstLineChars="0"/>
                    <w:jc w:val="center"/>
                    <w:textAlignment w:val="auto"/>
                    <w:rPr>
                      <w:rFonts w:hint="eastAsia" w:cs="Times New Roman"/>
                      <w:color w:val="auto"/>
                      <w:spacing w:val="0"/>
                      <w:sz w:val="21"/>
                      <w:szCs w:val="21"/>
                      <w:lang w:val="en-US" w:eastAsia="zh-CN"/>
                    </w:rPr>
                  </w:pPr>
                  <w:r>
                    <w:rPr>
                      <w:rFonts w:hint="eastAsia" w:cs="Times New Roman"/>
                      <w:color w:val="auto"/>
                      <w:spacing w:val="0"/>
                      <w:sz w:val="21"/>
                      <w:szCs w:val="21"/>
                      <w:lang w:val="en-US" w:eastAsia="zh-CN"/>
                    </w:rPr>
                    <w:t>仓库内安装视频监控，并最少保存3个月。定期对运输工具、贮存设施、应急设备等进行检查和维护。</w:t>
                  </w:r>
                </w:p>
                <w:p w14:paraId="1E87C8FB">
                  <w:pPr>
                    <w:keepNext w:val="0"/>
                    <w:keepLines w:val="0"/>
                    <w:pageBreakBefore w:val="0"/>
                    <w:widowControl w:val="0"/>
                    <w:numPr>
                      <w:ilvl w:val="0"/>
                      <w:numId w:val="10"/>
                    </w:numPr>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cs="Times New Roman"/>
                      <w:color w:val="auto"/>
                      <w:spacing w:val="0"/>
                      <w:sz w:val="21"/>
                      <w:szCs w:val="21"/>
                      <w:lang w:val="en-US" w:eastAsia="zh-CN"/>
                    </w:rPr>
                  </w:pPr>
                  <w:r>
                    <w:rPr>
                      <w:rFonts w:hint="eastAsia" w:cs="Times New Roman"/>
                      <w:color w:val="auto"/>
                      <w:spacing w:val="0"/>
                      <w:sz w:val="21"/>
                      <w:szCs w:val="21"/>
                      <w:lang w:val="en-US" w:eastAsia="zh-CN"/>
                    </w:rPr>
                    <w:t>设有人员培训制度，定期进行员工培训，进行应急预案演练等。</w:t>
                  </w:r>
                </w:p>
                <w:p w14:paraId="08789354">
                  <w:pPr>
                    <w:keepNext w:val="0"/>
                    <w:keepLines w:val="0"/>
                    <w:pageBreakBefore w:val="0"/>
                    <w:widowControl w:val="0"/>
                    <w:numPr>
                      <w:ilvl w:val="0"/>
                      <w:numId w:val="10"/>
                    </w:numPr>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cs="Times New Roman"/>
                      <w:color w:val="auto"/>
                      <w:spacing w:val="0"/>
                      <w:sz w:val="21"/>
                      <w:szCs w:val="21"/>
                      <w:lang w:val="en-US" w:eastAsia="zh-CN"/>
                    </w:rPr>
                  </w:pPr>
                  <w:r>
                    <w:rPr>
                      <w:rFonts w:hint="eastAsia" w:cs="Times New Roman"/>
                      <w:color w:val="auto"/>
                      <w:spacing w:val="0"/>
                      <w:sz w:val="21"/>
                      <w:szCs w:val="21"/>
                      <w:lang w:val="en-US" w:eastAsia="zh-CN"/>
                    </w:rPr>
                    <w:t>企业制定自行监测方案，并按方案进行监测，保存监测数据。</w:t>
                  </w:r>
                </w:p>
              </w:tc>
              <w:tc>
                <w:tcPr>
                  <w:tcW w:w="421" w:type="pct"/>
                  <w:vAlign w:val="center"/>
                </w:tcPr>
                <w:p w14:paraId="580E7ABE">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Times New Roman"/>
                      <w:color w:val="auto"/>
                      <w:spacing w:val="0"/>
                      <w:sz w:val="21"/>
                      <w:szCs w:val="21"/>
                      <w:lang w:val="en-US" w:eastAsia="zh-CN"/>
                    </w:rPr>
                  </w:pPr>
                  <w:r>
                    <w:rPr>
                      <w:rFonts w:hint="eastAsia" w:cs="Times New Roman"/>
                      <w:color w:val="auto"/>
                      <w:spacing w:val="0"/>
                      <w:sz w:val="21"/>
                      <w:szCs w:val="21"/>
                      <w:lang w:val="en-US" w:eastAsia="zh-CN"/>
                    </w:rPr>
                    <w:t>符合</w:t>
                  </w:r>
                </w:p>
              </w:tc>
            </w:tr>
            <w:tr w14:paraId="080FAFA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352" w:type="pct"/>
                  <w:vAlign w:val="center"/>
                </w:tcPr>
                <w:p w14:paraId="7ECEE8C0">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left"/>
                    <w:textAlignment w:val="auto"/>
                    <w:rPr>
                      <w:rFonts w:hint="eastAsia" w:cs="Times New Roman"/>
                      <w:color w:val="auto"/>
                      <w:spacing w:val="0"/>
                      <w:sz w:val="21"/>
                      <w:szCs w:val="21"/>
                      <w:lang w:val="en-US" w:eastAsia="zh-CN"/>
                    </w:rPr>
                  </w:pPr>
                  <w:r>
                    <w:rPr>
                      <w:rFonts w:hint="eastAsia" w:cs="Times New Roman"/>
                      <w:color w:val="auto"/>
                      <w:spacing w:val="0"/>
                      <w:sz w:val="21"/>
                      <w:szCs w:val="21"/>
                      <w:lang w:val="en-US" w:eastAsia="zh-CN"/>
                    </w:rPr>
                    <w:t>（五）审批程序。</w:t>
                  </w:r>
                </w:p>
              </w:tc>
              <w:tc>
                <w:tcPr>
                  <w:tcW w:w="2653" w:type="pct"/>
                  <w:vAlign w:val="center"/>
                </w:tcPr>
                <w:p w14:paraId="54A4D24C">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left"/>
                    <w:textAlignment w:val="auto"/>
                    <w:rPr>
                      <w:rFonts w:hint="eastAsia" w:cs="Times New Roman"/>
                      <w:color w:val="auto"/>
                      <w:spacing w:val="0"/>
                      <w:sz w:val="21"/>
                      <w:szCs w:val="21"/>
                      <w:lang w:val="en-US" w:eastAsia="zh-CN"/>
                    </w:rPr>
                  </w:pPr>
                  <w:r>
                    <w:rPr>
                      <w:rFonts w:hint="eastAsia" w:cs="Times New Roman"/>
                      <w:color w:val="auto"/>
                      <w:spacing w:val="0"/>
                      <w:sz w:val="21"/>
                      <w:szCs w:val="21"/>
                      <w:lang w:val="en-US" w:eastAsia="zh-CN"/>
                    </w:rPr>
                    <w:t>试点单位主体、项目实施地点或者规模原则上不得调整，确需调整的，按有关程序报批后方可实施。试点单位因自身原因需终止现有危险废物试点项目时，应当依法对经营设施、场所采取污染防治措施，对未处理的危险废物作出妥善处理，并按照要求开展土壤环境调查、评估等工作。</w:t>
                  </w:r>
                </w:p>
              </w:tc>
              <w:tc>
                <w:tcPr>
                  <w:tcW w:w="1571" w:type="pct"/>
                  <w:vAlign w:val="center"/>
                </w:tcPr>
                <w:p w14:paraId="33C9B5D5">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0"/>
                      <w:sz w:val="21"/>
                      <w:szCs w:val="21"/>
                      <w:lang w:val="en-US" w:eastAsia="zh-CN"/>
                    </w:rPr>
                  </w:pPr>
                  <w:r>
                    <w:rPr>
                      <w:rFonts w:hint="eastAsia" w:cs="Times New Roman"/>
                      <w:color w:val="auto"/>
                      <w:spacing w:val="0"/>
                      <w:sz w:val="21"/>
                      <w:szCs w:val="21"/>
                      <w:lang w:val="en-US" w:eastAsia="zh-CN"/>
                    </w:rPr>
                    <w:t>本项目确需进行地点调整，按有关程序报批相关手续。现有项目地址将对场所进行污染防治，按照要求开展土壤环境调查、评估等工作。</w:t>
                  </w:r>
                </w:p>
              </w:tc>
              <w:tc>
                <w:tcPr>
                  <w:tcW w:w="421" w:type="pct"/>
                  <w:vAlign w:val="center"/>
                </w:tcPr>
                <w:p w14:paraId="1361F68C">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Times New Roman"/>
                      <w:color w:val="auto"/>
                      <w:spacing w:val="0"/>
                      <w:sz w:val="21"/>
                      <w:szCs w:val="21"/>
                      <w:lang w:val="en-US" w:eastAsia="zh-CN"/>
                    </w:rPr>
                  </w:pPr>
                  <w:r>
                    <w:rPr>
                      <w:rFonts w:hint="eastAsia" w:cs="Times New Roman"/>
                      <w:color w:val="auto"/>
                      <w:spacing w:val="0"/>
                      <w:sz w:val="21"/>
                      <w:szCs w:val="21"/>
                      <w:lang w:val="en-US" w:eastAsia="zh-CN"/>
                    </w:rPr>
                    <w:t>符合</w:t>
                  </w:r>
                </w:p>
              </w:tc>
            </w:tr>
          </w:tbl>
          <w:p w14:paraId="35F84D0A">
            <w:pPr>
              <w:keepNext w:val="0"/>
              <w:keepLines w:val="0"/>
              <w:pageBreakBefore w:val="0"/>
              <w:widowControl w:val="0"/>
              <w:kinsoku/>
              <w:wordWrap/>
              <w:overflowPunct/>
              <w:topLinePunct w:val="0"/>
              <w:autoSpaceDE/>
              <w:autoSpaceDN/>
              <w:bidi w:val="0"/>
              <w:adjustRightInd/>
              <w:snapToGrid/>
              <w:spacing w:line="360" w:lineRule="auto"/>
              <w:ind w:left="0" w:right="0" w:firstLine="479"/>
              <w:textAlignment w:val="auto"/>
              <w:rPr>
                <w:rFonts w:hint="default" w:ascii="Times New Roman" w:hAnsi="Times New Roman" w:eastAsia="宋体" w:cs="Times New Roman"/>
                <w:color w:val="auto"/>
                <w:spacing w:val="0"/>
                <w:sz w:val="24"/>
                <w:szCs w:val="24"/>
              </w:rPr>
            </w:pPr>
            <w:r>
              <w:rPr>
                <w:rFonts w:hint="default" w:ascii="Times New Roman" w:hAnsi="Times New Roman" w:eastAsia="宋体" w:cs="Times New Roman"/>
                <w:color w:val="auto"/>
                <w:spacing w:val="0"/>
                <w:sz w:val="24"/>
                <w:szCs w:val="24"/>
              </w:rPr>
              <w:t>由上表可知，项目符合</w:t>
            </w:r>
            <w:r>
              <w:rPr>
                <w:rFonts w:hint="eastAsia" w:cs="Times New Roman"/>
                <w:color w:val="auto"/>
                <w:spacing w:val="0"/>
                <w:sz w:val="24"/>
                <w:szCs w:val="24"/>
                <w:lang w:val="en-US" w:eastAsia="zh-CN"/>
              </w:rPr>
              <w:t>《</w:t>
            </w:r>
            <w:r>
              <w:rPr>
                <w:rFonts w:hint="eastAsia" w:ascii="Times New Roman" w:hAnsi="Times New Roman" w:eastAsia="宋体" w:cs="Times New Roman"/>
                <w:color w:val="auto"/>
                <w:spacing w:val="0"/>
                <w:sz w:val="24"/>
                <w:szCs w:val="24"/>
                <w:lang w:val="en-US" w:eastAsia="zh-CN"/>
              </w:rPr>
              <w:t>山东省生态环境厅关于开展危险废物集中收集贮存转运试点的指导意见》（鲁环发〔2019〕142号）</w:t>
            </w:r>
            <w:r>
              <w:rPr>
                <w:rFonts w:hint="default" w:ascii="Times New Roman" w:hAnsi="Times New Roman" w:eastAsia="宋体" w:cs="Times New Roman"/>
                <w:color w:val="auto"/>
                <w:spacing w:val="0"/>
                <w:sz w:val="24"/>
                <w:szCs w:val="24"/>
              </w:rPr>
              <w:t>要求。</w:t>
            </w:r>
          </w:p>
          <w:p w14:paraId="458FC26A">
            <w:pPr>
              <w:keepNext w:val="0"/>
              <w:keepLines w:val="0"/>
              <w:pageBreakBefore w:val="0"/>
              <w:widowControl w:val="0"/>
              <w:numPr>
                <w:ilvl w:val="0"/>
                <w:numId w:val="8"/>
              </w:numPr>
              <w:kinsoku/>
              <w:wordWrap/>
              <w:overflowPunct/>
              <w:topLinePunct w:val="0"/>
              <w:autoSpaceDE/>
              <w:autoSpaceDN/>
              <w:bidi w:val="0"/>
              <w:adjustRightInd/>
              <w:snapToGrid/>
              <w:spacing w:line="360" w:lineRule="auto"/>
              <w:ind w:left="0" w:leftChars="0" w:firstLine="425" w:firstLineChars="0"/>
              <w:textAlignment w:val="auto"/>
              <w:rPr>
                <w:rFonts w:hint="eastAsia" w:ascii="Times New Roman" w:hAnsi="Times New Roman" w:eastAsia="宋体" w:cs="Times New Roman"/>
                <w:color w:val="auto"/>
                <w:spacing w:val="0"/>
                <w:sz w:val="24"/>
                <w:szCs w:val="24"/>
                <w:lang w:val="en-US" w:eastAsia="zh-CN"/>
              </w:rPr>
            </w:pPr>
            <w:r>
              <w:rPr>
                <w:rFonts w:hint="eastAsia" w:ascii="Times New Roman" w:hAnsi="Times New Roman" w:eastAsia="宋体" w:cs="Times New Roman"/>
                <w:color w:val="auto"/>
                <w:spacing w:val="0"/>
                <w:sz w:val="24"/>
                <w:szCs w:val="24"/>
                <w:lang w:val="en-US" w:eastAsia="zh-CN"/>
              </w:rPr>
              <w:t>与</w:t>
            </w:r>
            <w:r>
              <w:rPr>
                <w:rFonts w:hint="eastAsia" w:cs="Times New Roman"/>
                <w:color w:val="auto"/>
                <w:spacing w:val="0"/>
                <w:sz w:val="24"/>
                <w:szCs w:val="24"/>
                <w:lang w:val="en-US" w:eastAsia="zh-CN"/>
              </w:rPr>
              <w:t>《</w:t>
            </w:r>
            <w:r>
              <w:rPr>
                <w:rFonts w:hint="eastAsia" w:ascii="Times New Roman" w:hAnsi="Times New Roman" w:eastAsia="宋体" w:cs="Times New Roman"/>
                <w:color w:val="auto"/>
                <w:spacing w:val="0"/>
                <w:sz w:val="24"/>
                <w:szCs w:val="24"/>
                <w:lang w:val="en-US" w:eastAsia="zh-CN"/>
              </w:rPr>
              <w:t>山东省生态环境厅关于进一步规范危险废物集中收集贮存转运工作的通知》（鲁环字[2021]249号）符合性分析</w:t>
            </w:r>
          </w:p>
          <w:p w14:paraId="39EAE864">
            <w:pPr>
              <w:keepNext w:val="0"/>
              <w:keepLines w:val="0"/>
              <w:pageBreakBefore w:val="0"/>
              <w:widowControl w:val="0"/>
              <w:numPr>
                <w:ilvl w:val="0"/>
                <w:numId w:val="9"/>
              </w:numPr>
              <w:kinsoku/>
              <w:wordWrap/>
              <w:overflowPunct/>
              <w:topLinePunct w:val="0"/>
              <w:autoSpaceDE w:val="0"/>
              <w:autoSpaceDN w:val="0"/>
              <w:bidi w:val="0"/>
              <w:adjustRightInd w:val="0"/>
              <w:snapToGrid/>
              <w:spacing w:line="360" w:lineRule="auto"/>
              <w:ind w:left="3150" w:leftChars="0" w:hanging="3110" w:firstLineChars="0"/>
              <w:jc w:val="center"/>
              <w:textAlignment w:val="auto"/>
              <w:rPr>
                <w:rFonts w:hint="eastAsia" w:ascii="宋体" w:hAnsi="宋体" w:eastAsia="宋体" w:cs="宋体"/>
                <w:b/>
                <w:bCs/>
                <w:color w:val="auto"/>
                <w:kern w:val="0"/>
                <w:sz w:val="24"/>
                <w:szCs w:val="24"/>
                <w:lang w:val="en-US" w:eastAsia="zh-CN" w:bidi="ar"/>
              </w:rPr>
            </w:pPr>
            <w:r>
              <w:rPr>
                <w:rFonts w:hint="eastAsia" w:ascii="宋体" w:hAnsi="宋体" w:eastAsia="宋体" w:cs="宋体"/>
                <w:b/>
                <w:bCs/>
                <w:color w:val="auto"/>
                <w:kern w:val="0"/>
                <w:sz w:val="24"/>
                <w:szCs w:val="24"/>
                <w:lang w:val="en-US" w:eastAsia="zh-CN" w:bidi="ar"/>
              </w:rPr>
              <w:t>与鲁环字[2021]249号相关要求符合性</w:t>
            </w:r>
            <w:r>
              <w:rPr>
                <w:rFonts w:hint="eastAsia" w:ascii="宋体" w:hAnsi="宋体" w:cs="宋体"/>
                <w:b/>
                <w:bCs/>
                <w:color w:val="auto"/>
                <w:kern w:val="0"/>
                <w:sz w:val="24"/>
                <w:szCs w:val="24"/>
                <w:lang w:val="en-US" w:eastAsia="zh-CN" w:bidi="ar"/>
              </w:rPr>
              <w:t>分析</w:t>
            </w:r>
          </w:p>
          <w:tbl>
            <w:tblPr>
              <w:tblStyle w:val="89"/>
              <w:tblW w:w="4972"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4795"/>
              <w:gridCol w:w="2184"/>
              <w:gridCol w:w="643"/>
            </w:tblGrid>
            <w:tr w14:paraId="333A94F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3145" w:type="pct"/>
                  <w:vAlign w:val="center"/>
                </w:tcPr>
                <w:p w14:paraId="42F4D14B">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0"/>
                      <w:sz w:val="21"/>
                      <w:szCs w:val="21"/>
                      <w:lang w:val="en-US"/>
                    </w:rPr>
                  </w:pPr>
                  <w:r>
                    <w:rPr>
                      <w:rFonts w:hint="eastAsia" w:cs="Times New Roman"/>
                      <w:color w:val="auto"/>
                      <w:spacing w:val="0"/>
                      <w:sz w:val="21"/>
                      <w:szCs w:val="21"/>
                      <w:lang w:val="en-US" w:eastAsia="zh-CN"/>
                    </w:rPr>
                    <w:t>鲁环字[2021]249号文件要求</w:t>
                  </w:r>
                </w:p>
              </w:tc>
              <w:tc>
                <w:tcPr>
                  <w:tcW w:w="1432" w:type="pct"/>
                  <w:vAlign w:val="center"/>
                </w:tcPr>
                <w:p w14:paraId="70CBA493">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项目相关</w:t>
                  </w:r>
                </w:p>
              </w:tc>
              <w:tc>
                <w:tcPr>
                  <w:tcW w:w="422" w:type="pct"/>
                  <w:vAlign w:val="center"/>
                </w:tcPr>
                <w:p w14:paraId="5D785062">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符合性</w:t>
                  </w:r>
                </w:p>
              </w:tc>
            </w:tr>
            <w:tr w14:paraId="76CBE12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3145" w:type="pct"/>
                  <w:vAlign w:val="center"/>
                </w:tcPr>
                <w:p w14:paraId="057CB6D8">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left"/>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一、明确收集范围</w:t>
                  </w:r>
                </w:p>
                <w:p w14:paraId="53A774DB">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left"/>
                    <w:textAlignment w:val="auto"/>
                    <w:rPr>
                      <w:rFonts w:hint="eastAsia" w:cs="Times New Roman"/>
                      <w:color w:val="auto"/>
                      <w:spacing w:val="0"/>
                      <w:sz w:val="21"/>
                      <w:szCs w:val="21"/>
                      <w:lang w:val="en-US" w:eastAsia="zh-CN"/>
                    </w:rPr>
                  </w:pPr>
                  <w:r>
                    <w:rPr>
                      <w:rFonts w:hint="default" w:ascii="Times New Roman" w:hAnsi="Times New Roman" w:eastAsia="宋体" w:cs="Times New Roman"/>
                      <w:color w:val="auto"/>
                      <w:spacing w:val="0"/>
                      <w:sz w:val="21"/>
                      <w:szCs w:val="21"/>
                    </w:rPr>
                    <w:t>开展危险废物收集活动的单位以及收集范围、种类等，严格按照《关于开展危险废物集中收集贮存转运试点的指导意见》</w:t>
                  </w:r>
                  <w:r>
                    <w:rPr>
                      <w:rFonts w:hint="eastAsia" w:cs="Times New Roman"/>
                      <w:color w:val="auto"/>
                      <w:spacing w:val="0"/>
                      <w:sz w:val="21"/>
                      <w:szCs w:val="21"/>
                      <w:lang w:eastAsia="zh-CN"/>
                    </w:rPr>
                    <w:t>（</w:t>
                  </w:r>
                  <w:r>
                    <w:rPr>
                      <w:rFonts w:hint="default" w:ascii="Times New Roman" w:hAnsi="Times New Roman" w:eastAsia="宋体" w:cs="Times New Roman"/>
                      <w:color w:val="auto"/>
                      <w:spacing w:val="0"/>
                      <w:sz w:val="21"/>
                      <w:szCs w:val="21"/>
                    </w:rPr>
                    <w:t>鲁环发</w:t>
                  </w:r>
                  <w:r>
                    <w:rPr>
                      <w:rFonts w:hint="eastAsia" w:cs="Times New Roman"/>
                      <w:color w:val="auto"/>
                      <w:spacing w:val="0"/>
                      <w:sz w:val="21"/>
                      <w:szCs w:val="21"/>
                      <w:lang w:eastAsia="zh-CN"/>
                    </w:rPr>
                    <w:t>（</w:t>
                  </w:r>
                  <w:r>
                    <w:rPr>
                      <w:rFonts w:hint="default" w:ascii="Times New Roman" w:hAnsi="Times New Roman" w:eastAsia="宋体" w:cs="Times New Roman"/>
                      <w:color w:val="auto"/>
                      <w:spacing w:val="0"/>
                      <w:sz w:val="21"/>
                      <w:szCs w:val="21"/>
                    </w:rPr>
                    <w:t>2019</w:t>
                  </w:r>
                  <w:r>
                    <w:rPr>
                      <w:rFonts w:hint="eastAsia" w:cs="Times New Roman"/>
                      <w:color w:val="auto"/>
                      <w:spacing w:val="0"/>
                      <w:sz w:val="21"/>
                      <w:szCs w:val="21"/>
                      <w:lang w:eastAsia="zh-CN"/>
                    </w:rPr>
                    <w:t>）</w:t>
                  </w:r>
                  <w:r>
                    <w:rPr>
                      <w:rFonts w:hint="default" w:ascii="Times New Roman" w:hAnsi="Times New Roman" w:eastAsia="宋体" w:cs="Times New Roman"/>
                      <w:color w:val="auto"/>
                      <w:spacing w:val="0"/>
                      <w:sz w:val="21"/>
                      <w:szCs w:val="21"/>
                    </w:rPr>
                    <w:t>142号</w:t>
                  </w:r>
                  <w:r>
                    <w:rPr>
                      <w:rFonts w:hint="eastAsia" w:cs="Times New Roman"/>
                      <w:color w:val="auto"/>
                      <w:spacing w:val="0"/>
                      <w:sz w:val="21"/>
                      <w:szCs w:val="21"/>
                      <w:lang w:eastAsia="zh-CN"/>
                    </w:rPr>
                    <w:t>）</w:t>
                  </w:r>
                  <w:r>
                    <w:rPr>
                      <w:rFonts w:hint="default" w:ascii="Times New Roman" w:hAnsi="Times New Roman" w:eastAsia="宋体" w:cs="Times New Roman"/>
                      <w:color w:val="auto"/>
                      <w:spacing w:val="0"/>
                      <w:sz w:val="21"/>
                      <w:szCs w:val="21"/>
                    </w:rPr>
                    <w:t>执行，本通知有新要求的按本通知执行。</w:t>
                  </w:r>
                  <w:r>
                    <w:rPr>
                      <w:rFonts w:hint="eastAsia" w:cs="Times New Roman"/>
                      <w:color w:val="auto"/>
                      <w:spacing w:val="0"/>
                      <w:sz w:val="21"/>
                      <w:szCs w:val="21"/>
                      <w:lang w:val="en-US" w:eastAsia="zh-CN"/>
                    </w:rPr>
                    <w:t>......</w:t>
                  </w:r>
                </w:p>
                <w:p w14:paraId="26512645">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left"/>
                    <w:textAlignment w:val="auto"/>
                    <w:rPr>
                      <w:rFonts w:hint="default" w:cs="Times New Roman"/>
                      <w:color w:val="auto"/>
                      <w:spacing w:val="0"/>
                      <w:sz w:val="21"/>
                      <w:szCs w:val="21"/>
                      <w:lang w:val="en-US" w:eastAsia="zh-CN"/>
                    </w:rPr>
                  </w:pPr>
                  <w:r>
                    <w:rPr>
                      <w:rFonts w:hint="default" w:cs="Times New Roman"/>
                      <w:color w:val="auto"/>
                      <w:spacing w:val="0"/>
                      <w:sz w:val="21"/>
                      <w:szCs w:val="21"/>
                      <w:lang w:val="en-US" w:eastAsia="zh-CN"/>
                    </w:rPr>
                    <w:t>危险废物收集范围为颁发许可证的设区市行政区域内，不允许跨设区市收集。</w:t>
                  </w:r>
                </w:p>
              </w:tc>
              <w:tc>
                <w:tcPr>
                  <w:tcW w:w="1432" w:type="pct"/>
                  <w:vAlign w:val="center"/>
                </w:tcPr>
                <w:p w14:paraId="584B6F7F">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cs="Times New Roman"/>
                      <w:color w:val="auto"/>
                      <w:spacing w:val="0"/>
                      <w:sz w:val="21"/>
                      <w:szCs w:val="21"/>
                      <w:lang w:val="en-US" w:eastAsia="zh-CN"/>
                    </w:rPr>
                  </w:pPr>
                  <w:r>
                    <w:rPr>
                      <w:rFonts w:hint="eastAsia" w:cs="Times New Roman"/>
                      <w:color w:val="auto"/>
                      <w:spacing w:val="0"/>
                      <w:sz w:val="21"/>
                      <w:szCs w:val="21"/>
                      <w:lang w:val="en-US" w:eastAsia="zh-CN"/>
                    </w:rPr>
                    <w:t>现有项目收集范围、种类等均按相关要求执行。除900-214-08外，其他仅限于淄博市境内收集，不跨市收集。</w:t>
                  </w:r>
                </w:p>
              </w:tc>
              <w:tc>
                <w:tcPr>
                  <w:tcW w:w="422" w:type="pct"/>
                  <w:vAlign w:val="center"/>
                </w:tcPr>
                <w:p w14:paraId="3FAB46A9">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符合</w:t>
                  </w:r>
                </w:p>
              </w:tc>
            </w:tr>
            <w:tr w14:paraId="7C2C530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3145" w:type="pct"/>
                  <w:vAlign w:val="center"/>
                </w:tcPr>
                <w:p w14:paraId="22985B21">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left"/>
                    <w:textAlignment w:val="auto"/>
                    <w:rPr>
                      <w:rFonts w:hint="eastAsia" w:cs="Times New Roman"/>
                      <w:color w:val="auto"/>
                      <w:spacing w:val="0"/>
                      <w:sz w:val="21"/>
                      <w:szCs w:val="21"/>
                      <w:lang w:val="en-US" w:eastAsia="zh-CN"/>
                    </w:rPr>
                  </w:pPr>
                  <w:r>
                    <w:rPr>
                      <w:rFonts w:hint="eastAsia" w:cs="Times New Roman"/>
                      <w:color w:val="auto"/>
                      <w:spacing w:val="0"/>
                      <w:sz w:val="21"/>
                      <w:szCs w:val="21"/>
                      <w:lang w:val="en-US" w:eastAsia="zh-CN"/>
                    </w:rPr>
                    <w:t>三、强化事中事后监管</w:t>
                  </w:r>
                </w:p>
                <w:p w14:paraId="663C85E3">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left"/>
                    <w:textAlignment w:val="auto"/>
                    <w:rPr>
                      <w:rFonts w:hint="eastAsia" w:cs="Times New Roman"/>
                      <w:color w:val="auto"/>
                      <w:spacing w:val="0"/>
                      <w:sz w:val="21"/>
                      <w:szCs w:val="21"/>
                      <w:lang w:val="en-US" w:eastAsia="zh-CN"/>
                    </w:rPr>
                  </w:pPr>
                  <w:r>
                    <w:rPr>
                      <w:rFonts w:hint="eastAsia" w:cs="Times New Roman"/>
                      <w:color w:val="auto"/>
                      <w:spacing w:val="0"/>
                      <w:sz w:val="21"/>
                      <w:szCs w:val="21"/>
                      <w:lang w:val="en-US" w:eastAsia="zh-CN"/>
                    </w:rPr>
                    <w:t>各市生态环境局要加强对危险废物收集单位的监管，发现持证单位经营活动违法、违规，或者与许可条件、环评和标准等要求不符的，要依法依规严肃处理并暂扣或者吊销危险废物经营许可证。危险废物集中收集单位应当建立危险废物经营情况记录簿，如实记载收集、贮存、转运危险废物的类别、来源、去向和有无事故等事项，于每月5日前，向所在市生态环境局报告上月危险废物经营活动情况。</w:t>
                  </w:r>
                </w:p>
              </w:tc>
              <w:tc>
                <w:tcPr>
                  <w:tcW w:w="1432" w:type="pct"/>
                  <w:vAlign w:val="center"/>
                </w:tcPr>
                <w:p w14:paraId="2C22A231">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cs="Times New Roman"/>
                      <w:color w:val="auto"/>
                      <w:spacing w:val="0"/>
                      <w:sz w:val="21"/>
                      <w:szCs w:val="21"/>
                      <w:lang w:val="en-US" w:eastAsia="zh-CN"/>
                    </w:rPr>
                  </w:pPr>
                  <w:r>
                    <w:rPr>
                      <w:rFonts w:hint="eastAsia" w:cs="Times New Roman"/>
                      <w:color w:val="auto"/>
                      <w:spacing w:val="0"/>
                      <w:sz w:val="21"/>
                      <w:szCs w:val="21"/>
                      <w:lang w:val="en-US" w:eastAsia="zh-CN"/>
                    </w:rPr>
                    <w:t>现有项目未有违法、违规或与许可条件、环评和标准等要求不符的经营活动，搬迁后也将遵循相关要求依法依规经营。</w:t>
                  </w:r>
                </w:p>
                <w:p w14:paraId="035F06C5">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cs="Times New Roman"/>
                      <w:color w:val="auto"/>
                      <w:spacing w:val="0"/>
                      <w:sz w:val="21"/>
                      <w:szCs w:val="21"/>
                      <w:lang w:val="en-US" w:eastAsia="zh-CN"/>
                    </w:rPr>
                  </w:pPr>
                  <w:r>
                    <w:rPr>
                      <w:rFonts w:hint="eastAsia" w:cs="Times New Roman"/>
                      <w:color w:val="auto"/>
                      <w:spacing w:val="0"/>
                      <w:sz w:val="21"/>
                      <w:szCs w:val="21"/>
                      <w:lang w:val="en-US" w:eastAsia="zh-CN"/>
                    </w:rPr>
                    <w:t>企业建有经营台账，并按时向淄博市生态环境局上报经营活动情况</w:t>
                  </w:r>
                </w:p>
              </w:tc>
              <w:tc>
                <w:tcPr>
                  <w:tcW w:w="422" w:type="pct"/>
                  <w:vAlign w:val="center"/>
                </w:tcPr>
                <w:p w14:paraId="55AC2904">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Times New Roman"/>
                      <w:color w:val="auto"/>
                      <w:spacing w:val="0"/>
                      <w:sz w:val="21"/>
                      <w:szCs w:val="21"/>
                      <w:lang w:val="en-US" w:eastAsia="zh-CN"/>
                    </w:rPr>
                  </w:pPr>
                  <w:r>
                    <w:rPr>
                      <w:rFonts w:hint="eastAsia" w:cs="Times New Roman"/>
                      <w:color w:val="auto"/>
                      <w:spacing w:val="0"/>
                      <w:sz w:val="21"/>
                      <w:szCs w:val="21"/>
                      <w:lang w:val="en-US" w:eastAsia="zh-CN"/>
                    </w:rPr>
                    <w:t>符合</w:t>
                  </w:r>
                </w:p>
              </w:tc>
            </w:tr>
          </w:tbl>
          <w:p w14:paraId="143C93E9">
            <w:pPr>
              <w:keepNext w:val="0"/>
              <w:keepLines w:val="0"/>
              <w:pageBreakBefore w:val="0"/>
              <w:widowControl w:val="0"/>
              <w:kinsoku/>
              <w:wordWrap/>
              <w:overflowPunct/>
              <w:topLinePunct w:val="0"/>
              <w:autoSpaceDE/>
              <w:autoSpaceDN/>
              <w:bidi w:val="0"/>
              <w:adjustRightInd/>
              <w:snapToGrid/>
              <w:spacing w:line="360" w:lineRule="auto"/>
              <w:ind w:left="0" w:right="0" w:firstLine="479"/>
              <w:textAlignment w:val="auto"/>
              <w:rPr>
                <w:rFonts w:hint="eastAsia" w:ascii="Times New Roman" w:hAnsi="Times New Roman" w:eastAsia="宋体" w:cs="Times New Roman"/>
                <w:color w:val="auto"/>
                <w:spacing w:val="0"/>
                <w:sz w:val="24"/>
                <w:szCs w:val="24"/>
                <w:lang w:val="en-US" w:eastAsia="zh-CN"/>
              </w:rPr>
            </w:pPr>
            <w:r>
              <w:rPr>
                <w:rFonts w:hint="default" w:ascii="Times New Roman" w:hAnsi="Times New Roman" w:eastAsia="宋体" w:cs="Times New Roman"/>
                <w:color w:val="auto"/>
                <w:spacing w:val="0"/>
                <w:sz w:val="24"/>
                <w:szCs w:val="24"/>
              </w:rPr>
              <w:t>项目符合</w:t>
            </w:r>
            <w:r>
              <w:rPr>
                <w:rFonts w:hint="eastAsia" w:ascii="Times New Roman" w:hAnsi="Times New Roman" w:eastAsia="宋体" w:cs="Times New Roman"/>
                <w:color w:val="auto"/>
                <w:spacing w:val="0"/>
                <w:sz w:val="24"/>
                <w:szCs w:val="24"/>
                <w:lang w:val="en-US" w:eastAsia="zh-CN"/>
              </w:rPr>
              <w:t>《山东省生态环境厅关于进一步规范危险废物集中收集贮存转运工作的通知》（鲁环字[2021]249号）</w:t>
            </w:r>
            <w:r>
              <w:rPr>
                <w:rFonts w:hint="default" w:ascii="Times New Roman" w:hAnsi="Times New Roman" w:eastAsia="宋体" w:cs="Times New Roman"/>
                <w:color w:val="auto"/>
                <w:spacing w:val="0"/>
                <w:sz w:val="24"/>
                <w:szCs w:val="24"/>
              </w:rPr>
              <w:t>要求。</w:t>
            </w:r>
          </w:p>
          <w:p w14:paraId="38F8D496">
            <w:pPr>
              <w:keepNext w:val="0"/>
              <w:keepLines w:val="0"/>
              <w:pageBreakBefore w:val="0"/>
              <w:widowControl w:val="0"/>
              <w:numPr>
                <w:ilvl w:val="0"/>
                <w:numId w:val="8"/>
              </w:numPr>
              <w:kinsoku/>
              <w:wordWrap/>
              <w:overflowPunct/>
              <w:topLinePunct w:val="0"/>
              <w:autoSpaceDE/>
              <w:autoSpaceDN/>
              <w:bidi w:val="0"/>
              <w:adjustRightInd/>
              <w:snapToGrid/>
              <w:spacing w:line="360" w:lineRule="auto"/>
              <w:ind w:left="0" w:leftChars="0" w:firstLine="425" w:firstLineChars="0"/>
              <w:textAlignment w:val="auto"/>
              <w:rPr>
                <w:rFonts w:hint="eastAsia" w:ascii="Times New Roman" w:hAnsi="Times New Roman" w:eastAsia="宋体" w:cs="Times New Roman"/>
                <w:color w:val="auto"/>
                <w:spacing w:val="0"/>
                <w:sz w:val="24"/>
                <w:szCs w:val="24"/>
                <w:lang w:val="en-US" w:eastAsia="zh-CN"/>
              </w:rPr>
            </w:pPr>
            <w:r>
              <w:rPr>
                <w:rFonts w:hint="eastAsia" w:ascii="Times New Roman" w:hAnsi="Times New Roman" w:eastAsia="宋体" w:cs="Times New Roman"/>
                <w:color w:val="auto"/>
                <w:spacing w:val="0"/>
                <w:sz w:val="24"/>
                <w:szCs w:val="24"/>
                <w:lang w:val="en-US" w:eastAsia="zh-CN"/>
              </w:rPr>
              <w:t>与《山东省涉挥发性有机物企业分行业治理指导意见》</w:t>
            </w:r>
            <w:r>
              <w:rPr>
                <w:rFonts w:hint="eastAsia" w:cs="Times New Roman"/>
                <w:color w:val="auto"/>
                <w:spacing w:val="0"/>
                <w:sz w:val="24"/>
                <w:szCs w:val="24"/>
                <w:lang w:val="en-US" w:eastAsia="zh-CN"/>
              </w:rPr>
              <w:t>（</w:t>
            </w:r>
            <w:r>
              <w:rPr>
                <w:rFonts w:hint="eastAsia" w:ascii="Times New Roman" w:hAnsi="Times New Roman" w:eastAsia="宋体" w:cs="Times New Roman"/>
                <w:color w:val="auto"/>
                <w:spacing w:val="0"/>
                <w:sz w:val="24"/>
                <w:szCs w:val="24"/>
                <w:lang w:val="en-US" w:eastAsia="zh-CN"/>
              </w:rPr>
              <w:t>鲁环发[2019]146号</w:t>
            </w:r>
            <w:r>
              <w:rPr>
                <w:rFonts w:hint="eastAsia" w:cs="Times New Roman"/>
                <w:color w:val="auto"/>
                <w:spacing w:val="0"/>
                <w:sz w:val="24"/>
                <w:szCs w:val="24"/>
                <w:lang w:val="en-US" w:eastAsia="zh-CN"/>
              </w:rPr>
              <w:t>）</w:t>
            </w:r>
            <w:r>
              <w:rPr>
                <w:rFonts w:hint="eastAsia" w:ascii="Times New Roman" w:hAnsi="Times New Roman" w:eastAsia="宋体" w:cs="Times New Roman"/>
                <w:color w:val="auto"/>
                <w:spacing w:val="0"/>
                <w:sz w:val="24"/>
                <w:szCs w:val="24"/>
                <w:lang w:val="en-US" w:eastAsia="zh-CN"/>
              </w:rPr>
              <w:t>符合性分析</w:t>
            </w:r>
          </w:p>
          <w:p w14:paraId="6384E978">
            <w:pPr>
              <w:keepNext w:val="0"/>
              <w:keepLines w:val="0"/>
              <w:pageBreakBefore w:val="0"/>
              <w:widowControl w:val="0"/>
              <w:numPr>
                <w:ilvl w:val="0"/>
                <w:numId w:val="9"/>
              </w:numPr>
              <w:kinsoku/>
              <w:wordWrap/>
              <w:overflowPunct/>
              <w:topLinePunct w:val="0"/>
              <w:autoSpaceDE w:val="0"/>
              <w:autoSpaceDN w:val="0"/>
              <w:bidi w:val="0"/>
              <w:adjustRightInd w:val="0"/>
              <w:snapToGrid/>
              <w:spacing w:line="360" w:lineRule="auto"/>
              <w:ind w:left="3150" w:leftChars="0" w:hanging="3110" w:firstLineChars="0"/>
              <w:jc w:val="center"/>
              <w:textAlignment w:val="auto"/>
              <w:rPr>
                <w:rFonts w:hint="eastAsia" w:ascii="宋体" w:hAnsi="宋体" w:eastAsia="宋体" w:cs="宋体"/>
                <w:b/>
                <w:bCs/>
                <w:color w:val="auto"/>
                <w:kern w:val="0"/>
                <w:sz w:val="24"/>
                <w:szCs w:val="24"/>
                <w:lang w:val="en-US" w:eastAsia="zh-CN" w:bidi="ar"/>
              </w:rPr>
            </w:pPr>
            <w:r>
              <w:rPr>
                <w:rFonts w:hint="eastAsia" w:ascii="宋体" w:hAnsi="宋体" w:eastAsia="宋体" w:cs="宋体"/>
                <w:b/>
                <w:bCs/>
                <w:color w:val="auto"/>
                <w:kern w:val="0"/>
                <w:sz w:val="24"/>
                <w:szCs w:val="24"/>
                <w:lang w:val="en-US" w:eastAsia="zh-CN" w:bidi="ar"/>
              </w:rPr>
              <w:t>与鲁环发[2019]146号</w:t>
            </w:r>
            <w:r>
              <w:rPr>
                <w:rFonts w:hint="eastAsia" w:ascii="宋体" w:hAnsi="宋体" w:cs="宋体"/>
                <w:b/>
                <w:bCs/>
                <w:color w:val="auto"/>
                <w:kern w:val="0"/>
                <w:sz w:val="24"/>
                <w:szCs w:val="24"/>
                <w:lang w:val="en-US" w:eastAsia="zh-CN" w:bidi="ar"/>
              </w:rPr>
              <w:t>文</w:t>
            </w:r>
            <w:r>
              <w:rPr>
                <w:rFonts w:hint="eastAsia" w:ascii="宋体" w:hAnsi="宋体" w:eastAsia="宋体" w:cs="宋体"/>
                <w:b/>
                <w:bCs/>
                <w:color w:val="auto"/>
                <w:kern w:val="0"/>
                <w:sz w:val="24"/>
                <w:szCs w:val="24"/>
                <w:lang w:val="en-US" w:eastAsia="zh-CN" w:bidi="ar"/>
              </w:rPr>
              <w:t>相关要求符合性</w:t>
            </w:r>
          </w:p>
          <w:tbl>
            <w:tblPr>
              <w:tblStyle w:val="89"/>
              <w:tblW w:w="4994"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5217"/>
              <w:gridCol w:w="1744"/>
              <w:gridCol w:w="695"/>
            </w:tblGrid>
            <w:tr w14:paraId="159C938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3406" w:type="pct"/>
                  <w:vAlign w:val="center"/>
                </w:tcPr>
                <w:p w14:paraId="7C30B8DD">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鲁环发[2019]146号要求</w:t>
                  </w:r>
                </w:p>
              </w:tc>
              <w:tc>
                <w:tcPr>
                  <w:tcW w:w="1139" w:type="pct"/>
                  <w:vAlign w:val="center"/>
                </w:tcPr>
                <w:p w14:paraId="68021CFB">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项目相关</w:t>
                  </w:r>
                </w:p>
              </w:tc>
              <w:tc>
                <w:tcPr>
                  <w:tcW w:w="454" w:type="pct"/>
                  <w:vAlign w:val="center"/>
                </w:tcPr>
                <w:p w14:paraId="4F2CE556">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符合性</w:t>
                  </w:r>
                </w:p>
              </w:tc>
            </w:tr>
            <w:tr w14:paraId="3568215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3406" w:type="pct"/>
                  <w:vAlign w:val="center"/>
                </w:tcPr>
                <w:p w14:paraId="1CC4A5E4">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加强无组织排放控制。重点对含</w:t>
                  </w:r>
                  <w:r>
                    <w:rPr>
                      <w:rFonts w:hint="eastAsia" w:cs="Times New Roman"/>
                      <w:color w:val="auto"/>
                      <w:spacing w:val="0"/>
                      <w:sz w:val="21"/>
                      <w:szCs w:val="21"/>
                      <w:lang w:eastAsia="zh-CN"/>
                    </w:rPr>
                    <w:t>VOCs（以非甲烷总烃计）</w:t>
                  </w:r>
                  <w:r>
                    <w:rPr>
                      <w:rFonts w:hint="default" w:ascii="Times New Roman" w:hAnsi="Times New Roman" w:eastAsia="宋体" w:cs="Times New Roman"/>
                      <w:color w:val="auto"/>
                      <w:spacing w:val="0"/>
                      <w:sz w:val="21"/>
                      <w:szCs w:val="21"/>
                    </w:rPr>
                    <w:t>物料</w:t>
                  </w:r>
                  <w:r>
                    <w:rPr>
                      <w:rFonts w:hint="eastAsia" w:cs="Times New Roman"/>
                      <w:color w:val="auto"/>
                      <w:spacing w:val="0"/>
                      <w:sz w:val="21"/>
                      <w:szCs w:val="21"/>
                      <w:lang w:eastAsia="zh-CN"/>
                    </w:rPr>
                    <w:t>（</w:t>
                  </w:r>
                  <w:r>
                    <w:rPr>
                      <w:rFonts w:hint="default" w:ascii="Times New Roman" w:hAnsi="Times New Roman" w:eastAsia="宋体" w:cs="Times New Roman"/>
                      <w:color w:val="auto"/>
                      <w:spacing w:val="0"/>
                      <w:sz w:val="21"/>
                      <w:szCs w:val="21"/>
                    </w:rPr>
                    <w:t>包括含</w:t>
                  </w:r>
                  <w:r>
                    <w:rPr>
                      <w:rFonts w:hint="eastAsia" w:cs="Times New Roman"/>
                      <w:color w:val="auto"/>
                      <w:spacing w:val="0"/>
                      <w:sz w:val="21"/>
                      <w:szCs w:val="21"/>
                      <w:lang w:eastAsia="zh-CN"/>
                    </w:rPr>
                    <w:t>VOCs（以非甲烷总烃计）</w:t>
                  </w:r>
                  <w:r>
                    <w:rPr>
                      <w:rFonts w:hint="default" w:ascii="Times New Roman" w:hAnsi="Times New Roman" w:eastAsia="宋体" w:cs="Times New Roman"/>
                      <w:color w:val="auto"/>
                      <w:spacing w:val="0"/>
                      <w:sz w:val="21"/>
                      <w:szCs w:val="21"/>
                    </w:rPr>
                    <w:t>原辅材料、含</w:t>
                  </w:r>
                  <w:r>
                    <w:rPr>
                      <w:rFonts w:hint="eastAsia" w:cs="Times New Roman"/>
                      <w:color w:val="auto"/>
                      <w:spacing w:val="0"/>
                      <w:sz w:val="21"/>
                      <w:szCs w:val="21"/>
                      <w:lang w:eastAsia="zh-CN"/>
                    </w:rPr>
                    <w:t>VOCs（以非甲烷总烃计）</w:t>
                  </w:r>
                  <w:r>
                    <w:rPr>
                      <w:rFonts w:hint="default" w:ascii="Times New Roman" w:hAnsi="Times New Roman" w:eastAsia="宋体" w:cs="Times New Roman"/>
                      <w:color w:val="auto"/>
                      <w:spacing w:val="0"/>
                      <w:sz w:val="21"/>
                      <w:szCs w:val="21"/>
                    </w:rPr>
                    <w:t>产品、含</w:t>
                  </w:r>
                  <w:r>
                    <w:rPr>
                      <w:rFonts w:hint="eastAsia" w:cs="Times New Roman"/>
                      <w:color w:val="auto"/>
                      <w:spacing w:val="0"/>
                      <w:sz w:val="21"/>
                      <w:szCs w:val="21"/>
                      <w:lang w:eastAsia="zh-CN"/>
                    </w:rPr>
                    <w:t>VOCs（以非甲烷总烃计）</w:t>
                  </w:r>
                  <w:r>
                    <w:rPr>
                      <w:rFonts w:hint="default" w:ascii="Times New Roman" w:hAnsi="Times New Roman" w:eastAsia="宋体" w:cs="Times New Roman"/>
                      <w:color w:val="auto"/>
                      <w:spacing w:val="0"/>
                      <w:sz w:val="21"/>
                      <w:szCs w:val="21"/>
                    </w:rPr>
                    <w:t>废料以及有机聚合物材料等</w:t>
                  </w:r>
                  <w:r>
                    <w:rPr>
                      <w:rFonts w:hint="eastAsia" w:cs="Times New Roman"/>
                      <w:color w:val="auto"/>
                      <w:spacing w:val="0"/>
                      <w:sz w:val="21"/>
                      <w:szCs w:val="21"/>
                      <w:lang w:eastAsia="zh-CN"/>
                    </w:rPr>
                    <w:t>）</w:t>
                  </w:r>
                  <w:r>
                    <w:rPr>
                      <w:rFonts w:hint="default" w:ascii="Times New Roman" w:hAnsi="Times New Roman" w:eastAsia="宋体" w:cs="Times New Roman"/>
                      <w:color w:val="auto"/>
                      <w:spacing w:val="0"/>
                      <w:sz w:val="21"/>
                      <w:szCs w:val="21"/>
                    </w:rPr>
                    <w:t>储存、转移和输送、设备与管线组件泄漏、敞开液面逸散、工艺过程等五类排放源实施管控，通过采取设备与场所密闭、工艺改进、废气有效收集等措施，削减</w:t>
                  </w:r>
                  <w:r>
                    <w:rPr>
                      <w:rFonts w:hint="eastAsia" w:cs="Times New Roman"/>
                      <w:color w:val="auto"/>
                      <w:spacing w:val="0"/>
                      <w:sz w:val="21"/>
                      <w:szCs w:val="21"/>
                      <w:lang w:eastAsia="zh-CN"/>
                    </w:rPr>
                    <w:t>VOCs（以非甲烷总烃计）</w:t>
                  </w:r>
                  <w:r>
                    <w:rPr>
                      <w:rFonts w:hint="default" w:ascii="Times New Roman" w:hAnsi="Times New Roman" w:eastAsia="宋体" w:cs="Times New Roman"/>
                      <w:color w:val="auto"/>
                      <w:spacing w:val="0"/>
                      <w:sz w:val="21"/>
                      <w:szCs w:val="21"/>
                    </w:rPr>
                    <w:t>无组织排放</w:t>
                  </w:r>
                </w:p>
              </w:tc>
              <w:tc>
                <w:tcPr>
                  <w:tcW w:w="1139" w:type="pct"/>
                  <w:vAlign w:val="center"/>
                </w:tcPr>
                <w:p w14:paraId="17A491C3">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rPr>
                    <w:t>项目</w:t>
                  </w:r>
                  <w:r>
                    <w:rPr>
                      <w:rFonts w:hint="eastAsia" w:cs="Times New Roman"/>
                      <w:color w:val="auto"/>
                      <w:spacing w:val="0"/>
                      <w:sz w:val="21"/>
                      <w:szCs w:val="21"/>
                      <w:lang w:val="en-US" w:eastAsia="zh-CN"/>
                    </w:rPr>
                    <w:t>不对进场容器进行开封，保持密闭。散逸至仓库内的异味气体（VOCs）</w:t>
                  </w:r>
                  <w:r>
                    <w:rPr>
                      <w:rFonts w:hint="default" w:ascii="Times New Roman" w:hAnsi="Times New Roman" w:eastAsia="宋体" w:cs="Times New Roman"/>
                      <w:color w:val="auto"/>
                      <w:spacing w:val="0"/>
                      <w:sz w:val="21"/>
                      <w:szCs w:val="21"/>
                    </w:rPr>
                    <w:t>采用</w:t>
                  </w:r>
                  <w:r>
                    <w:rPr>
                      <w:rFonts w:hint="default" w:ascii="Times New Roman" w:hAnsi="Times New Roman" w:eastAsia="宋体" w:cs="Times New Roman"/>
                      <w:color w:val="auto"/>
                      <w:spacing w:val="0"/>
                      <w:sz w:val="21"/>
                      <w:szCs w:val="21"/>
                      <w:lang w:val="en-US" w:eastAsia="zh-CN"/>
                    </w:rPr>
                    <w:t>活性炭吸附</w:t>
                  </w:r>
                  <w:r>
                    <w:rPr>
                      <w:rFonts w:hint="default" w:ascii="Times New Roman" w:hAnsi="Times New Roman" w:eastAsia="宋体" w:cs="Times New Roman"/>
                      <w:color w:val="auto"/>
                      <w:spacing w:val="0"/>
                      <w:sz w:val="21"/>
                      <w:szCs w:val="21"/>
                    </w:rPr>
                    <w:t>治理措施</w:t>
                  </w:r>
                  <w:r>
                    <w:rPr>
                      <w:rFonts w:hint="default" w:ascii="Times New Roman" w:hAnsi="Times New Roman" w:eastAsia="宋体" w:cs="Times New Roman"/>
                      <w:color w:val="auto"/>
                      <w:spacing w:val="0"/>
                      <w:sz w:val="21"/>
                      <w:szCs w:val="21"/>
                      <w:lang w:val="en-US" w:eastAsia="zh-CN"/>
                    </w:rPr>
                    <w:t>处理后达标排放</w:t>
                  </w:r>
                </w:p>
              </w:tc>
              <w:tc>
                <w:tcPr>
                  <w:tcW w:w="454" w:type="pct"/>
                  <w:vAlign w:val="center"/>
                </w:tcPr>
                <w:p w14:paraId="46F50CF4">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符合</w:t>
                  </w:r>
                </w:p>
              </w:tc>
            </w:tr>
            <w:tr w14:paraId="7507A78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805" w:hRule="atLeast"/>
              </w:trPr>
              <w:tc>
                <w:tcPr>
                  <w:tcW w:w="3406" w:type="pct"/>
                  <w:vAlign w:val="center"/>
                </w:tcPr>
                <w:p w14:paraId="365D1EED">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Times New Roman"/>
                      <w:color w:val="auto"/>
                      <w:spacing w:val="0"/>
                      <w:sz w:val="21"/>
                      <w:szCs w:val="21"/>
                      <w:lang w:eastAsia="zh-CN"/>
                    </w:rPr>
                  </w:pPr>
                  <w:r>
                    <w:rPr>
                      <w:rFonts w:hint="default" w:ascii="Times New Roman" w:hAnsi="Times New Roman" w:eastAsia="宋体" w:cs="Times New Roman"/>
                      <w:color w:val="auto"/>
                      <w:spacing w:val="-6"/>
                      <w:sz w:val="21"/>
                      <w:szCs w:val="21"/>
                    </w:rPr>
                    <w:t>加强设备与场所密闭管理。含</w:t>
                  </w:r>
                  <w:r>
                    <w:rPr>
                      <w:rFonts w:hint="eastAsia" w:cs="Times New Roman"/>
                      <w:color w:val="auto"/>
                      <w:spacing w:val="-6"/>
                      <w:sz w:val="21"/>
                      <w:szCs w:val="21"/>
                      <w:lang w:eastAsia="zh-CN"/>
                    </w:rPr>
                    <w:t>VOCs（以非甲烷总烃计）</w:t>
                  </w:r>
                  <w:r>
                    <w:rPr>
                      <w:rFonts w:hint="default" w:ascii="Times New Roman" w:hAnsi="Times New Roman" w:eastAsia="宋体" w:cs="Times New Roman"/>
                      <w:color w:val="auto"/>
                      <w:spacing w:val="-6"/>
                      <w:sz w:val="21"/>
                      <w:szCs w:val="21"/>
                    </w:rPr>
                    <w:t>物料应储存于密闭容器、包装袋，高效密封储罐，封闭式储库、料仓等。含</w:t>
                  </w:r>
                  <w:r>
                    <w:rPr>
                      <w:rFonts w:hint="eastAsia" w:cs="Times New Roman"/>
                      <w:color w:val="auto"/>
                      <w:spacing w:val="-6"/>
                      <w:sz w:val="21"/>
                      <w:szCs w:val="21"/>
                      <w:lang w:eastAsia="zh-CN"/>
                    </w:rPr>
                    <w:t>VOCs（以非甲烷总烃计）</w:t>
                  </w:r>
                  <w:r>
                    <w:rPr>
                      <w:rFonts w:hint="default" w:ascii="Times New Roman" w:hAnsi="Times New Roman" w:eastAsia="宋体" w:cs="Times New Roman"/>
                      <w:color w:val="auto"/>
                      <w:spacing w:val="-6"/>
                      <w:sz w:val="21"/>
                      <w:szCs w:val="21"/>
                    </w:rPr>
                    <w:t>物料转移和输送，应采用密闭管道或密闭容器、罐车等。高</w:t>
                  </w:r>
                  <w:r>
                    <w:rPr>
                      <w:rFonts w:hint="eastAsia" w:cs="Times New Roman"/>
                      <w:color w:val="auto"/>
                      <w:spacing w:val="-6"/>
                      <w:sz w:val="21"/>
                      <w:szCs w:val="21"/>
                      <w:lang w:eastAsia="zh-CN"/>
                    </w:rPr>
                    <w:t>VOCs（以非甲烷总烃计）</w:t>
                  </w:r>
                  <w:r>
                    <w:rPr>
                      <w:rFonts w:hint="default" w:ascii="Times New Roman" w:hAnsi="Times New Roman" w:eastAsia="宋体" w:cs="Times New Roman"/>
                      <w:color w:val="auto"/>
                      <w:spacing w:val="-6"/>
                      <w:sz w:val="21"/>
                      <w:szCs w:val="21"/>
                    </w:rPr>
                    <w:t>含量废水</w:t>
                  </w:r>
                  <w:r>
                    <w:rPr>
                      <w:rFonts w:hint="eastAsia" w:cs="Times New Roman"/>
                      <w:color w:val="auto"/>
                      <w:spacing w:val="-6"/>
                      <w:sz w:val="21"/>
                      <w:szCs w:val="21"/>
                      <w:lang w:eastAsia="zh-CN"/>
                    </w:rPr>
                    <w:t>（</w:t>
                  </w:r>
                  <w:r>
                    <w:rPr>
                      <w:rFonts w:hint="default" w:ascii="Times New Roman" w:hAnsi="Times New Roman" w:eastAsia="宋体" w:cs="Times New Roman"/>
                      <w:color w:val="auto"/>
                      <w:spacing w:val="-6"/>
                      <w:sz w:val="21"/>
                      <w:szCs w:val="21"/>
                    </w:rPr>
                    <w:t>废水液面上方100毫米处</w:t>
                  </w:r>
                  <w:r>
                    <w:rPr>
                      <w:rFonts w:hint="eastAsia" w:cs="Times New Roman"/>
                      <w:color w:val="auto"/>
                      <w:spacing w:val="-6"/>
                      <w:sz w:val="21"/>
                      <w:szCs w:val="21"/>
                      <w:lang w:eastAsia="zh-CN"/>
                    </w:rPr>
                    <w:t>VOCs（以非甲烷总烃计）</w:t>
                  </w:r>
                  <w:r>
                    <w:rPr>
                      <w:rFonts w:hint="default" w:ascii="Times New Roman" w:hAnsi="Times New Roman" w:eastAsia="宋体" w:cs="Times New Roman"/>
                      <w:color w:val="auto"/>
                      <w:spacing w:val="-6"/>
                      <w:sz w:val="21"/>
                      <w:szCs w:val="21"/>
                    </w:rPr>
                    <w:t>检测浓度超过200ppm，其中重点区域超过100ppm，以碳计</w:t>
                  </w:r>
                  <w:r>
                    <w:rPr>
                      <w:rFonts w:hint="eastAsia" w:cs="Times New Roman"/>
                      <w:color w:val="auto"/>
                      <w:spacing w:val="-6"/>
                      <w:sz w:val="21"/>
                      <w:szCs w:val="21"/>
                      <w:lang w:eastAsia="zh-CN"/>
                    </w:rPr>
                    <w:t>）</w:t>
                  </w:r>
                  <w:r>
                    <w:rPr>
                      <w:rFonts w:hint="default" w:ascii="Times New Roman" w:hAnsi="Times New Roman" w:eastAsia="宋体" w:cs="Times New Roman"/>
                      <w:color w:val="auto"/>
                      <w:spacing w:val="-6"/>
                      <w:sz w:val="21"/>
                      <w:szCs w:val="21"/>
                    </w:rPr>
                    <w:t>的收集运输、储存和处理过程，应加盖密闭。含</w:t>
                  </w:r>
                  <w:r>
                    <w:rPr>
                      <w:rFonts w:hint="eastAsia" w:cs="Times New Roman"/>
                      <w:color w:val="auto"/>
                      <w:spacing w:val="-6"/>
                      <w:sz w:val="21"/>
                      <w:szCs w:val="21"/>
                      <w:lang w:eastAsia="zh-CN"/>
                    </w:rPr>
                    <w:t>VOCs（以非甲烷总烃计）</w:t>
                  </w:r>
                  <w:r>
                    <w:rPr>
                      <w:rFonts w:hint="default" w:ascii="Times New Roman" w:hAnsi="Times New Roman" w:eastAsia="宋体" w:cs="Times New Roman"/>
                      <w:color w:val="auto"/>
                      <w:spacing w:val="-6"/>
                      <w:sz w:val="21"/>
                      <w:szCs w:val="21"/>
                    </w:rPr>
                    <w:t>物料生产和使用过程，应采取有效收集措施或在密闭空间中操作</w:t>
                  </w:r>
                  <w:r>
                    <w:rPr>
                      <w:rFonts w:hint="eastAsia" w:cs="Times New Roman"/>
                      <w:color w:val="auto"/>
                      <w:spacing w:val="-6"/>
                      <w:sz w:val="21"/>
                      <w:szCs w:val="21"/>
                      <w:lang w:eastAsia="zh-CN"/>
                    </w:rPr>
                    <w:t>。</w:t>
                  </w:r>
                </w:p>
              </w:tc>
              <w:tc>
                <w:tcPr>
                  <w:tcW w:w="1139" w:type="pct"/>
                  <w:vAlign w:val="center"/>
                </w:tcPr>
                <w:p w14:paraId="27A53BBF">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0"/>
                      <w:sz w:val="21"/>
                      <w:szCs w:val="21"/>
                      <w:lang w:val="en-US" w:eastAsia="zh-CN"/>
                    </w:rPr>
                  </w:pPr>
                  <w:r>
                    <w:rPr>
                      <w:rFonts w:hint="eastAsia" w:cs="Times New Roman"/>
                      <w:color w:val="auto"/>
                      <w:spacing w:val="0"/>
                      <w:sz w:val="21"/>
                      <w:szCs w:val="21"/>
                      <w:lang w:val="en-US" w:eastAsia="zh-CN"/>
                    </w:rPr>
                    <w:t>进场的含VOCs（以非甲烷总烃计）物料均储存于密闭容器内，仓库采用封闭式，设车间废气收集系统，经活性炭吸附后达标排放</w:t>
                  </w:r>
                </w:p>
              </w:tc>
              <w:tc>
                <w:tcPr>
                  <w:tcW w:w="454" w:type="pct"/>
                  <w:vAlign w:val="center"/>
                </w:tcPr>
                <w:p w14:paraId="7E196417">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符合</w:t>
                  </w:r>
                </w:p>
              </w:tc>
            </w:tr>
            <w:tr w14:paraId="338A2C3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3406" w:type="pct"/>
                  <w:vAlign w:val="center"/>
                </w:tcPr>
                <w:p w14:paraId="61389ECF">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6"/>
                      <w:sz w:val="21"/>
                      <w:szCs w:val="21"/>
                    </w:rPr>
                    <w:t>推进使用先进生产工艺。通过采用全密闭、连续化、自动化等生产技术，以及高效工艺与设备等，减少工艺过程无组织排放。挥发性有机液体装载优先采用底部装载方式</w:t>
                  </w:r>
                </w:p>
              </w:tc>
              <w:tc>
                <w:tcPr>
                  <w:tcW w:w="1139" w:type="pct"/>
                  <w:vAlign w:val="center"/>
                </w:tcPr>
                <w:p w14:paraId="2DB397B0">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0"/>
                      <w:sz w:val="21"/>
                      <w:szCs w:val="21"/>
                      <w:lang w:val="en-US" w:eastAsia="zh-CN"/>
                    </w:rPr>
                  </w:pPr>
                  <w:r>
                    <w:rPr>
                      <w:rFonts w:hint="eastAsia" w:cs="Times New Roman"/>
                      <w:color w:val="auto"/>
                      <w:spacing w:val="0"/>
                      <w:sz w:val="21"/>
                      <w:szCs w:val="21"/>
                      <w:lang w:val="en-US" w:eastAsia="zh-CN"/>
                    </w:rPr>
                    <w:t>项目不涉及生产</w:t>
                  </w:r>
                </w:p>
              </w:tc>
              <w:tc>
                <w:tcPr>
                  <w:tcW w:w="454" w:type="pct"/>
                  <w:vAlign w:val="center"/>
                </w:tcPr>
                <w:p w14:paraId="3F64B815">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符合</w:t>
                  </w:r>
                </w:p>
              </w:tc>
            </w:tr>
            <w:tr w14:paraId="3FD63B2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3406" w:type="pct"/>
                  <w:vAlign w:val="center"/>
                </w:tcPr>
                <w:p w14:paraId="143355D1">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遵循“应收尽收、分质收集”的原则，科学设计废气收集系统，将无组织排放转变为有组织排放进行控制。采用全密闭措施的，除行业有特殊要求外，应保持微负压状态，并根据相关规范合理设置配风量。采用局部集气罩的，距集气罩开口面最远处的</w:t>
                  </w:r>
                  <w:r>
                    <w:rPr>
                      <w:rFonts w:hint="eastAsia" w:cs="Times New Roman"/>
                      <w:color w:val="auto"/>
                      <w:spacing w:val="0"/>
                      <w:sz w:val="21"/>
                      <w:szCs w:val="21"/>
                      <w:lang w:eastAsia="zh-CN"/>
                    </w:rPr>
                    <w:t>VOCs（以非甲烷总烃计）</w:t>
                  </w:r>
                  <w:r>
                    <w:rPr>
                      <w:rFonts w:hint="default" w:ascii="Times New Roman" w:hAnsi="Times New Roman" w:eastAsia="宋体" w:cs="Times New Roman"/>
                      <w:color w:val="auto"/>
                      <w:spacing w:val="0"/>
                      <w:sz w:val="21"/>
                      <w:szCs w:val="21"/>
                    </w:rPr>
                    <w:t>无组织排放位置，控制风速应不低于0.3米/秒，有行业要求的按照相关规定执行；集气罩的设计、安装应符合《机械安全局部排气通风系统安全要求》</w:t>
                  </w:r>
                  <w:r>
                    <w:rPr>
                      <w:rFonts w:hint="eastAsia" w:cs="Times New Roman"/>
                      <w:color w:val="auto"/>
                      <w:spacing w:val="0"/>
                      <w:sz w:val="21"/>
                      <w:szCs w:val="21"/>
                      <w:lang w:eastAsia="zh-CN"/>
                    </w:rPr>
                    <w:t>（</w:t>
                  </w:r>
                  <w:r>
                    <w:rPr>
                      <w:rFonts w:hint="default" w:ascii="Times New Roman" w:hAnsi="Times New Roman" w:eastAsia="宋体" w:cs="Times New Roman"/>
                      <w:color w:val="auto"/>
                      <w:spacing w:val="0"/>
                      <w:sz w:val="21"/>
                      <w:szCs w:val="21"/>
                    </w:rPr>
                    <w:t>GB/T35077</w:t>
                  </w:r>
                  <w:r>
                    <w:rPr>
                      <w:rFonts w:hint="eastAsia" w:cs="Times New Roman"/>
                      <w:color w:val="auto"/>
                      <w:spacing w:val="0"/>
                      <w:sz w:val="21"/>
                      <w:szCs w:val="21"/>
                      <w:lang w:eastAsia="zh-CN"/>
                    </w:rPr>
                    <w:t>）</w:t>
                  </w:r>
                  <w:r>
                    <w:rPr>
                      <w:rFonts w:hint="default" w:ascii="Times New Roman" w:hAnsi="Times New Roman" w:eastAsia="宋体" w:cs="Times New Roman"/>
                      <w:color w:val="auto"/>
                      <w:spacing w:val="0"/>
                      <w:sz w:val="21"/>
                      <w:szCs w:val="21"/>
                    </w:rPr>
                    <w:t>，通风管路设计应符合《通风管道技术规程》</w:t>
                  </w:r>
                  <w:r>
                    <w:rPr>
                      <w:rFonts w:hint="eastAsia" w:cs="Times New Roman"/>
                      <w:color w:val="auto"/>
                      <w:spacing w:val="0"/>
                      <w:sz w:val="21"/>
                      <w:szCs w:val="21"/>
                      <w:lang w:eastAsia="zh-CN"/>
                    </w:rPr>
                    <w:t>（</w:t>
                  </w:r>
                  <w:r>
                    <w:rPr>
                      <w:rFonts w:hint="default" w:ascii="Times New Roman" w:hAnsi="Times New Roman" w:eastAsia="宋体" w:cs="Times New Roman"/>
                      <w:color w:val="auto"/>
                      <w:spacing w:val="0"/>
                      <w:sz w:val="21"/>
                      <w:szCs w:val="21"/>
                    </w:rPr>
                    <w:t>JGJ/T141</w:t>
                  </w:r>
                  <w:r>
                    <w:rPr>
                      <w:rFonts w:hint="eastAsia" w:cs="Times New Roman"/>
                      <w:color w:val="auto"/>
                      <w:spacing w:val="0"/>
                      <w:sz w:val="21"/>
                      <w:szCs w:val="21"/>
                      <w:lang w:eastAsia="zh-CN"/>
                    </w:rPr>
                    <w:t>）</w:t>
                  </w:r>
                  <w:r>
                    <w:rPr>
                      <w:rFonts w:hint="default" w:ascii="Times New Roman" w:hAnsi="Times New Roman" w:eastAsia="宋体" w:cs="Times New Roman"/>
                      <w:color w:val="auto"/>
                      <w:spacing w:val="0"/>
                      <w:sz w:val="21"/>
                      <w:szCs w:val="21"/>
                    </w:rPr>
                    <w:t>等相关规范要求，</w:t>
                  </w:r>
                  <w:r>
                    <w:rPr>
                      <w:rFonts w:hint="eastAsia" w:cs="Times New Roman"/>
                      <w:color w:val="auto"/>
                      <w:spacing w:val="0"/>
                      <w:sz w:val="21"/>
                      <w:szCs w:val="21"/>
                      <w:lang w:eastAsia="zh-CN"/>
                    </w:rPr>
                    <w:t>VOCs（以非甲烷总烃计）</w:t>
                  </w:r>
                  <w:r>
                    <w:rPr>
                      <w:rFonts w:hint="default" w:ascii="Times New Roman" w:hAnsi="Times New Roman" w:eastAsia="宋体" w:cs="Times New Roman"/>
                      <w:color w:val="auto"/>
                      <w:spacing w:val="0"/>
                      <w:sz w:val="21"/>
                      <w:szCs w:val="21"/>
                    </w:rPr>
                    <w:t>废气管路不得与其他废气管路合并</w:t>
                  </w:r>
                </w:p>
              </w:tc>
              <w:tc>
                <w:tcPr>
                  <w:tcW w:w="1139" w:type="pct"/>
                  <w:vAlign w:val="center"/>
                </w:tcPr>
                <w:p w14:paraId="0612E868">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0"/>
                      <w:sz w:val="21"/>
                      <w:szCs w:val="21"/>
                      <w:lang w:val="en-US" w:eastAsia="zh-CN"/>
                    </w:rPr>
                  </w:pPr>
                  <w:r>
                    <w:rPr>
                      <w:rFonts w:hint="eastAsia" w:cs="Times New Roman"/>
                      <w:color w:val="auto"/>
                      <w:spacing w:val="0"/>
                      <w:sz w:val="21"/>
                      <w:szCs w:val="21"/>
                      <w:lang w:val="en-US" w:eastAsia="zh-CN"/>
                    </w:rPr>
                    <w:t>车间设有废气收集系统，按相关要求执行。不与其他废气管路合并</w:t>
                  </w:r>
                </w:p>
              </w:tc>
              <w:tc>
                <w:tcPr>
                  <w:tcW w:w="454" w:type="pct"/>
                  <w:vAlign w:val="center"/>
                </w:tcPr>
                <w:p w14:paraId="7E6729F1">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符合</w:t>
                  </w:r>
                </w:p>
              </w:tc>
            </w:tr>
            <w:tr w14:paraId="66BC053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73" w:hRule="atLeast"/>
              </w:trPr>
              <w:tc>
                <w:tcPr>
                  <w:tcW w:w="3406" w:type="pct"/>
                  <w:vAlign w:val="center"/>
                </w:tcPr>
                <w:p w14:paraId="7BD63A4A">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推进建设适宜高效的治污设施。企业新建治污设施或对现有治污设施实施改造，应依据排放废气的浓度、组分、风量，温度、湿度、压力，以及生产工况等，合理选择治理技术。鼓励企业采用多种技术的组合工艺，提高</w:t>
                  </w:r>
                  <w:r>
                    <w:rPr>
                      <w:rFonts w:hint="eastAsia" w:cs="Times New Roman"/>
                      <w:color w:val="auto"/>
                      <w:spacing w:val="0"/>
                      <w:sz w:val="21"/>
                      <w:szCs w:val="21"/>
                      <w:lang w:eastAsia="zh-CN"/>
                    </w:rPr>
                    <w:t>VOCs（以非甲烷总烃计）</w:t>
                  </w:r>
                  <w:r>
                    <w:rPr>
                      <w:rFonts w:hint="default" w:ascii="Times New Roman" w:hAnsi="Times New Roman" w:eastAsia="宋体" w:cs="Times New Roman"/>
                      <w:color w:val="auto"/>
                      <w:spacing w:val="0"/>
                      <w:sz w:val="21"/>
                      <w:szCs w:val="21"/>
                    </w:rPr>
                    <w:t>治理效率</w:t>
                  </w:r>
                </w:p>
              </w:tc>
              <w:tc>
                <w:tcPr>
                  <w:tcW w:w="1139" w:type="pct"/>
                  <w:vAlign w:val="center"/>
                </w:tcPr>
                <w:p w14:paraId="43ABFF6E">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rPr>
                    <w:t>本项目</w:t>
                  </w:r>
                  <w:r>
                    <w:rPr>
                      <w:rFonts w:hint="eastAsia" w:cs="Times New Roman"/>
                      <w:color w:val="auto"/>
                      <w:spacing w:val="0"/>
                      <w:sz w:val="21"/>
                      <w:szCs w:val="21"/>
                      <w:lang w:eastAsia="zh-CN"/>
                    </w:rPr>
                    <w:t>VOCs（以非甲烷总烃计）</w:t>
                  </w:r>
                  <w:r>
                    <w:rPr>
                      <w:rFonts w:hint="default" w:ascii="Times New Roman" w:hAnsi="Times New Roman" w:eastAsia="宋体" w:cs="Times New Roman"/>
                      <w:color w:val="auto"/>
                      <w:spacing w:val="0"/>
                      <w:sz w:val="21"/>
                      <w:szCs w:val="21"/>
                    </w:rPr>
                    <w:t>采取</w:t>
                  </w:r>
                  <w:r>
                    <w:rPr>
                      <w:rFonts w:hint="default" w:ascii="Times New Roman" w:hAnsi="Times New Roman" w:eastAsia="宋体" w:cs="Times New Roman"/>
                      <w:color w:val="auto"/>
                      <w:spacing w:val="0"/>
                      <w:sz w:val="21"/>
                      <w:szCs w:val="21"/>
                      <w:lang w:val="en-US" w:eastAsia="zh-CN"/>
                    </w:rPr>
                    <w:t>活性炭吸附工艺处理</w:t>
                  </w:r>
                </w:p>
              </w:tc>
              <w:tc>
                <w:tcPr>
                  <w:tcW w:w="454" w:type="pct"/>
                  <w:vAlign w:val="center"/>
                </w:tcPr>
                <w:p w14:paraId="30867FBF">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符合</w:t>
                  </w:r>
                </w:p>
              </w:tc>
            </w:tr>
            <w:tr w14:paraId="4285095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2" w:hRule="atLeast"/>
              </w:trPr>
              <w:tc>
                <w:tcPr>
                  <w:tcW w:w="3406" w:type="pct"/>
                  <w:vAlign w:val="center"/>
                </w:tcPr>
                <w:p w14:paraId="0FFBF4B9">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加强末端管控。实行重点排放源排放浓度与去除效率双重控制。车间或生产设施收集排放的废气，</w:t>
                  </w:r>
                  <w:r>
                    <w:rPr>
                      <w:rFonts w:hint="eastAsia" w:cs="Times New Roman"/>
                      <w:color w:val="auto"/>
                      <w:spacing w:val="0"/>
                      <w:sz w:val="21"/>
                      <w:szCs w:val="21"/>
                      <w:lang w:eastAsia="zh-CN"/>
                    </w:rPr>
                    <w:t>VOCs（以非甲烷总烃计）</w:t>
                  </w:r>
                  <w:r>
                    <w:rPr>
                      <w:rFonts w:hint="default" w:ascii="Times New Roman" w:hAnsi="Times New Roman" w:eastAsia="宋体" w:cs="Times New Roman"/>
                      <w:color w:val="auto"/>
                      <w:spacing w:val="0"/>
                      <w:sz w:val="21"/>
                      <w:szCs w:val="21"/>
                    </w:rPr>
                    <w:t>初始排放速率大于等于3千克/小时、重点区域大于等于2千克/小时的，应加大控制力度，除确保排放浓度稳定达标外，还应实行去除效率控制，</w:t>
                  </w:r>
                  <w:r>
                    <w:rPr>
                      <w:rFonts w:hint="eastAsia" w:cs="Times New Roman"/>
                      <w:color w:val="auto"/>
                      <w:spacing w:val="0"/>
                      <w:sz w:val="21"/>
                      <w:szCs w:val="21"/>
                      <w:lang w:eastAsia="zh-CN"/>
                    </w:rPr>
                    <w:t>VOCs（以非甲烷总烃计）</w:t>
                  </w:r>
                  <w:r>
                    <w:rPr>
                      <w:rFonts w:hint="default" w:ascii="Times New Roman" w:hAnsi="Times New Roman" w:eastAsia="宋体" w:cs="Times New Roman"/>
                      <w:color w:val="auto"/>
                      <w:spacing w:val="0"/>
                      <w:sz w:val="21"/>
                      <w:szCs w:val="21"/>
                    </w:rPr>
                    <w:t>去除率应不低于80%。有行业排放标准的按其相关规定执行</w:t>
                  </w:r>
                </w:p>
              </w:tc>
              <w:tc>
                <w:tcPr>
                  <w:tcW w:w="1139" w:type="pct"/>
                  <w:vAlign w:val="center"/>
                </w:tcPr>
                <w:p w14:paraId="0F486D59">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rPr>
                    <w:t>本项目</w:t>
                  </w:r>
                  <w:r>
                    <w:rPr>
                      <w:rFonts w:hint="eastAsia" w:cs="Times New Roman"/>
                      <w:color w:val="auto"/>
                      <w:spacing w:val="0"/>
                      <w:sz w:val="21"/>
                      <w:szCs w:val="21"/>
                      <w:lang w:eastAsia="zh-CN"/>
                    </w:rPr>
                    <w:t>VOCs（以非甲烷总烃计）</w:t>
                  </w:r>
                  <w:r>
                    <w:rPr>
                      <w:rFonts w:hint="default" w:ascii="Times New Roman" w:hAnsi="Times New Roman" w:eastAsia="宋体" w:cs="Times New Roman"/>
                      <w:color w:val="auto"/>
                      <w:spacing w:val="0"/>
                      <w:sz w:val="21"/>
                      <w:szCs w:val="21"/>
                    </w:rPr>
                    <w:t>初始排放速率小于2千克/小</w:t>
                  </w:r>
                  <w:r>
                    <w:rPr>
                      <w:rFonts w:hint="default" w:ascii="Times New Roman" w:hAnsi="Times New Roman" w:eastAsia="宋体" w:cs="Times New Roman"/>
                      <w:color w:val="auto"/>
                      <w:spacing w:val="0"/>
                      <w:sz w:val="21"/>
                      <w:szCs w:val="21"/>
                      <w:lang w:eastAsia="zh-CN"/>
                    </w:rPr>
                    <w:t>，</w:t>
                  </w:r>
                  <w:r>
                    <w:rPr>
                      <w:rFonts w:hint="eastAsia" w:cs="Times New Roman"/>
                      <w:color w:val="auto"/>
                      <w:spacing w:val="0"/>
                      <w:sz w:val="21"/>
                      <w:szCs w:val="21"/>
                      <w:lang w:val="en-US" w:eastAsia="zh-CN"/>
                    </w:rPr>
                    <w:t>无需对去除效率进行控制。</w:t>
                  </w:r>
                </w:p>
              </w:tc>
              <w:tc>
                <w:tcPr>
                  <w:tcW w:w="454" w:type="pct"/>
                  <w:vAlign w:val="center"/>
                </w:tcPr>
                <w:p w14:paraId="6F853729">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符合</w:t>
                  </w:r>
                </w:p>
              </w:tc>
            </w:tr>
          </w:tbl>
          <w:p w14:paraId="2EB14B82">
            <w:pPr>
              <w:keepNext w:val="0"/>
              <w:keepLines w:val="0"/>
              <w:pageBreakBefore w:val="0"/>
              <w:widowControl w:val="0"/>
              <w:kinsoku/>
              <w:wordWrap/>
              <w:overflowPunct/>
              <w:topLinePunct w:val="0"/>
              <w:autoSpaceDE/>
              <w:autoSpaceDN/>
              <w:bidi w:val="0"/>
              <w:adjustRightInd/>
              <w:snapToGrid/>
              <w:spacing w:line="360" w:lineRule="auto"/>
              <w:ind w:left="0" w:right="0" w:firstLine="479"/>
              <w:textAlignment w:val="auto"/>
              <w:rPr>
                <w:rFonts w:hint="default" w:ascii="Times New Roman" w:hAnsi="Times New Roman" w:eastAsia="宋体" w:cs="Times New Roman"/>
                <w:color w:val="auto"/>
                <w:spacing w:val="0"/>
                <w:sz w:val="24"/>
                <w:szCs w:val="24"/>
              </w:rPr>
            </w:pPr>
            <w:r>
              <w:rPr>
                <w:rFonts w:hint="default" w:ascii="Times New Roman" w:hAnsi="Times New Roman" w:eastAsia="宋体" w:cs="Times New Roman"/>
                <w:color w:val="auto"/>
                <w:spacing w:val="0"/>
                <w:sz w:val="24"/>
                <w:szCs w:val="24"/>
              </w:rPr>
              <w:t>由上表可知，本项目符合《山东省涉挥发性有机物企业分行业治理指导意见》</w:t>
            </w:r>
            <w:r>
              <w:rPr>
                <w:rFonts w:hint="eastAsia" w:cs="Times New Roman"/>
                <w:color w:val="auto"/>
                <w:spacing w:val="0"/>
                <w:sz w:val="24"/>
                <w:szCs w:val="24"/>
                <w:lang w:eastAsia="zh-CN"/>
              </w:rPr>
              <w:t>（</w:t>
            </w:r>
            <w:r>
              <w:rPr>
                <w:rFonts w:hint="default" w:ascii="Times New Roman" w:hAnsi="Times New Roman" w:eastAsia="宋体" w:cs="Times New Roman"/>
                <w:color w:val="auto"/>
                <w:spacing w:val="0"/>
                <w:sz w:val="24"/>
                <w:szCs w:val="24"/>
              </w:rPr>
              <w:t>鲁环发[2019]146号</w:t>
            </w:r>
            <w:r>
              <w:rPr>
                <w:rFonts w:hint="eastAsia" w:cs="Times New Roman"/>
                <w:color w:val="auto"/>
                <w:spacing w:val="0"/>
                <w:sz w:val="24"/>
                <w:szCs w:val="24"/>
                <w:lang w:eastAsia="zh-CN"/>
              </w:rPr>
              <w:t>）</w:t>
            </w:r>
            <w:r>
              <w:rPr>
                <w:rFonts w:hint="default" w:ascii="Times New Roman" w:hAnsi="Times New Roman" w:eastAsia="宋体" w:cs="Times New Roman"/>
                <w:color w:val="auto"/>
                <w:spacing w:val="0"/>
                <w:sz w:val="24"/>
                <w:szCs w:val="24"/>
              </w:rPr>
              <w:t>相关要求。</w:t>
            </w:r>
          </w:p>
          <w:p w14:paraId="129783B6">
            <w:pPr>
              <w:keepNext w:val="0"/>
              <w:keepLines w:val="0"/>
              <w:pageBreakBefore w:val="0"/>
              <w:widowControl w:val="0"/>
              <w:numPr>
                <w:ilvl w:val="0"/>
                <w:numId w:val="8"/>
              </w:numPr>
              <w:kinsoku/>
              <w:wordWrap/>
              <w:overflowPunct/>
              <w:topLinePunct w:val="0"/>
              <w:autoSpaceDE/>
              <w:autoSpaceDN/>
              <w:bidi w:val="0"/>
              <w:adjustRightInd/>
              <w:snapToGrid/>
              <w:spacing w:line="360" w:lineRule="auto"/>
              <w:ind w:left="0" w:leftChars="0" w:firstLine="425" w:firstLineChars="0"/>
              <w:textAlignment w:val="auto"/>
              <w:rPr>
                <w:rFonts w:hint="eastAsia" w:ascii="Times New Roman" w:hAnsi="Times New Roman" w:eastAsia="宋体" w:cs="Times New Roman"/>
                <w:color w:val="auto"/>
                <w:spacing w:val="0"/>
                <w:sz w:val="24"/>
                <w:szCs w:val="24"/>
                <w:lang w:val="en-US" w:eastAsia="zh-CN"/>
              </w:rPr>
            </w:pPr>
            <w:r>
              <w:rPr>
                <w:rFonts w:hint="eastAsia" w:ascii="Times New Roman" w:hAnsi="Times New Roman" w:eastAsia="宋体" w:cs="Times New Roman"/>
                <w:color w:val="auto"/>
                <w:spacing w:val="0"/>
                <w:sz w:val="24"/>
                <w:szCs w:val="24"/>
                <w:lang w:val="en-US" w:eastAsia="zh-CN"/>
              </w:rPr>
              <w:t>与《山东省工业企业无组织排放分行业管控指导意见》</w:t>
            </w:r>
            <w:r>
              <w:rPr>
                <w:rFonts w:hint="eastAsia" w:cs="Times New Roman"/>
                <w:color w:val="auto"/>
                <w:spacing w:val="0"/>
                <w:sz w:val="24"/>
                <w:szCs w:val="24"/>
                <w:lang w:val="en-US" w:eastAsia="zh-CN"/>
              </w:rPr>
              <w:t>（</w:t>
            </w:r>
            <w:r>
              <w:rPr>
                <w:rFonts w:hint="eastAsia" w:ascii="Times New Roman" w:hAnsi="Times New Roman" w:eastAsia="宋体" w:cs="Times New Roman"/>
                <w:color w:val="auto"/>
                <w:spacing w:val="0"/>
                <w:sz w:val="24"/>
                <w:szCs w:val="24"/>
                <w:lang w:val="en-US" w:eastAsia="zh-CN"/>
              </w:rPr>
              <w:t>鲁环发〔2020〕30号</w:t>
            </w:r>
            <w:r>
              <w:rPr>
                <w:rFonts w:hint="eastAsia" w:cs="Times New Roman"/>
                <w:color w:val="auto"/>
                <w:spacing w:val="0"/>
                <w:sz w:val="24"/>
                <w:szCs w:val="24"/>
                <w:lang w:val="en-US" w:eastAsia="zh-CN"/>
              </w:rPr>
              <w:t>）</w:t>
            </w:r>
            <w:r>
              <w:rPr>
                <w:rFonts w:hint="eastAsia" w:ascii="Times New Roman" w:hAnsi="Times New Roman" w:eastAsia="宋体" w:cs="Times New Roman"/>
                <w:color w:val="auto"/>
                <w:spacing w:val="0"/>
                <w:sz w:val="24"/>
                <w:szCs w:val="24"/>
                <w:lang w:val="en-US" w:eastAsia="zh-CN"/>
              </w:rPr>
              <w:t>符合性分析</w:t>
            </w:r>
          </w:p>
          <w:p w14:paraId="3A06A922">
            <w:pPr>
              <w:keepNext w:val="0"/>
              <w:keepLines w:val="0"/>
              <w:pageBreakBefore w:val="0"/>
              <w:widowControl w:val="0"/>
              <w:numPr>
                <w:ilvl w:val="0"/>
                <w:numId w:val="9"/>
              </w:numPr>
              <w:kinsoku/>
              <w:wordWrap/>
              <w:overflowPunct/>
              <w:topLinePunct w:val="0"/>
              <w:autoSpaceDE w:val="0"/>
              <w:autoSpaceDN w:val="0"/>
              <w:bidi w:val="0"/>
              <w:adjustRightInd w:val="0"/>
              <w:snapToGrid/>
              <w:spacing w:line="360" w:lineRule="auto"/>
              <w:ind w:left="3150" w:leftChars="0" w:hanging="3110" w:firstLineChars="0"/>
              <w:jc w:val="center"/>
              <w:textAlignment w:val="auto"/>
              <w:rPr>
                <w:rFonts w:hint="eastAsia" w:ascii="宋体" w:hAnsi="宋体" w:eastAsia="宋体" w:cs="宋体"/>
                <w:b/>
                <w:bCs/>
                <w:color w:val="auto"/>
                <w:kern w:val="0"/>
                <w:sz w:val="24"/>
                <w:szCs w:val="24"/>
                <w:lang w:val="en-US" w:eastAsia="zh-CN" w:bidi="ar"/>
              </w:rPr>
            </w:pPr>
            <w:r>
              <w:rPr>
                <w:rFonts w:hint="eastAsia" w:ascii="宋体" w:hAnsi="宋体" w:eastAsia="宋体" w:cs="宋体"/>
                <w:b/>
                <w:bCs/>
                <w:color w:val="auto"/>
                <w:kern w:val="0"/>
                <w:sz w:val="24"/>
                <w:szCs w:val="24"/>
                <w:lang w:val="en-US" w:eastAsia="zh-CN" w:bidi="ar"/>
              </w:rPr>
              <w:t>与鲁环发〔2020〕30号相关要求符合性</w:t>
            </w:r>
          </w:p>
          <w:tbl>
            <w:tblPr>
              <w:tblStyle w:val="89"/>
              <w:tblW w:w="4993"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5472"/>
              <w:gridCol w:w="1482"/>
              <w:gridCol w:w="700"/>
            </w:tblGrid>
            <w:tr w14:paraId="1A6A404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3575" w:type="pct"/>
                  <w:vAlign w:val="center"/>
                </w:tcPr>
                <w:p w14:paraId="38001DE5">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鲁环发〔2020〕30号要求</w:t>
                  </w:r>
                </w:p>
              </w:tc>
              <w:tc>
                <w:tcPr>
                  <w:tcW w:w="968" w:type="pct"/>
                  <w:vAlign w:val="center"/>
                </w:tcPr>
                <w:p w14:paraId="79655B20">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项目相关</w:t>
                  </w:r>
                </w:p>
              </w:tc>
              <w:tc>
                <w:tcPr>
                  <w:tcW w:w="456" w:type="pct"/>
                  <w:vAlign w:val="center"/>
                </w:tcPr>
                <w:p w14:paraId="7B27D73C">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符合性</w:t>
                  </w:r>
                </w:p>
              </w:tc>
            </w:tr>
            <w:tr w14:paraId="35211DB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5000" w:type="pct"/>
                  <w:gridSpan w:val="3"/>
                  <w:vAlign w:val="center"/>
                </w:tcPr>
                <w:p w14:paraId="439B6718">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0"/>
                      <w:sz w:val="21"/>
                      <w:szCs w:val="21"/>
                    </w:rPr>
                  </w:pPr>
                  <w:r>
                    <w:rPr>
                      <w:rFonts w:hint="eastAsia" w:cs="Times New Roman"/>
                      <w:color w:val="auto"/>
                      <w:spacing w:val="0"/>
                      <w:sz w:val="21"/>
                      <w:szCs w:val="21"/>
                      <w:lang w:val="en-US" w:eastAsia="zh-CN"/>
                    </w:rPr>
                    <w:t>三、管控要求</w:t>
                  </w:r>
                </w:p>
              </w:tc>
            </w:tr>
            <w:tr w14:paraId="2CD3CF4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3575" w:type="pct"/>
                  <w:vAlign w:val="center"/>
                </w:tcPr>
                <w:p w14:paraId="45037EF3">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0"/>
                      <w:sz w:val="21"/>
                      <w:szCs w:val="21"/>
                    </w:rPr>
                  </w:pPr>
                  <w:r>
                    <w:rPr>
                      <w:rFonts w:hint="eastAsia" w:cs="Times New Roman"/>
                      <w:color w:val="auto"/>
                      <w:spacing w:val="0"/>
                      <w:sz w:val="21"/>
                      <w:szCs w:val="21"/>
                      <w:lang w:eastAsia="zh-CN"/>
                    </w:rPr>
                    <w:t>（</w:t>
                  </w:r>
                  <w:r>
                    <w:rPr>
                      <w:rFonts w:hint="default" w:ascii="Times New Roman" w:hAnsi="Times New Roman" w:eastAsia="宋体" w:cs="Times New Roman"/>
                      <w:color w:val="auto"/>
                      <w:spacing w:val="0"/>
                      <w:sz w:val="21"/>
                      <w:szCs w:val="21"/>
                    </w:rPr>
                    <w:t>一</w:t>
                  </w:r>
                  <w:r>
                    <w:rPr>
                      <w:rFonts w:hint="eastAsia" w:cs="Times New Roman"/>
                      <w:color w:val="auto"/>
                      <w:spacing w:val="0"/>
                      <w:sz w:val="21"/>
                      <w:szCs w:val="21"/>
                      <w:lang w:eastAsia="zh-CN"/>
                    </w:rPr>
                    <w:t>）</w:t>
                  </w:r>
                  <w:r>
                    <w:rPr>
                      <w:rFonts w:hint="default" w:ascii="Times New Roman" w:hAnsi="Times New Roman" w:eastAsia="宋体" w:cs="Times New Roman"/>
                      <w:color w:val="auto"/>
                      <w:spacing w:val="0"/>
                      <w:sz w:val="21"/>
                      <w:szCs w:val="21"/>
                    </w:rPr>
                    <w:t>加强物料运输、装卸环节管控。</w:t>
                  </w:r>
                  <w:r>
                    <w:rPr>
                      <w:rFonts w:ascii="Verdana" w:hAnsi="Verdana" w:eastAsia="宋体" w:cs="Verdana"/>
                      <w:i w:val="0"/>
                      <w:iCs w:val="0"/>
                      <w:caps w:val="0"/>
                      <w:color w:val="auto"/>
                      <w:spacing w:val="0"/>
                      <w:sz w:val="21"/>
                      <w:szCs w:val="21"/>
                    </w:rPr>
                    <w:t>煤粉、粉煤灰、石灰、除尘灰、脱硫灰、原料药等粉状物料采用管状带式输送机、气力输送、真空罐车、密闭车厢等密闭方式运输</w:t>
                  </w:r>
                  <w:r>
                    <w:rPr>
                      <w:rFonts w:hint="eastAsia" w:ascii="Verdana" w:hAnsi="Verdana" w:cs="Verdana"/>
                      <w:i w:val="0"/>
                      <w:iCs w:val="0"/>
                      <w:caps w:val="0"/>
                      <w:color w:val="auto"/>
                      <w:spacing w:val="0"/>
                      <w:sz w:val="21"/>
                      <w:szCs w:val="21"/>
                      <w:lang w:eastAsia="zh-CN"/>
                    </w:rPr>
                    <w:t>；</w:t>
                  </w:r>
                  <w:r>
                    <w:rPr>
                      <w:rFonts w:hint="eastAsia" w:ascii="Verdana" w:hAnsi="Verdana" w:eastAsia="宋体" w:cs="Verdana"/>
                      <w:i w:val="0"/>
                      <w:iCs w:val="0"/>
                      <w:caps w:val="0"/>
                      <w:color w:val="auto"/>
                      <w:spacing w:val="0"/>
                      <w:sz w:val="21"/>
                      <w:szCs w:val="21"/>
                      <w:lang w:val="en-US" w:eastAsia="zh-CN"/>
                    </w:rPr>
                    <w:t>......</w:t>
                  </w:r>
                  <w:r>
                    <w:rPr>
                      <w:rFonts w:ascii="Verdana" w:hAnsi="Verdana" w:eastAsia="宋体" w:cs="Verdana"/>
                      <w:i w:val="0"/>
                      <w:iCs w:val="0"/>
                      <w:caps w:val="0"/>
                      <w:color w:val="auto"/>
                      <w:spacing w:val="0"/>
                      <w:sz w:val="21"/>
                      <w:szCs w:val="21"/>
                    </w:rPr>
                    <w:t>厂区道路硬化，平整无破损、无积尘，厂区无裸露空地，闲置裸露空地及时绿化或硬化，厂区道路定期洒水清扫。</w:t>
                  </w:r>
                  <w:r>
                    <w:rPr>
                      <w:rFonts w:hint="default" w:ascii="Times New Roman" w:hAnsi="Times New Roman" w:eastAsia="宋体" w:cs="Times New Roman"/>
                      <w:color w:val="auto"/>
                      <w:spacing w:val="0"/>
                      <w:sz w:val="21"/>
                      <w:szCs w:val="21"/>
                    </w:rPr>
                    <w:t>挥发性有机液体装车采用顶部浸没式或底部装载，严禁喷溅，运输相关产品的车辆具备油气回收接口</w:t>
                  </w:r>
                </w:p>
              </w:tc>
              <w:tc>
                <w:tcPr>
                  <w:tcW w:w="968" w:type="pct"/>
                  <w:vAlign w:val="center"/>
                </w:tcPr>
                <w:p w14:paraId="78404464">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0"/>
                      <w:sz w:val="21"/>
                      <w:szCs w:val="21"/>
                      <w:lang w:val="en-US" w:eastAsia="zh-CN"/>
                    </w:rPr>
                  </w:pPr>
                  <w:r>
                    <w:rPr>
                      <w:rFonts w:hint="eastAsia" w:cs="Times New Roman"/>
                      <w:color w:val="auto"/>
                      <w:spacing w:val="0"/>
                      <w:sz w:val="21"/>
                      <w:szCs w:val="21"/>
                      <w:lang w:val="en-US" w:eastAsia="zh-CN"/>
                    </w:rPr>
                    <w:t>进场物料均储存于密闭容器内，采用密闭车辆方式运输。厂区道路硬化，无裸露空地。不涉及挥发性有机液体装车</w:t>
                  </w:r>
                </w:p>
              </w:tc>
              <w:tc>
                <w:tcPr>
                  <w:tcW w:w="456" w:type="pct"/>
                  <w:vAlign w:val="center"/>
                </w:tcPr>
                <w:p w14:paraId="66A8143D">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符合</w:t>
                  </w:r>
                </w:p>
              </w:tc>
            </w:tr>
            <w:tr w14:paraId="0B834DF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3575" w:type="pct"/>
                  <w:vAlign w:val="center"/>
                </w:tcPr>
                <w:p w14:paraId="1C4CB126">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0"/>
                      <w:sz w:val="21"/>
                      <w:szCs w:val="21"/>
                    </w:rPr>
                  </w:pPr>
                  <w:r>
                    <w:rPr>
                      <w:rFonts w:hint="eastAsia" w:cs="Times New Roman"/>
                      <w:color w:val="auto"/>
                      <w:spacing w:val="-6"/>
                      <w:sz w:val="21"/>
                      <w:szCs w:val="21"/>
                      <w:lang w:eastAsia="zh-CN"/>
                    </w:rPr>
                    <w:t>（</w:t>
                  </w:r>
                  <w:r>
                    <w:rPr>
                      <w:rFonts w:hint="default" w:ascii="Times New Roman" w:hAnsi="Times New Roman" w:eastAsia="宋体" w:cs="Times New Roman"/>
                      <w:color w:val="auto"/>
                      <w:spacing w:val="-6"/>
                      <w:sz w:val="21"/>
                      <w:szCs w:val="21"/>
                    </w:rPr>
                    <w:t>二</w:t>
                  </w:r>
                  <w:r>
                    <w:rPr>
                      <w:rFonts w:hint="eastAsia" w:cs="Times New Roman"/>
                      <w:color w:val="auto"/>
                      <w:spacing w:val="-6"/>
                      <w:sz w:val="21"/>
                      <w:szCs w:val="21"/>
                      <w:lang w:eastAsia="zh-CN"/>
                    </w:rPr>
                    <w:t>）</w:t>
                  </w:r>
                  <w:r>
                    <w:rPr>
                      <w:rFonts w:hint="default" w:ascii="Times New Roman" w:hAnsi="Times New Roman" w:eastAsia="宋体" w:cs="Times New Roman"/>
                      <w:color w:val="auto"/>
                      <w:spacing w:val="-6"/>
                      <w:sz w:val="21"/>
                      <w:szCs w:val="21"/>
                    </w:rPr>
                    <w:t>加强物料储存、输送环节管控。煤粉、粉煤灰、石灰、除尘灰、脱硫灰、原料药等粉状物料采用料仓、储罐、容器、包装袋等方式密闭储存，料仓、储罐配置高效除尘设施</w:t>
                  </w:r>
                  <w:r>
                    <w:rPr>
                      <w:rFonts w:hint="eastAsia" w:cs="Times New Roman"/>
                      <w:color w:val="auto"/>
                      <w:spacing w:val="-6"/>
                      <w:sz w:val="21"/>
                      <w:szCs w:val="21"/>
                      <w:lang w:eastAsia="zh-CN"/>
                    </w:rPr>
                    <w:t>；</w:t>
                  </w:r>
                  <w:r>
                    <w:rPr>
                      <w:rFonts w:hint="default" w:ascii="Times New Roman" w:hAnsi="Times New Roman" w:eastAsia="宋体" w:cs="Times New Roman"/>
                      <w:color w:val="auto"/>
                      <w:spacing w:val="-6"/>
                      <w:sz w:val="21"/>
                      <w:szCs w:val="21"/>
                    </w:rPr>
                    <w:t>采用管状带式输送机、气力输送、真空罐车、密闭车辆等方式输送。砂石、矿石、煤、铁精矿、脱硫石膏等块状、粒状或粘湿物料采用密闭料仓、封闭料棚或建设防风抑尘网等方式进行规范储存，封闭料棚和露天料场内设有喷淋装置，喷淋范围覆盖整个料堆。</w:t>
                  </w:r>
                  <w:r>
                    <w:rPr>
                      <w:rFonts w:hint="eastAsia" w:ascii="Times New Roman" w:hAnsi="Times New Roman" w:eastAsia="宋体" w:cs="Times New Roman"/>
                      <w:color w:val="auto"/>
                      <w:spacing w:val="-6"/>
                      <w:sz w:val="21"/>
                      <w:szCs w:val="21"/>
                      <w:lang w:val="en-US" w:eastAsia="zh-CN"/>
                    </w:rPr>
                    <w:t>......</w:t>
                  </w:r>
                  <w:r>
                    <w:rPr>
                      <w:rFonts w:hint="default" w:ascii="Times New Roman" w:hAnsi="Times New Roman" w:eastAsia="宋体" w:cs="Times New Roman"/>
                      <w:color w:val="auto"/>
                      <w:spacing w:val="-6"/>
                      <w:sz w:val="21"/>
                      <w:szCs w:val="21"/>
                    </w:rPr>
                    <w:t>含挥发性有机物</w:t>
                  </w:r>
                  <w:r>
                    <w:rPr>
                      <w:rFonts w:hint="eastAsia" w:cs="Times New Roman"/>
                      <w:color w:val="auto"/>
                      <w:spacing w:val="-6"/>
                      <w:sz w:val="21"/>
                      <w:szCs w:val="21"/>
                      <w:lang w:eastAsia="zh-CN"/>
                    </w:rPr>
                    <w:t>（VOCs（以非甲烷总烃计））</w:t>
                  </w:r>
                  <w:r>
                    <w:rPr>
                      <w:rFonts w:hint="default" w:ascii="Times New Roman" w:hAnsi="Times New Roman" w:eastAsia="宋体" w:cs="Times New Roman"/>
                      <w:color w:val="auto"/>
                      <w:spacing w:val="-6"/>
                      <w:sz w:val="21"/>
                      <w:szCs w:val="21"/>
                    </w:rPr>
                    <w:t>物料储存于密闭容器、包装袋，高效密封储罐，封闭式储库、料仓等；封闭式储库、料仓设置</w:t>
                  </w:r>
                  <w:r>
                    <w:rPr>
                      <w:rFonts w:hint="eastAsia" w:cs="Times New Roman"/>
                      <w:color w:val="auto"/>
                      <w:spacing w:val="-6"/>
                      <w:sz w:val="21"/>
                      <w:szCs w:val="21"/>
                      <w:lang w:eastAsia="zh-CN"/>
                    </w:rPr>
                    <w:t>VOCs（以非甲烷总烃计）</w:t>
                  </w:r>
                  <w:r>
                    <w:rPr>
                      <w:rFonts w:hint="default" w:ascii="Times New Roman" w:hAnsi="Times New Roman" w:eastAsia="宋体" w:cs="Times New Roman"/>
                      <w:color w:val="auto"/>
                      <w:spacing w:val="-6"/>
                      <w:sz w:val="21"/>
                      <w:szCs w:val="21"/>
                    </w:rPr>
                    <w:t>有效收集治理设施。含</w:t>
                  </w:r>
                  <w:r>
                    <w:rPr>
                      <w:rFonts w:hint="eastAsia" w:cs="Times New Roman"/>
                      <w:color w:val="auto"/>
                      <w:spacing w:val="-6"/>
                      <w:sz w:val="21"/>
                      <w:szCs w:val="21"/>
                      <w:lang w:eastAsia="zh-CN"/>
                    </w:rPr>
                    <w:t>VOCs（以非甲烷总烃计）</w:t>
                  </w:r>
                  <w:r>
                    <w:rPr>
                      <w:rFonts w:hint="default" w:ascii="Times New Roman" w:hAnsi="Times New Roman" w:eastAsia="宋体" w:cs="Times New Roman"/>
                      <w:color w:val="auto"/>
                      <w:spacing w:val="-6"/>
                      <w:sz w:val="21"/>
                      <w:szCs w:val="21"/>
                    </w:rPr>
                    <w:t>物料输送，采用密闭管道或密闭容器、罐车等。</w:t>
                  </w:r>
                </w:p>
              </w:tc>
              <w:tc>
                <w:tcPr>
                  <w:tcW w:w="968" w:type="pct"/>
                  <w:vAlign w:val="center"/>
                </w:tcPr>
                <w:p w14:paraId="7BD222A4">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0"/>
                      <w:sz w:val="21"/>
                      <w:szCs w:val="21"/>
                    </w:rPr>
                  </w:pPr>
                  <w:r>
                    <w:rPr>
                      <w:rFonts w:hint="eastAsia" w:cs="Times New Roman"/>
                      <w:color w:val="auto"/>
                      <w:spacing w:val="0"/>
                      <w:sz w:val="21"/>
                      <w:szCs w:val="21"/>
                      <w:lang w:val="en-US" w:eastAsia="zh-CN"/>
                    </w:rPr>
                    <w:t>进场物料均储存于密闭容器内，采用密闭车辆方式运输。仓库采用封闭式，设车间废气收集系统，经废气处理系统处理达标排放</w:t>
                  </w:r>
                </w:p>
              </w:tc>
              <w:tc>
                <w:tcPr>
                  <w:tcW w:w="456" w:type="pct"/>
                  <w:vAlign w:val="center"/>
                </w:tcPr>
                <w:p w14:paraId="48658E9B">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符合</w:t>
                  </w:r>
                </w:p>
              </w:tc>
            </w:tr>
            <w:tr w14:paraId="06E9421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3575" w:type="pct"/>
                  <w:vAlign w:val="center"/>
                </w:tcPr>
                <w:p w14:paraId="66774A9C">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0"/>
                      <w:sz w:val="21"/>
                      <w:szCs w:val="21"/>
                    </w:rPr>
                  </w:pPr>
                  <w:r>
                    <w:rPr>
                      <w:rFonts w:hint="eastAsia" w:cs="Times New Roman"/>
                      <w:color w:val="auto"/>
                      <w:spacing w:val="0"/>
                      <w:sz w:val="21"/>
                      <w:szCs w:val="21"/>
                      <w:lang w:eastAsia="zh-CN"/>
                    </w:rPr>
                    <w:t>（</w:t>
                  </w:r>
                  <w:r>
                    <w:rPr>
                      <w:rFonts w:hint="default" w:ascii="Times New Roman" w:hAnsi="Times New Roman" w:eastAsia="宋体" w:cs="Times New Roman"/>
                      <w:color w:val="auto"/>
                      <w:spacing w:val="0"/>
                      <w:sz w:val="21"/>
                      <w:szCs w:val="21"/>
                    </w:rPr>
                    <w:t>三</w:t>
                  </w:r>
                  <w:r>
                    <w:rPr>
                      <w:rFonts w:hint="eastAsia" w:cs="Times New Roman"/>
                      <w:color w:val="auto"/>
                      <w:spacing w:val="0"/>
                      <w:sz w:val="21"/>
                      <w:szCs w:val="21"/>
                      <w:lang w:eastAsia="zh-CN"/>
                    </w:rPr>
                    <w:t>）</w:t>
                  </w:r>
                  <w:r>
                    <w:rPr>
                      <w:rFonts w:hint="default" w:ascii="Times New Roman" w:hAnsi="Times New Roman" w:eastAsia="宋体" w:cs="Times New Roman"/>
                      <w:color w:val="auto"/>
                      <w:spacing w:val="0"/>
                      <w:sz w:val="21"/>
                      <w:szCs w:val="21"/>
                    </w:rPr>
                    <w:t>加强生产环节管控。通过提高工艺自动化和设备密闭化水平，减少生产过程中的无组织排放。生产过程中的产尘点和</w:t>
                  </w:r>
                  <w:r>
                    <w:rPr>
                      <w:rFonts w:hint="eastAsia" w:cs="Times New Roman"/>
                      <w:color w:val="auto"/>
                      <w:spacing w:val="0"/>
                      <w:sz w:val="21"/>
                      <w:szCs w:val="21"/>
                      <w:lang w:eastAsia="zh-CN"/>
                    </w:rPr>
                    <w:t>VOCs（以非甲烷总烃计）</w:t>
                  </w:r>
                  <w:r>
                    <w:rPr>
                      <w:rFonts w:hint="default" w:ascii="Times New Roman" w:hAnsi="Times New Roman" w:eastAsia="宋体" w:cs="Times New Roman"/>
                      <w:color w:val="auto"/>
                      <w:spacing w:val="0"/>
                      <w:sz w:val="21"/>
                      <w:szCs w:val="21"/>
                    </w:rPr>
                    <w:t>产生点密闭、封闭或采取有效收集处理措施。生产设备和废气收集处理设施同步运行，废气收集处理设施发生故障或检修时，停止运行对应的生产设备，待检修完毕后投入使用。生产设备不能停止或不能及时停止运行的，设置废气应急处理设施或采取其他替代措施。生产车间地面及生产设备表面保持清洁，除电子、电气原件外，不得采用压缩空气吹扫等易产生扬尘的清理措施。厂内污水收集、输送、处理，污泥产生、暂存、处置，危险废物暂存等产生</w:t>
                  </w:r>
                  <w:r>
                    <w:rPr>
                      <w:rFonts w:hint="eastAsia" w:cs="Times New Roman"/>
                      <w:color w:val="auto"/>
                      <w:spacing w:val="0"/>
                      <w:sz w:val="21"/>
                      <w:szCs w:val="21"/>
                      <w:lang w:eastAsia="zh-CN"/>
                    </w:rPr>
                    <w:t>VOCs（以非甲烷总烃计）</w:t>
                  </w:r>
                  <w:r>
                    <w:rPr>
                      <w:rFonts w:hint="default" w:ascii="Times New Roman" w:hAnsi="Times New Roman" w:eastAsia="宋体" w:cs="Times New Roman"/>
                      <w:color w:val="auto"/>
                      <w:spacing w:val="0"/>
                      <w:sz w:val="21"/>
                      <w:szCs w:val="21"/>
                    </w:rPr>
                    <w:t>或恶臭气体的区域加罩或加盖封闭并进行收集处理。涉</w:t>
                  </w:r>
                  <w:r>
                    <w:rPr>
                      <w:rFonts w:hint="eastAsia" w:cs="Times New Roman"/>
                      <w:color w:val="auto"/>
                      <w:spacing w:val="0"/>
                      <w:sz w:val="21"/>
                      <w:szCs w:val="21"/>
                      <w:lang w:eastAsia="zh-CN"/>
                    </w:rPr>
                    <w:t>VOCs（以非甲烷总烃计）</w:t>
                  </w:r>
                  <w:r>
                    <w:rPr>
                      <w:rFonts w:hint="default" w:ascii="Times New Roman" w:hAnsi="Times New Roman" w:eastAsia="宋体" w:cs="Times New Roman"/>
                      <w:color w:val="auto"/>
                      <w:spacing w:val="0"/>
                      <w:sz w:val="21"/>
                      <w:szCs w:val="21"/>
                    </w:rPr>
                    <w:t>化</w:t>
                  </w:r>
                  <w:r>
                    <w:rPr>
                      <w:rFonts w:hint="eastAsia" w:cs="Times New Roman"/>
                      <w:color w:val="auto"/>
                      <w:spacing w:val="0"/>
                      <w:sz w:val="21"/>
                      <w:szCs w:val="21"/>
                      <w:lang w:eastAsia="zh-CN"/>
                    </w:rPr>
                    <w:t>（</w:t>
                  </w:r>
                  <w:r>
                    <w:rPr>
                      <w:rFonts w:hint="default" w:ascii="Times New Roman" w:hAnsi="Times New Roman" w:eastAsia="宋体" w:cs="Times New Roman"/>
                      <w:color w:val="auto"/>
                      <w:spacing w:val="0"/>
                      <w:sz w:val="21"/>
                      <w:szCs w:val="21"/>
                    </w:rPr>
                    <w:t>试</w:t>
                  </w:r>
                  <w:r>
                    <w:rPr>
                      <w:rFonts w:hint="eastAsia" w:cs="Times New Roman"/>
                      <w:color w:val="auto"/>
                      <w:spacing w:val="0"/>
                      <w:sz w:val="21"/>
                      <w:szCs w:val="21"/>
                      <w:lang w:eastAsia="zh-CN"/>
                    </w:rPr>
                    <w:t>）</w:t>
                  </w:r>
                  <w:r>
                    <w:rPr>
                      <w:rFonts w:hint="default" w:ascii="Times New Roman" w:hAnsi="Times New Roman" w:eastAsia="宋体" w:cs="Times New Roman"/>
                      <w:color w:val="auto"/>
                      <w:spacing w:val="0"/>
                      <w:sz w:val="21"/>
                      <w:szCs w:val="21"/>
                    </w:rPr>
                    <w:t>验室实验平台设置负压集气系统，对化</w:t>
                  </w:r>
                  <w:r>
                    <w:rPr>
                      <w:rFonts w:hint="eastAsia" w:cs="Times New Roman"/>
                      <w:color w:val="auto"/>
                      <w:spacing w:val="0"/>
                      <w:sz w:val="21"/>
                      <w:szCs w:val="21"/>
                      <w:lang w:eastAsia="zh-CN"/>
                    </w:rPr>
                    <w:t>（</w:t>
                  </w:r>
                  <w:r>
                    <w:rPr>
                      <w:rFonts w:hint="default" w:ascii="Times New Roman" w:hAnsi="Times New Roman" w:eastAsia="宋体" w:cs="Times New Roman"/>
                      <w:color w:val="auto"/>
                      <w:spacing w:val="0"/>
                      <w:sz w:val="21"/>
                      <w:szCs w:val="21"/>
                    </w:rPr>
                    <w:t>试</w:t>
                  </w:r>
                  <w:r>
                    <w:rPr>
                      <w:rFonts w:hint="eastAsia" w:cs="Times New Roman"/>
                      <w:color w:val="auto"/>
                      <w:spacing w:val="0"/>
                      <w:sz w:val="21"/>
                      <w:szCs w:val="21"/>
                      <w:lang w:eastAsia="zh-CN"/>
                    </w:rPr>
                    <w:t>）</w:t>
                  </w:r>
                  <w:r>
                    <w:rPr>
                      <w:rFonts w:hint="default" w:ascii="Times New Roman" w:hAnsi="Times New Roman" w:eastAsia="宋体" w:cs="Times New Roman"/>
                      <w:color w:val="auto"/>
                      <w:spacing w:val="0"/>
                      <w:sz w:val="21"/>
                      <w:szCs w:val="21"/>
                    </w:rPr>
                    <w:t>验室中产生的废气进行集中收集治理。</w:t>
                  </w:r>
                </w:p>
              </w:tc>
              <w:tc>
                <w:tcPr>
                  <w:tcW w:w="968" w:type="pct"/>
                  <w:vAlign w:val="center"/>
                </w:tcPr>
                <w:p w14:paraId="3A5B1152">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0"/>
                      <w:sz w:val="21"/>
                      <w:szCs w:val="21"/>
                      <w:lang w:val="en-US" w:eastAsia="zh-CN"/>
                    </w:rPr>
                  </w:pPr>
                  <w:r>
                    <w:rPr>
                      <w:rFonts w:hint="eastAsia" w:cs="Times New Roman"/>
                      <w:color w:val="auto"/>
                      <w:spacing w:val="0"/>
                      <w:sz w:val="21"/>
                      <w:szCs w:val="21"/>
                      <w:lang w:val="en-US" w:eastAsia="zh-CN"/>
                    </w:rPr>
                    <w:t>本项目无生产环节，存贮的危险废物存于封闭仓库内，设车间废气收集系统，经废气处理系统处理后达标排放。生产设施和废气收集处理设施同步运行。仓库地面保持清洁。</w:t>
                  </w:r>
                </w:p>
              </w:tc>
              <w:tc>
                <w:tcPr>
                  <w:tcW w:w="456" w:type="pct"/>
                  <w:vAlign w:val="center"/>
                </w:tcPr>
                <w:p w14:paraId="247C96DA">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符合</w:t>
                  </w:r>
                </w:p>
              </w:tc>
            </w:tr>
            <w:tr w14:paraId="7AF57A7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3575" w:type="pct"/>
                  <w:vAlign w:val="center"/>
                </w:tcPr>
                <w:p w14:paraId="638FE172">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0"/>
                      <w:sz w:val="21"/>
                      <w:szCs w:val="21"/>
                    </w:rPr>
                  </w:pPr>
                  <w:r>
                    <w:rPr>
                      <w:rFonts w:hint="eastAsia" w:cs="Times New Roman"/>
                      <w:color w:val="auto"/>
                      <w:spacing w:val="0"/>
                      <w:sz w:val="21"/>
                      <w:szCs w:val="21"/>
                      <w:lang w:eastAsia="zh-CN"/>
                    </w:rPr>
                    <w:t>（</w:t>
                  </w:r>
                  <w:r>
                    <w:rPr>
                      <w:rFonts w:hint="default" w:ascii="Times New Roman" w:hAnsi="Times New Roman" w:eastAsia="宋体" w:cs="Times New Roman"/>
                      <w:color w:val="auto"/>
                      <w:spacing w:val="0"/>
                      <w:sz w:val="21"/>
                      <w:szCs w:val="21"/>
                    </w:rPr>
                    <w:t>四</w:t>
                  </w:r>
                  <w:r>
                    <w:rPr>
                      <w:rFonts w:hint="eastAsia" w:cs="Times New Roman"/>
                      <w:color w:val="auto"/>
                      <w:spacing w:val="0"/>
                      <w:sz w:val="21"/>
                      <w:szCs w:val="21"/>
                      <w:lang w:eastAsia="zh-CN"/>
                    </w:rPr>
                    <w:t>）</w:t>
                  </w:r>
                  <w:r>
                    <w:rPr>
                      <w:rFonts w:hint="default" w:ascii="Times New Roman" w:hAnsi="Times New Roman" w:eastAsia="宋体" w:cs="Times New Roman"/>
                      <w:color w:val="auto"/>
                      <w:spacing w:val="0"/>
                      <w:sz w:val="21"/>
                      <w:szCs w:val="21"/>
                    </w:rPr>
                    <w:t>加强精细化管控。针对各无组织排放环节，制定“一厂一策”深度治理方案。制定无组织排放治理设施操作规程，并建立管理台账，记录操作人员操作内容、运行、维护、检修和含</w:t>
                  </w:r>
                  <w:r>
                    <w:rPr>
                      <w:rFonts w:hint="eastAsia" w:cs="Times New Roman"/>
                      <w:color w:val="auto"/>
                      <w:spacing w:val="0"/>
                      <w:sz w:val="21"/>
                      <w:szCs w:val="21"/>
                      <w:lang w:eastAsia="zh-CN"/>
                    </w:rPr>
                    <w:t>VOCs（以非甲烷总烃计）</w:t>
                  </w:r>
                  <w:r>
                    <w:rPr>
                      <w:rFonts w:hint="default" w:ascii="Times New Roman" w:hAnsi="Times New Roman" w:eastAsia="宋体" w:cs="Times New Roman"/>
                      <w:color w:val="auto"/>
                      <w:spacing w:val="0"/>
                      <w:sz w:val="21"/>
                      <w:szCs w:val="21"/>
                    </w:rPr>
                    <w:t>物料使用回收等情况，记录保存期限不得少于三年。鼓励安装视频、空气微站等监控设施和综合监控信息平台，用于企业日常自我监督，逐步实现无组织排放向精细化和可量化管理方式转变。</w:t>
                  </w:r>
                </w:p>
              </w:tc>
              <w:tc>
                <w:tcPr>
                  <w:tcW w:w="968" w:type="pct"/>
                  <w:vAlign w:val="center"/>
                </w:tcPr>
                <w:p w14:paraId="7C3523DB">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eastAsia="宋体" w:cs="Times New Roman"/>
                      <w:color w:val="auto"/>
                      <w:spacing w:val="0"/>
                      <w:sz w:val="21"/>
                      <w:szCs w:val="21"/>
                      <w:lang w:val="en-US" w:eastAsia="zh-CN"/>
                    </w:rPr>
                  </w:pPr>
                  <w:r>
                    <w:rPr>
                      <w:rFonts w:hint="eastAsia" w:cs="Times New Roman"/>
                      <w:color w:val="auto"/>
                      <w:spacing w:val="-6"/>
                      <w:sz w:val="21"/>
                      <w:szCs w:val="21"/>
                      <w:lang w:val="en-US" w:eastAsia="zh-CN"/>
                    </w:rPr>
                    <w:t>企业已制定</w:t>
                  </w:r>
                  <w:r>
                    <w:rPr>
                      <w:rFonts w:hint="default" w:ascii="Times New Roman" w:hAnsi="Times New Roman" w:eastAsia="宋体" w:cs="Times New Roman"/>
                      <w:color w:val="auto"/>
                      <w:spacing w:val="-6"/>
                      <w:sz w:val="21"/>
                      <w:szCs w:val="21"/>
                    </w:rPr>
                    <w:t>“一厂一策”深度治理方案。</w:t>
                  </w:r>
                  <w:r>
                    <w:rPr>
                      <w:rFonts w:hint="eastAsia" w:cs="Times New Roman"/>
                      <w:color w:val="auto"/>
                      <w:spacing w:val="-6"/>
                      <w:sz w:val="21"/>
                      <w:szCs w:val="21"/>
                      <w:lang w:val="en-US" w:eastAsia="zh-CN"/>
                    </w:rPr>
                    <w:t>制定</w:t>
                  </w:r>
                  <w:r>
                    <w:rPr>
                      <w:rFonts w:hint="default" w:ascii="Times New Roman" w:hAnsi="Times New Roman" w:eastAsia="宋体" w:cs="Times New Roman"/>
                      <w:color w:val="auto"/>
                      <w:spacing w:val="-6"/>
                      <w:sz w:val="21"/>
                      <w:szCs w:val="21"/>
                    </w:rPr>
                    <w:t>无组织排放治理设施操作规程，并建立管理台账，</w:t>
                  </w:r>
                  <w:r>
                    <w:rPr>
                      <w:rFonts w:hint="eastAsia" w:cs="Times New Roman"/>
                      <w:color w:val="auto"/>
                      <w:spacing w:val="-6"/>
                      <w:sz w:val="21"/>
                      <w:szCs w:val="21"/>
                      <w:lang w:val="en-US" w:eastAsia="zh-CN"/>
                    </w:rPr>
                    <w:t>按要求进行保存和自我监督</w:t>
                  </w:r>
                </w:p>
              </w:tc>
              <w:tc>
                <w:tcPr>
                  <w:tcW w:w="456" w:type="pct"/>
                  <w:vAlign w:val="center"/>
                </w:tcPr>
                <w:p w14:paraId="0FCEFD76">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Times New Roman"/>
                      <w:color w:val="auto"/>
                      <w:spacing w:val="0"/>
                      <w:sz w:val="21"/>
                      <w:szCs w:val="21"/>
                      <w:lang w:val="en-US" w:eastAsia="zh-CN"/>
                    </w:rPr>
                  </w:pPr>
                  <w:r>
                    <w:rPr>
                      <w:rFonts w:hint="eastAsia" w:cs="Times New Roman"/>
                      <w:color w:val="auto"/>
                      <w:spacing w:val="0"/>
                      <w:sz w:val="21"/>
                      <w:szCs w:val="21"/>
                      <w:lang w:val="en-US" w:eastAsia="zh-CN"/>
                    </w:rPr>
                    <w:t>符合</w:t>
                  </w:r>
                </w:p>
              </w:tc>
            </w:tr>
            <w:tr w14:paraId="1A2D350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5000" w:type="pct"/>
                  <w:gridSpan w:val="3"/>
                  <w:vAlign w:val="center"/>
                </w:tcPr>
                <w:p w14:paraId="6A4B03AB">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cs="Times New Roman"/>
                      <w:color w:val="auto"/>
                      <w:spacing w:val="0"/>
                      <w:sz w:val="21"/>
                      <w:szCs w:val="21"/>
                      <w:lang w:val="en-US" w:eastAsia="zh-CN"/>
                    </w:rPr>
                  </w:pPr>
                  <w:r>
                    <w:rPr>
                      <w:rFonts w:hint="eastAsia" w:cs="Times New Roman"/>
                      <w:color w:val="auto"/>
                      <w:spacing w:val="0"/>
                      <w:sz w:val="21"/>
                      <w:szCs w:val="21"/>
                      <w:lang w:val="en-US" w:eastAsia="zh-CN"/>
                    </w:rPr>
                    <w:t>四、行业指导意见</w:t>
                  </w:r>
                </w:p>
              </w:tc>
            </w:tr>
            <w:tr w14:paraId="75C64C4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90" w:hRule="atLeast"/>
              </w:trPr>
              <w:tc>
                <w:tcPr>
                  <w:tcW w:w="3575" w:type="pct"/>
                  <w:vAlign w:val="center"/>
                </w:tcPr>
                <w:p w14:paraId="617E6A67">
                  <w:pPr>
                    <w:keepNext w:val="0"/>
                    <w:keepLines w:val="0"/>
                    <w:pageBreakBefore w:val="0"/>
                    <w:widowControl w:val="0"/>
                    <w:tabs>
                      <w:tab w:val="left" w:pos="4357"/>
                    </w:tabs>
                    <w:kinsoku/>
                    <w:wordWrap/>
                    <w:overflowPunct/>
                    <w:topLinePunct w:val="0"/>
                    <w:autoSpaceDE/>
                    <w:autoSpaceDN/>
                    <w:bidi w:val="0"/>
                    <w:adjustRightInd/>
                    <w:snapToGrid/>
                    <w:spacing w:line="240" w:lineRule="auto"/>
                    <w:ind w:left="0" w:right="0" w:firstLine="0" w:firstLineChars="0"/>
                    <w:jc w:val="left"/>
                    <w:textAlignment w:val="auto"/>
                    <w:rPr>
                      <w:rFonts w:hint="eastAsia" w:cs="Times New Roman"/>
                      <w:color w:val="auto"/>
                      <w:spacing w:val="0"/>
                      <w:sz w:val="21"/>
                      <w:szCs w:val="21"/>
                      <w:lang w:eastAsia="zh-CN"/>
                    </w:rPr>
                  </w:pPr>
                  <w:r>
                    <w:rPr>
                      <w:rFonts w:hint="eastAsia" w:cs="Times New Roman"/>
                      <w:color w:val="auto"/>
                      <w:spacing w:val="0"/>
                      <w:sz w:val="21"/>
                      <w:szCs w:val="21"/>
                      <w:lang w:eastAsia="zh-CN"/>
                    </w:rPr>
                    <w:t>（</w:t>
                  </w:r>
                  <w:r>
                    <w:rPr>
                      <w:rFonts w:hint="default" w:ascii="Times New Roman" w:hAnsi="Times New Roman" w:eastAsia="宋体" w:cs="Times New Roman"/>
                      <w:color w:val="auto"/>
                      <w:spacing w:val="0"/>
                      <w:sz w:val="21"/>
                      <w:szCs w:val="21"/>
                    </w:rPr>
                    <w:t>十八</w:t>
                  </w:r>
                  <w:r>
                    <w:rPr>
                      <w:rFonts w:hint="eastAsia" w:cs="Times New Roman"/>
                      <w:color w:val="auto"/>
                      <w:spacing w:val="0"/>
                      <w:sz w:val="21"/>
                      <w:szCs w:val="21"/>
                      <w:lang w:eastAsia="zh-CN"/>
                    </w:rPr>
                    <w:t>）</w:t>
                  </w:r>
                  <w:r>
                    <w:rPr>
                      <w:rFonts w:hint="default" w:ascii="Times New Roman" w:hAnsi="Times New Roman" w:eastAsia="宋体" w:cs="Times New Roman"/>
                      <w:color w:val="auto"/>
                      <w:spacing w:val="0"/>
                      <w:sz w:val="21"/>
                      <w:szCs w:val="21"/>
                    </w:rPr>
                    <w:t>危险废物治理行业。固体危险废物全部进入暂存库储存，暂存库按照《危险废物贮存污染控制标准》建设。暂存库内设置负压集气系统，收集处理物料在装卸、存储过程中产生的无组织废气，进出口处设置空气风幕系统。粉状物料密闭储存，并配备有效集气处理设施。液体危险废物密闭储存，储罐大、小呼吸产生的废气进行有效收集处理。危险废物焚烧中的卸料、配伍、破碎、上料，物化处理中的氧化还原、酸碱中和、气浮，危险废物资源化利用中的废包装桶回收</w:t>
                  </w:r>
                  <w:r>
                    <w:rPr>
                      <w:rFonts w:hint="eastAsia" w:cs="Times New Roman"/>
                      <w:color w:val="auto"/>
                      <w:spacing w:val="0"/>
                      <w:sz w:val="21"/>
                      <w:szCs w:val="21"/>
                      <w:lang w:eastAsia="zh-CN"/>
                    </w:rPr>
                    <w:t>（</w:t>
                  </w:r>
                  <w:r>
                    <w:rPr>
                      <w:rFonts w:hint="default" w:ascii="Times New Roman" w:hAnsi="Times New Roman" w:eastAsia="宋体" w:cs="Times New Roman"/>
                      <w:color w:val="auto"/>
                      <w:spacing w:val="0"/>
                      <w:sz w:val="21"/>
                      <w:szCs w:val="21"/>
                    </w:rPr>
                    <w:t>清洗、整形、喷漆等</w:t>
                  </w:r>
                  <w:r>
                    <w:rPr>
                      <w:rFonts w:hint="eastAsia" w:cs="Times New Roman"/>
                      <w:color w:val="auto"/>
                      <w:spacing w:val="0"/>
                      <w:sz w:val="21"/>
                      <w:szCs w:val="21"/>
                      <w:lang w:eastAsia="zh-CN"/>
                    </w:rPr>
                    <w:t>）</w:t>
                  </w:r>
                  <w:r>
                    <w:rPr>
                      <w:rFonts w:hint="default" w:ascii="Times New Roman" w:hAnsi="Times New Roman" w:eastAsia="宋体" w:cs="Times New Roman"/>
                      <w:color w:val="auto"/>
                      <w:spacing w:val="0"/>
                      <w:sz w:val="21"/>
                      <w:szCs w:val="21"/>
                    </w:rPr>
                    <w:t>、废催化剂再生</w:t>
                  </w:r>
                  <w:r>
                    <w:rPr>
                      <w:rFonts w:hint="eastAsia" w:cs="Times New Roman"/>
                      <w:color w:val="auto"/>
                      <w:spacing w:val="0"/>
                      <w:sz w:val="21"/>
                      <w:szCs w:val="21"/>
                      <w:lang w:eastAsia="zh-CN"/>
                    </w:rPr>
                    <w:t>（</w:t>
                  </w:r>
                  <w:r>
                    <w:rPr>
                      <w:rFonts w:hint="default" w:ascii="Times New Roman" w:hAnsi="Times New Roman" w:eastAsia="宋体" w:cs="Times New Roman"/>
                      <w:color w:val="auto"/>
                      <w:spacing w:val="0"/>
                      <w:sz w:val="21"/>
                      <w:szCs w:val="21"/>
                    </w:rPr>
                    <w:t>清灰、筛分、烧炭、氯化更新、干燥、煅烧等</w:t>
                  </w:r>
                  <w:r>
                    <w:rPr>
                      <w:rFonts w:hint="eastAsia" w:cs="Times New Roman"/>
                      <w:color w:val="auto"/>
                      <w:spacing w:val="0"/>
                      <w:sz w:val="21"/>
                      <w:szCs w:val="21"/>
                      <w:lang w:eastAsia="zh-CN"/>
                    </w:rPr>
                    <w:t>）</w:t>
                  </w:r>
                  <w:r>
                    <w:rPr>
                      <w:rFonts w:hint="default" w:ascii="Times New Roman" w:hAnsi="Times New Roman" w:eastAsia="宋体" w:cs="Times New Roman"/>
                      <w:color w:val="auto"/>
                      <w:spacing w:val="0"/>
                      <w:sz w:val="21"/>
                      <w:szCs w:val="21"/>
                    </w:rPr>
                    <w:t>、废线路板回收</w:t>
                  </w:r>
                  <w:r>
                    <w:rPr>
                      <w:rFonts w:hint="eastAsia" w:cs="Times New Roman"/>
                      <w:color w:val="auto"/>
                      <w:spacing w:val="0"/>
                      <w:sz w:val="21"/>
                      <w:szCs w:val="21"/>
                      <w:lang w:eastAsia="zh-CN"/>
                    </w:rPr>
                    <w:t>（</w:t>
                  </w:r>
                  <w:r>
                    <w:rPr>
                      <w:rFonts w:hint="default" w:ascii="Times New Roman" w:hAnsi="Times New Roman" w:eastAsia="宋体" w:cs="Times New Roman"/>
                      <w:color w:val="auto"/>
                      <w:spacing w:val="0"/>
                      <w:sz w:val="21"/>
                      <w:szCs w:val="21"/>
                    </w:rPr>
                    <w:t>破碎、分选等</w:t>
                  </w:r>
                  <w:r>
                    <w:rPr>
                      <w:rFonts w:hint="eastAsia" w:cs="Times New Roman"/>
                      <w:color w:val="auto"/>
                      <w:spacing w:val="0"/>
                      <w:sz w:val="21"/>
                      <w:szCs w:val="21"/>
                      <w:lang w:eastAsia="zh-CN"/>
                    </w:rPr>
                    <w:t>）</w:t>
                  </w:r>
                  <w:r>
                    <w:rPr>
                      <w:rFonts w:hint="default" w:ascii="Times New Roman" w:hAnsi="Times New Roman" w:eastAsia="宋体" w:cs="Times New Roman"/>
                      <w:color w:val="auto"/>
                      <w:spacing w:val="0"/>
                      <w:sz w:val="21"/>
                      <w:szCs w:val="21"/>
                    </w:rPr>
                    <w:t>、废活性炭再生</w:t>
                  </w:r>
                  <w:r>
                    <w:rPr>
                      <w:rFonts w:hint="eastAsia" w:cs="Times New Roman"/>
                      <w:color w:val="auto"/>
                      <w:spacing w:val="0"/>
                      <w:sz w:val="21"/>
                      <w:szCs w:val="21"/>
                      <w:lang w:eastAsia="zh-CN"/>
                    </w:rPr>
                    <w:t>（</w:t>
                  </w:r>
                  <w:r>
                    <w:rPr>
                      <w:rFonts w:hint="default" w:ascii="Times New Roman" w:hAnsi="Times New Roman" w:eastAsia="宋体" w:cs="Times New Roman"/>
                      <w:color w:val="auto"/>
                      <w:spacing w:val="0"/>
                      <w:sz w:val="21"/>
                      <w:szCs w:val="21"/>
                    </w:rPr>
                    <w:t>筛分、再生、出炭等</w:t>
                  </w:r>
                  <w:r>
                    <w:rPr>
                      <w:rFonts w:hint="eastAsia" w:cs="Times New Roman"/>
                      <w:color w:val="auto"/>
                      <w:spacing w:val="0"/>
                      <w:sz w:val="21"/>
                      <w:szCs w:val="21"/>
                      <w:lang w:eastAsia="zh-CN"/>
                    </w:rPr>
                    <w:t>）</w:t>
                  </w:r>
                  <w:r>
                    <w:rPr>
                      <w:rFonts w:hint="default" w:ascii="Times New Roman" w:hAnsi="Times New Roman" w:eastAsia="宋体" w:cs="Times New Roman"/>
                      <w:color w:val="auto"/>
                      <w:spacing w:val="0"/>
                      <w:sz w:val="21"/>
                      <w:szCs w:val="21"/>
                    </w:rPr>
                    <w:t>、铬渣干法解毒</w:t>
                  </w:r>
                  <w:r>
                    <w:rPr>
                      <w:rFonts w:hint="eastAsia" w:cs="Times New Roman"/>
                      <w:color w:val="auto"/>
                      <w:spacing w:val="0"/>
                      <w:sz w:val="21"/>
                      <w:szCs w:val="21"/>
                      <w:lang w:eastAsia="zh-CN"/>
                    </w:rPr>
                    <w:t>（</w:t>
                  </w:r>
                  <w:r>
                    <w:rPr>
                      <w:rFonts w:hint="default" w:ascii="Times New Roman" w:hAnsi="Times New Roman" w:eastAsia="宋体" w:cs="Times New Roman"/>
                      <w:color w:val="auto"/>
                      <w:spacing w:val="0"/>
                      <w:sz w:val="21"/>
                      <w:szCs w:val="21"/>
                    </w:rPr>
                    <w:t>破碎筛分、烘干、输送进料、球磨、还原煅烧等</w:t>
                  </w:r>
                  <w:r>
                    <w:rPr>
                      <w:rFonts w:hint="eastAsia" w:cs="Times New Roman"/>
                      <w:color w:val="auto"/>
                      <w:spacing w:val="0"/>
                      <w:sz w:val="21"/>
                      <w:szCs w:val="21"/>
                      <w:lang w:eastAsia="zh-CN"/>
                    </w:rPr>
                    <w:t>）</w:t>
                  </w:r>
                  <w:r>
                    <w:rPr>
                      <w:rFonts w:hint="default" w:ascii="Times New Roman" w:hAnsi="Times New Roman" w:eastAsia="宋体" w:cs="Times New Roman"/>
                      <w:color w:val="auto"/>
                      <w:spacing w:val="0"/>
                      <w:sz w:val="21"/>
                      <w:szCs w:val="21"/>
                    </w:rPr>
                    <w:t>，稳定固化中的输送给料、破碎筛分、搅拌等环节采取密闭措施并配备废气有效收集处理设施。危险废物填埋采取抑尘措施，填埋场填埋作业达到设计容量后，及时进行封场覆盖。</w:t>
                  </w:r>
                </w:p>
              </w:tc>
              <w:tc>
                <w:tcPr>
                  <w:tcW w:w="968" w:type="pct"/>
                  <w:vAlign w:val="center"/>
                </w:tcPr>
                <w:p w14:paraId="58F696CC">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cs="Times New Roman"/>
                      <w:color w:val="auto"/>
                      <w:spacing w:val="0"/>
                      <w:sz w:val="21"/>
                      <w:szCs w:val="21"/>
                      <w:lang w:val="en-US" w:eastAsia="zh-CN"/>
                    </w:rPr>
                  </w:pPr>
                  <w:r>
                    <w:rPr>
                      <w:rFonts w:hint="eastAsia" w:cs="Times New Roman"/>
                      <w:color w:val="auto"/>
                      <w:spacing w:val="0"/>
                      <w:sz w:val="21"/>
                      <w:szCs w:val="21"/>
                      <w:lang w:val="en-US" w:eastAsia="zh-CN"/>
                    </w:rPr>
                    <w:t>项目危险废物全部进入贮存仓库储存，仓库按要求进行建设。</w:t>
                  </w:r>
                </w:p>
                <w:p w14:paraId="615DCDC7">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cs="Times New Roman"/>
                      <w:color w:val="auto"/>
                      <w:spacing w:val="0"/>
                      <w:sz w:val="21"/>
                      <w:szCs w:val="21"/>
                      <w:lang w:val="en-US" w:eastAsia="zh-CN"/>
                    </w:rPr>
                  </w:pPr>
                  <w:r>
                    <w:rPr>
                      <w:rFonts w:hint="eastAsia" w:cs="Times New Roman"/>
                      <w:color w:val="auto"/>
                      <w:spacing w:val="0"/>
                      <w:sz w:val="21"/>
                      <w:szCs w:val="21"/>
                      <w:lang w:val="en-US" w:eastAsia="zh-CN"/>
                    </w:rPr>
                    <w:t>储存容器密闭，仓库密封。</w:t>
                  </w:r>
                  <w:r>
                    <w:rPr>
                      <w:rFonts w:hint="eastAsia"/>
                      <w:lang w:eastAsia="zh-CN"/>
                    </w:rPr>
                    <w:t>无分装拆包环节。</w:t>
                  </w:r>
                </w:p>
                <w:p w14:paraId="0A4D0BD0">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cs="Times New Roman"/>
                      <w:color w:val="auto"/>
                      <w:spacing w:val="0"/>
                      <w:sz w:val="21"/>
                      <w:szCs w:val="21"/>
                      <w:lang w:val="en-US" w:eastAsia="zh-CN"/>
                    </w:rPr>
                  </w:pPr>
                  <w:r>
                    <w:rPr>
                      <w:rFonts w:hint="eastAsia" w:cs="Times New Roman"/>
                      <w:color w:val="auto"/>
                      <w:spacing w:val="0"/>
                      <w:sz w:val="21"/>
                      <w:szCs w:val="21"/>
                      <w:lang w:val="en-US" w:eastAsia="zh-CN"/>
                    </w:rPr>
                    <w:t>仓库内设置集气系统和处理设施。不涉及危险废物焚烧和填埋</w:t>
                  </w:r>
                </w:p>
              </w:tc>
              <w:tc>
                <w:tcPr>
                  <w:tcW w:w="456" w:type="pct"/>
                  <w:vAlign w:val="center"/>
                </w:tcPr>
                <w:p w14:paraId="76B5A968">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cs="Times New Roman"/>
                      <w:color w:val="auto"/>
                      <w:spacing w:val="0"/>
                      <w:sz w:val="21"/>
                      <w:szCs w:val="21"/>
                      <w:lang w:val="en-US" w:eastAsia="zh-CN"/>
                    </w:rPr>
                  </w:pPr>
                  <w:r>
                    <w:rPr>
                      <w:rFonts w:hint="eastAsia" w:cs="Times New Roman"/>
                      <w:color w:val="auto"/>
                      <w:spacing w:val="0"/>
                      <w:sz w:val="21"/>
                      <w:szCs w:val="21"/>
                      <w:lang w:val="en-US" w:eastAsia="zh-CN"/>
                    </w:rPr>
                    <w:t>符合</w:t>
                  </w:r>
                </w:p>
              </w:tc>
            </w:tr>
          </w:tbl>
          <w:p w14:paraId="3C3E41C8">
            <w:pPr>
              <w:autoSpaceDE w:val="0"/>
              <w:autoSpaceDN w:val="0"/>
              <w:adjustRightInd w:val="0"/>
              <w:snapToGrid w:val="0"/>
              <w:spacing w:before="120" w:beforeLines="50" w:line="360" w:lineRule="auto"/>
              <w:ind w:firstLine="480" w:firstLineChars="200"/>
              <w:jc w:val="left"/>
              <w:rPr>
                <w:rFonts w:hint="default" w:ascii="Times New Roman" w:hAnsi="Times New Roman" w:eastAsia="宋体" w:cs="Times New Roman"/>
                <w:color w:val="auto"/>
                <w:spacing w:val="0"/>
                <w:sz w:val="24"/>
                <w:szCs w:val="24"/>
              </w:rPr>
            </w:pPr>
            <w:r>
              <w:rPr>
                <w:rFonts w:hint="default" w:ascii="Times New Roman" w:hAnsi="Times New Roman" w:eastAsia="宋体" w:cs="Times New Roman"/>
                <w:color w:val="auto"/>
                <w:spacing w:val="0"/>
                <w:sz w:val="24"/>
                <w:szCs w:val="24"/>
              </w:rPr>
              <w:t>由上表可知，项目符合《山东省工业企业无组织排放分行业管控指导意见》</w:t>
            </w:r>
            <w:r>
              <w:rPr>
                <w:rFonts w:hint="eastAsia" w:cs="Times New Roman"/>
                <w:color w:val="auto"/>
                <w:spacing w:val="0"/>
                <w:sz w:val="24"/>
                <w:szCs w:val="24"/>
                <w:lang w:eastAsia="zh-CN"/>
              </w:rPr>
              <w:t>（</w:t>
            </w:r>
            <w:r>
              <w:rPr>
                <w:rFonts w:hint="default" w:ascii="Times New Roman" w:hAnsi="Times New Roman" w:eastAsia="宋体" w:cs="Times New Roman"/>
                <w:color w:val="auto"/>
                <w:spacing w:val="0"/>
                <w:sz w:val="24"/>
                <w:szCs w:val="24"/>
              </w:rPr>
              <w:t>鲁环发〔2020〕30号</w:t>
            </w:r>
            <w:r>
              <w:rPr>
                <w:rFonts w:hint="eastAsia" w:cs="Times New Roman"/>
                <w:color w:val="auto"/>
                <w:spacing w:val="0"/>
                <w:sz w:val="24"/>
                <w:szCs w:val="24"/>
                <w:lang w:eastAsia="zh-CN"/>
              </w:rPr>
              <w:t>）</w:t>
            </w:r>
            <w:r>
              <w:rPr>
                <w:rFonts w:hint="default" w:ascii="Times New Roman" w:hAnsi="Times New Roman" w:eastAsia="宋体" w:cs="Times New Roman"/>
                <w:color w:val="auto"/>
                <w:spacing w:val="0"/>
                <w:sz w:val="24"/>
                <w:szCs w:val="24"/>
              </w:rPr>
              <w:t>要求。</w:t>
            </w:r>
          </w:p>
          <w:p w14:paraId="062F510D">
            <w:pPr>
              <w:autoSpaceDE w:val="0"/>
              <w:autoSpaceDN w:val="0"/>
              <w:adjustRightInd w:val="0"/>
              <w:snapToGrid w:val="0"/>
              <w:spacing w:before="120" w:beforeLines="50" w:line="360" w:lineRule="auto"/>
              <w:ind w:firstLine="480" w:firstLineChars="200"/>
              <w:jc w:val="left"/>
              <w:rPr>
                <w:rFonts w:hint="default" w:ascii="Times New Roman" w:hAnsi="Times New Roman" w:eastAsia="宋体" w:cs="Times New Roman"/>
                <w:color w:val="FF0000"/>
                <w:spacing w:val="0"/>
                <w:sz w:val="24"/>
                <w:szCs w:val="24"/>
              </w:rPr>
            </w:pPr>
          </w:p>
          <w:p w14:paraId="4F6F42B8">
            <w:pPr>
              <w:autoSpaceDE w:val="0"/>
              <w:autoSpaceDN w:val="0"/>
              <w:adjustRightInd w:val="0"/>
              <w:snapToGrid w:val="0"/>
              <w:spacing w:before="120" w:beforeLines="50" w:line="360" w:lineRule="auto"/>
              <w:ind w:firstLine="480" w:firstLineChars="200"/>
              <w:jc w:val="left"/>
              <w:rPr>
                <w:rFonts w:hint="default" w:ascii="Times New Roman" w:hAnsi="Times New Roman" w:eastAsia="宋体" w:cs="Times New Roman"/>
                <w:color w:val="FF0000"/>
                <w:spacing w:val="0"/>
                <w:sz w:val="24"/>
                <w:szCs w:val="24"/>
              </w:rPr>
            </w:pPr>
          </w:p>
          <w:p w14:paraId="2E25CFD6">
            <w:pPr>
              <w:autoSpaceDE w:val="0"/>
              <w:autoSpaceDN w:val="0"/>
              <w:adjustRightInd w:val="0"/>
              <w:snapToGrid w:val="0"/>
              <w:spacing w:before="120" w:beforeLines="50" w:line="360" w:lineRule="auto"/>
              <w:ind w:firstLine="480" w:firstLineChars="200"/>
              <w:jc w:val="left"/>
              <w:rPr>
                <w:rFonts w:hint="default" w:ascii="Times New Roman" w:hAnsi="Times New Roman" w:eastAsia="宋体" w:cs="Times New Roman"/>
                <w:color w:val="FF0000"/>
                <w:spacing w:val="0"/>
                <w:sz w:val="24"/>
                <w:szCs w:val="24"/>
              </w:rPr>
            </w:pPr>
          </w:p>
          <w:p w14:paraId="706EE379">
            <w:pPr>
              <w:autoSpaceDE w:val="0"/>
              <w:autoSpaceDN w:val="0"/>
              <w:adjustRightInd w:val="0"/>
              <w:snapToGrid w:val="0"/>
              <w:spacing w:before="120" w:beforeLines="50" w:line="360" w:lineRule="auto"/>
              <w:ind w:firstLine="480" w:firstLineChars="200"/>
              <w:jc w:val="left"/>
              <w:rPr>
                <w:rFonts w:hint="default" w:ascii="Times New Roman" w:hAnsi="Times New Roman" w:eastAsia="宋体" w:cs="Times New Roman"/>
                <w:color w:val="FF0000"/>
                <w:spacing w:val="0"/>
                <w:sz w:val="24"/>
                <w:szCs w:val="24"/>
              </w:rPr>
            </w:pPr>
          </w:p>
          <w:p w14:paraId="786D583B">
            <w:pPr>
              <w:autoSpaceDE w:val="0"/>
              <w:autoSpaceDN w:val="0"/>
              <w:adjustRightInd w:val="0"/>
              <w:snapToGrid w:val="0"/>
              <w:spacing w:before="120" w:beforeLines="50" w:line="360" w:lineRule="auto"/>
              <w:ind w:firstLine="480" w:firstLineChars="200"/>
              <w:jc w:val="left"/>
              <w:rPr>
                <w:rFonts w:hint="default" w:ascii="Times New Roman" w:hAnsi="Times New Roman" w:eastAsia="宋体" w:cs="Times New Roman"/>
                <w:color w:val="FF0000"/>
                <w:spacing w:val="0"/>
                <w:sz w:val="24"/>
                <w:szCs w:val="24"/>
              </w:rPr>
            </w:pPr>
          </w:p>
          <w:p w14:paraId="62E70405">
            <w:pPr>
              <w:autoSpaceDE w:val="0"/>
              <w:autoSpaceDN w:val="0"/>
              <w:adjustRightInd w:val="0"/>
              <w:snapToGrid w:val="0"/>
              <w:spacing w:before="120" w:beforeLines="50" w:line="360" w:lineRule="auto"/>
              <w:ind w:firstLine="480" w:firstLineChars="200"/>
              <w:jc w:val="left"/>
              <w:rPr>
                <w:rFonts w:hint="default" w:ascii="Times New Roman" w:hAnsi="Times New Roman" w:eastAsia="宋体" w:cs="Times New Roman"/>
                <w:color w:val="FF0000"/>
                <w:spacing w:val="0"/>
                <w:sz w:val="24"/>
                <w:szCs w:val="24"/>
              </w:rPr>
            </w:pPr>
          </w:p>
          <w:p w14:paraId="48CEABB2">
            <w:pPr>
              <w:autoSpaceDE w:val="0"/>
              <w:autoSpaceDN w:val="0"/>
              <w:adjustRightInd w:val="0"/>
              <w:snapToGrid w:val="0"/>
              <w:spacing w:before="120" w:beforeLines="50" w:line="360" w:lineRule="auto"/>
              <w:ind w:firstLine="480" w:firstLineChars="200"/>
              <w:jc w:val="left"/>
              <w:rPr>
                <w:rFonts w:hint="default" w:ascii="Times New Roman" w:hAnsi="Times New Roman" w:eastAsia="宋体" w:cs="Times New Roman"/>
                <w:color w:val="FF0000"/>
                <w:spacing w:val="0"/>
                <w:sz w:val="24"/>
                <w:szCs w:val="24"/>
              </w:rPr>
            </w:pPr>
          </w:p>
          <w:p w14:paraId="0AB0C982">
            <w:pPr>
              <w:autoSpaceDE w:val="0"/>
              <w:autoSpaceDN w:val="0"/>
              <w:adjustRightInd w:val="0"/>
              <w:snapToGrid w:val="0"/>
              <w:spacing w:before="120" w:beforeLines="50" w:line="360" w:lineRule="auto"/>
              <w:ind w:firstLine="480" w:firstLineChars="200"/>
              <w:jc w:val="left"/>
              <w:rPr>
                <w:rFonts w:hint="default" w:ascii="Times New Roman" w:hAnsi="Times New Roman" w:eastAsia="宋体" w:cs="Times New Roman"/>
                <w:color w:val="FF0000"/>
                <w:spacing w:val="0"/>
                <w:sz w:val="24"/>
                <w:szCs w:val="24"/>
              </w:rPr>
            </w:pPr>
          </w:p>
          <w:p w14:paraId="1960C127">
            <w:pPr>
              <w:autoSpaceDE w:val="0"/>
              <w:autoSpaceDN w:val="0"/>
              <w:adjustRightInd w:val="0"/>
              <w:snapToGrid w:val="0"/>
              <w:spacing w:before="120" w:beforeLines="50" w:line="360" w:lineRule="auto"/>
              <w:ind w:firstLine="480" w:firstLineChars="200"/>
              <w:jc w:val="left"/>
              <w:rPr>
                <w:rFonts w:hint="default" w:ascii="Times New Roman" w:hAnsi="Times New Roman" w:eastAsia="宋体" w:cs="Times New Roman"/>
                <w:color w:val="FF0000"/>
                <w:spacing w:val="0"/>
                <w:sz w:val="24"/>
                <w:szCs w:val="24"/>
              </w:rPr>
            </w:pPr>
          </w:p>
          <w:p w14:paraId="68BBE9ED">
            <w:pPr>
              <w:autoSpaceDE w:val="0"/>
              <w:autoSpaceDN w:val="0"/>
              <w:adjustRightInd w:val="0"/>
              <w:snapToGrid w:val="0"/>
              <w:spacing w:before="120" w:beforeLines="50" w:line="360" w:lineRule="auto"/>
              <w:ind w:firstLine="480" w:firstLineChars="200"/>
              <w:jc w:val="left"/>
              <w:rPr>
                <w:rFonts w:hint="default" w:ascii="Times New Roman" w:hAnsi="Times New Roman" w:eastAsia="宋体" w:cs="Times New Roman"/>
                <w:color w:val="FF0000"/>
                <w:spacing w:val="0"/>
                <w:sz w:val="24"/>
                <w:szCs w:val="24"/>
              </w:rPr>
            </w:pPr>
          </w:p>
          <w:p w14:paraId="13C064EE">
            <w:pPr>
              <w:autoSpaceDE w:val="0"/>
              <w:autoSpaceDN w:val="0"/>
              <w:adjustRightInd w:val="0"/>
              <w:snapToGrid w:val="0"/>
              <w:spacing w:before="120" w:beforeLines="50" w:line="360" w:lineRule="auto"/>
              <w:ind w:firstLine="480" w:firstLineChars="200"/>
              <w:jc w:val="left"/>
              <w:rPr>
                <w:rFonts w:hint="default" w:ascii="Times New Roman" w:hAnsi="Times New Roman" w:eastAsia="宋体" w:cs="Times New Roman"/>
                <w:color w:val="FF0000"/>
                <w:spacing w:val="0"/>
                <w:sz w:val="24"/>
                <w:szCs w:val="24"/>
              </w:rPr>
            </w:pPr>
          </w:p>
          <w:p w14:paraId="7E1C9B48">
            <w:pPr>
              <w:autoSpaceDE w:val="0"/>
              <w:autoSpaceDN w:val="0"/>
              <w:adjustRightInd w:val="0"/>
              <w:snapToGrid w:val="0"/>
              <w:spacing w:before="120" w:beforeLines="50" w:line="360" w:lineRule="auto"/>
              <w:ind w:firstLine="480" w:firstLineChars="200"/>
              <w:jc w:val="left"/>
              <w:rPr>
                <w:rFonts w:hint="default" w:ascii="Times New Roman" w:hAnsi="Times New Roman" w:eastAsia="宋体" w:cs="Times New Roman"/>
                <w:color w:val="FF0000"/>
                <w:spacing w:val="0"/>
                <w:sz w:val="24"/>
                <w:szCs w:val="24"/>
              </w:rPr>
            </w:pPr>
          </w:p>
          <w:p w14:paraId="01020CB7">
            <w:pPr>
              <w:autoSpaceDE w:val="0"/>
              <w:autoSpaceDN w:val="0"/>
              <w:adjustRightInd w:val="0"/>
              <w:snapToGrid w:val="0"/>
              <w:spacing w:before="120" w:beforeLines="50" w:line="360" w:lineRule="auto"/>
              <w:ind w:firstLine="480" w:firstLineChars="200"/>
              <w:jc w:val="left"/>
              <w:rPr>
                <w:rFonts w:hint="default" w:ascii="Times New Roman" w:hAnsi="Times New Roman" w:eastAsia="宋体" w:cs="Times New Roman"/>
                <w:color w:val="FF0000"/>
                <w:spacing w:val="0"/>
                <w:sz w:val="24"/>
                <w:szCs w:val="24"/>
              </w:rPr>
            </w:pPr>
          </w:p>
          <w:p w14:paraId="1DF1DA0F">
            <w:pPr>
              <w:autoSpaceDE w:val="0"/>
              <w:autoSpaceDN w:val="0"/>
              <w:adjustRightInd w:val="0"/>
              <w:snapToGrid w:val="0"/>
              <w:spacing w:before="120" w:beforeLines="50" w:line="360" w:lineRule="auto"/>
              <w:ind w:firstLine="480" w:firstLineChars="200"/>
              <w:jc w:val="left"/>
              <w:rPr>
                <w:rFonts w:hint="default" w:ascii="Times New Roman" w:hAnsi="Times New Roman" w:eastAsia="宋体" w:cs="Times New Roman"/>
                <w:color w:val="FF0000"/>
                <w:spacing w:val="0"/>
                <w:sz w:val="24"/>
                <w:szCs w:val="24"/>
              </w:rPr>
            </w:pPr>
          </w:p>
          <w:p w14:paraId="1822525F">
            <w:pPr>
              <w:autoSpaceDE w:val="0"/>
              <w:autoSpaceDN w:val="0"/>
              <w:adjustRightInd w:val="0"/>
              <w:snapToGrid w:val="0"/>
              <w:spacing w:before="120" w:beforeLines="50" w:line="360" w:lineRule="auto"/>
              <w:ind w:firstLine="480" w:firstLineChars="200"/>
              <w:jc w:val="left"/>
              <w:rPr>
                <w:rFonts w:hint="default" w:ascii="Times New Roman" w:hAnsi="Times New Roman" w:eastAsia="宋体" w:cs="Times New Roman"/>
                <w:color w:val="FF0000"/>
                <w:spacing w:val="0"/>
                <w:sz w:val="24"/>
                <w:szCs w:val="24"/>
              </w:rPr>
            </w:pPr>
          </w:p>
          <w:p w14:paraId="013FC8CC">
            <w:pPr>
              <w:autoSpaceDE w:val="0"/>
              <w:autoSpaceDN w:val="0"/>
              <w:adjustRightInd w:val="0"/>
              <w:snapToGrid w:val="0"/>
              <w:spacing w:before="120" w:beforeLines="50" w:line="360" w:lineRule="auto"/>
              <w:ind w:firstLine="480" w:firstLineChars="200"/>
              <w:jc w:val="left"/>
              <w:rPr>
                <w:rFonts w:hint="default" w:ascii="Times New Roman" w:hAnsi="Times New Roman" w:eastAsia="宋体" w:cs="Times New Roman"/>
                <w:color w:val="FF0000"/>
                <w:spacing w:val="0"/>
                <w:sz w:val="24"/>
                <w:szCs w:val="24"/>
              </w:rPr>
            </w:pPr>
          </w:p>
          <w:p w14:paraId="62F4CA1E">
            <w:pPr>
              <w:autoSpaceDE w:val="0"/>
              <w:autoSpaceDN w:val="0"/>
              <w:adjustRightInd w:val="0"/>
              <w:snapToGrid w:val="0"/>
              <w:spacing w:before="120" w:beforeLines="50" w:line="360" w:lineRule="auto"/>
              <w:ind w:firstLine="480" w:firstLineChars="200"/>
              <w:jc w:val="left"/>
              <w:rPr>
                <w:rFonts w:hint="default" w:ascii="Times New Roman" w:hAnsi="Times New Roman" w:eastAsia="宋体" w:cs="Times New Roman"/>
                <w:color w:val="FF0000"/>
                <w:spacing w:val="0"/>
                <w:sz w:val="24"/>
                <w:szCs w:val="24"/>
              </w:rPr>
            </w:pPr>
          </w:p>
          <w:p w14:paraId="2083FD63">
            <w:pPr>
              <w:autoSpaceDE w:val="0"/>
              <w:autoSpaceDN w:val="0"/>
              <w:adjustRightInd w:val="0"/>
              <w:snapToGrid w:val="0"/>
              <w:spacing w:before="120" w:beforeLines="50" w:line="360" w:lineRule="auto"/>
              <w:ind w:firstLine="480" w:firstLineChars="200"/>
              <w:jc w:val="left"/>
              <w:rPr>
                <w:rFonts w:hint="default" w:ascii="Times New Roman" w:hAnsi="Times New Roman" w:eastAsia="宋体" w:cs="Times New Roman"/>
                <w:color w:val="FF0000"/>
                <w:spacing w:val="0"/>
                <w:sz w:val="24"/>
                <w:szCs w:val="24"/>
              </w:rPr>
            </w:pPr>
          </w:p>
          <w:p w14:paraId="63C32541">
            <w:pPr>
              <w:autoSpaceDE w:val="0"/>
              <w:autoSpaceDN w:val="0"/>
              <w:adjustRightInd w:val="0"/>
              <w:snapToGrid w:val="0"/>
              <w:spacing w:before="120" w:beforeLines="50" w:line="360" w:lineRule="auto"/>
              <w:ind w:firstLine="480" w:firstLineChars="200"/>
              <w:jc w:val="left"/>
              <w:rPr>
                <w:rFonts w:hint="default" w:ascii="Times New Roman" w:hAnsi="Times New Roman" w:eastAsia="宋体" w:cs="Times New Roman"/>
                <w:color w:val="FF0000"/>
                <w:spacing w:val="0"/>
                <w:sz w:val="24"/>
                <w:szCs w:val="24"/>
              </w:rPr>
            </w:pPr>
          </w:p>
          <w:p w14:paraId="69309988">
            <w:pPr>
              <w:autoSpaceDE w:val="0"/>
              <w:autoSpaceDN w:val="0"/>
              <w:adjustRightInd w:val="0"/>
              <w:snapToGrid w:val="0"/>
              <w:spacing w:before="120" w:beforeLines="50" w:line="360" w:lineRule="auto"/>
              <w:ind w:firstLine="480" w:firstLineChars="200"/>
              <w:jc w:val="left"/>
              <w:rPr>
                <w:rFonts w:hint="default" w:ascii="Times New Roman" w:hAnsi="Times New Roman" w:eastAsia="宋体" w:cs="Times New Roman"/>
                <w:color w:val="FF0000"/>
                <w:spacing w:val="0"/>
                <w:sz w:val="24"/>
                <w:szCs w:val="24"/>
              </w:rPr>
            </w:pPr>
          </w:p>
          <w:p w14:paraId="3EA56425">
            <w:pPr>
              <w:autoSpaceDE w:val="0"/>
              <w:autoSpaceDN w:val="0"/>
              <w:adjustRightInd w:val="0"/>
              <w:snapToGrid w:val="0"/>
              <w:spacing w:before="120" w:beforeLines="50" w:line="360" w:lineRule="auto"/>
              <w:ind w:firstLine="480" w:firstLineChars="200"/>
              <w:jc w:val="left"/>
              <w:rPr>
                <w:rFonts w:hint="default" w:ascii="Times New Roman" w:hAnsi="Times New Roman" w:eastAsia="宋体" w:cs="Times New Roman"/>
                <w:color w:val="FF0000"/>
                <w:spacing w:val="0"/>
                <w:sz w:val="24"/>
                <w:szCs w:val="24"/>
              </w:rPr>
            </w:pPr>
          </w:p>
          <w:p w14:paraId="38CFA7B5">
            <w:pPr>
              <w:autoSpaceDE w:val="0"/>
              <w:autoSpaceDN w:val="0"/>
              <w:adjustRightInd w:val="0"/>
              <w:snapToGrid w:val="0"/>
              <w:spacing w:before="120" w:beforeLines="50" w:line="360" w:lineRule="auto"/>
              <w:ind w:firstLine="480" w:firstLineChars="200"/>
              <w:jc w:val="left"/>
              <w:rPr>
                <w:rFonts w:hint="eastAsia" w:ascii="Times New Roman" w:hAnsi="Times New Roman" w:eastAsia="宋体" w:cs="Times New Roman"/>
                <w:color w:val="FF0000"/>
                <w:spacing w:val="0"/>
                <w:sz w:val="24"/>
                <w:szCs w:val="24"/>
                <w:lang w:val="en-US" w:eastAsia="zh-CN"/>
              </w:rPr>
            </w:pPr>
          </w:p>
        </w:tc>
      </w:tr>
    </w:tbl>
    <w:p w14:paraId="51DC8E82">
      <w:pPr>
        <w:adjustRightInd w:val="0"/>
        <w:snapToGrid w:val="0"/>
        <w:spacing w:line="360" w:lineRule="auto"/>
        <w:outlineLvl w:val="0"/>
        <w:rPr>
          <w:color w:val="FF0000"/>
          <w:sz w:val="30"/>
        </w:rPr>
        <w:sectPr>
          <w:pgSz w:w="11906" w:h="16838"/>
          <w:pgMar w:top="1440" w:right="1800" w:bottom="1440" w:left="1800" w:header="851" w:footer="992" w:gutter="0"/>
          <w:cols w:space="425" w:num="1"/>
          <w:docGrid w:type="lines" w:linePitch="312" w:charSpace="0"/>
        </w:sectPr>
      </w:pPr>
    </w:p>
    <w:p w14:paraId="12501A5E">
      <w:pPr>
        <w:pStyle w:val="23"/>
        <w:keepNext w:val="0"/>
        <w:keepLines w:val="0"/>
        <w:pageBreakBefore w:val="0"/>
        <w:widowControl/>
        <w:numPr>
          <w:ilvl w:val="0"/>
          <w:numId w:val="11"/>
        </w:numPr>
        <w:kinsoku/>
        <w:wordWrap/>
        <w:overflowPunct/>
        <w:topLinePunct w:val="0"/>
        <w:autoSpaceDE/>
        <w:autoSpaceDN/>
        <w:bidi w:val="0"/>
        <w:adjustRightInd w:val="0"/>
        <w:snapToGrid w:val="0"/>
        <w:spacing w:before="0" w:beforeAutospacing="0" w:after="0" w:afterAutospacing="0" w:line="360" w:lineRule="auto"/>
        <w:jc w:val="center"/>
        <w:textAlignment w:val="auto"/>
        <w:outlineLvl w:val="0"/>
        <w:rPr>
          <w:rFonts w:ascii="Times New Roman" w:hAnsi="Times New Roman"/>
          <w:b/>
          <w:snapToGrid w:val="0"/>
          <w:color w:val="auto"/>
          <w:sz w:val="30"/>
          <w:szCs w:val="30"/>
        </w:rPr>
      </w:pPr>
      <w:r>
        <w:rPr>
          <w:rFonts w:ascii="Times New Roman" w:hAnsi="Times New Roman"/>
          <w:b/>
          <w:snapToGrid w:val="0"/>
          <w:color w:val="auto"/>
          <w:sz w:val="30"/>
          <w:szCs w:val="30"/>
        </w:rPr>
        <w:t>建设项目工程分析</w:t>
      </w:r>
    </w:p>
    <w:tbl>
      <w:tblPr>
        <w:tblStyle w:val="2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4"/>
        <w:gridCol w:w="8563"/>
      </w:tblGrid>
      <w:tr w14:paraId="5481BF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0" w:type="pct"/>
            <w:vAlign w:val="center"/>
          </w:tcPr>
          <w:p w14:paraId="118D8BA7">
            <w:pPr>
              <w:pStyle w:val="23"/>
              <w:keepNext w:val="0"/>
              <w:keepLines w:val="0"/>
              <w:pageBreakBefore w:val="0"/>
              <w:widowControl/>
              <w:numPr>
                <w:ilvl w:val="0"/>
                <w:numId w:val="0"/>
              </w:numPr>
              <w:kinsoku/>
              <w:wordWrap/>
              <w:overflowPunct/>
              <w:topLinePunct w:val="0"/>
              <w:autoSpaceDE/>
              <w:autoSpaceDN/>
              <w:bidi w:val="0"/>
              <w:adjustRightInd w:val="0"/>
              <w:snapToGrid w:val="0"/>
              <w:spacing w:before="0" w:beforeAutospacing="0" w:after="0" w:afterAutospacing="0" w:line="240" w:lineRule="auto"/>
              <w:jc w:val="center"/>
              <w:textAlignment w:val="auto"/>
              <w:outlineLvl w:val="0"/>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建设</w:t>
            </w:r>
          </w:p>
          <w:p w14:paraId="76578793">
            <w:pPr>
              <w:pStyle w:val="23"/>
              <w:keepNext w:val="0"/>
              <w:keepLines w:val="0"/>
              <w:pageBreakBefore w:val="0"/>
              <w:widowControl/>
              <w:numPr>
                <w:ilvl w:val="0"/>
                <w:numId w:val="0"/>
              </w:numPr>
              <w:kinsoku/>
              <w:wordWrap/>
              <w:overflowPunct/>
              <w:topLinePunct w:val="0"/>
              <w:autoSpaceDE/>
              <w:autoSpaceDN/>
              <w:bidi w:val="0"/>
              <w:adjustRightInd w:val="0"/>
              <w:snapToGrid w:val="0"/>
              <w:spacing w:before="0" w:beforeAutospacing="0" w:after="0" w:afterAutospacing="0" w:line="240" w:lineRule="auto"/>
              <w:jc w:val="center"/>
              <w:textAlignment w:val="auto"/>
              <w:outlineLvl w:val="0"/>
              <w:rPr>
                <w:rFonts w:ascii="Times New Roman" w:hAnsi="Times New Roman"/>
                <w:b/>
                <w:snapToGrid w:val="0"/>
                <w:color w:val="FF0000"/>
                <w:sz w:val="30"/>
                <w:szCs w:val="30"/>
                <w:vertAlign w:val="baseline"/>
              </w:rPr>
            </w:pPr>
            <w:r>
              <w:rPr>
                <w:rFonts w:hint="eastAsia" w:ascii="Times New Roman" w:hAnsi="Times New Roman" w:eastAsia="宋体" w:cs="Times New Roman"/>
                <w:color w:val="auto"/>
                <w:kern w:val="2"/>
                <w:sz w:val="24"/>
                <w:szCs w:val="24"/>
                <w:lang w:val="en-US" w:eastAsia="zh-CN" w:bidi="ar-SA"/>
              </w:rPr>
              <w:t>内容</w:t>
            </w:r>
          </w:p>
        </w:tc>
        <w:tc>
          <w:tcPr>
            <w:tcW w:w="4609" w:type="pct"/>
          </w:tcPr>
          <w:p w14:paraId="1DA130EF">
            <w:pPr>
              <w:keepNext w:val="0"/>
              <w:keepLines w:val="0"/>
              <w:pageBreakBefore w:val="0"/>
              <w:widowControl w:val="0"/>
              <w:numPr>
                <w:ilvl w:val="0"/>
                <w:numId w:val="12"/>
              </w:numPr>
              <w:kinsoku/>
              <w:wordWrap/>
              <w:overflowPunct/>
              <w:topLinePunct w:val="0"/>
              <w:autoSpaceDE/>
              <w:autoSpaceDN/>
              <w:bidi w:val="0"/>
              <w:adjustRightInd w:val="0"/>
              <w:snapToGrid w:val="0"/>
              <w:spacing w:line="360" w:lineRule="auto"/>
              <w:ind w:left="0" w:leftChars="0" w:firstLine="482" w:firstLineChars="200"/>
              <w:textAlignment w:val="auto"/>
              <w:rPr>
                <w:b/>
                <w:color w:val="auto"/>
                <w:sz w:val="24"/>
              </w:rPr>
            </w:pPr>
            <w:r>
              <w:rPr>
                <w:rFonts w:hint="eastAsia"/>
                <w:b/>
                <w:color w:val="auto"/>
                <w:sz w:val="24"/>
                <w:lang w:val="en-US" w:eastAsia="zh-CN"/>
              </w:rPr>
              <w:t>项目由来</w:t>
            </w:r>
          </w:p>
          <w:p w14:paraId="75B40B5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color w:val="auto"/>
                <w:sz w:val="24"/>
                <w:lang w:val="en-US" w:eastAsia="zh-CN"/>
              </w:rPr>
            </w:pPr>
            <w:r>
              <w:rPr>
                <w:rFonts w:hint="eastAsia"/>
                <w:color w:val="auto"/>
                <w:sz w:val="24"/>
                <w:lang w:val="en-US" w:eastAsia="zh-CN"/>
              </w:rPr>
              <w:t>淄博利赛环保科技有限公司成立于2019年08月15日，注册地位于山东省淄博市淄川区罗村镇罗村村秀川大道84号，法定代表人为郭春泉。主营危险废物收集。</w:t>
            </w:r>
          </w:p>
          <w:p w14:paraId="7CC42DC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lang w:val="en-US" w:eastAsia="zh-CN"/>
              </w:rPr>
            </w:pPr>
            <w:r>
              <w:rPr>
                <w:rFonts w:hint="eastAsia"/>
                <w:color w:val="auto"/>
                <w:sz w:val="24"/>
                <w:lang w:val="en-US" w:eastAsia="zh-CN"/>
              </w:rPr>
              <w:t>企业现有“</w:t>
            </w:r>
            <w:r>
              <w:rPr>
                <w:rFonts w:ascii="Times New Roman" w:hAnsi="Times New Roman" w:eastAsia="Times New Roman" w:cs="Times New Roman"/>
                <w:color w:val="auto"/>
                <w:spacing w:val="-1"/>
                <w:sz w:val="24"/>
                <w:szCs w:val="24"/>
              </w:rPr>
              <w:t>3000</w:t>
            </w:r>
            <w:r>
              <w:rPr>
                <w:rFonts w:ascii="Times New Roman" w:hAnsi="Times New Roman" w:eastAsia="Times New Roman" w:cs="Times New Roman"/>
                <w:color w:val="auto"/>
                <w:sz w:val="24"/>
                <w:szCs w:val="24"/>
              </w:rPr>
              <w:t>t</w:t>
            </w:r>
            <w:r>
              <w:rPr>
                <w:rFonts w:ascii="Times New Roman" w:hAnsi="Times New Roman" w:eastAsia="Times New Roman" w:cs="Times New Roman"/>
                <w:color w:val="auto"/>
                <w:spacing w:val="-1"/>
                <w:sz w:val="24"/>
                <w:szCs w:val="24"/>
              </w:rPr>
              <w:t>/</w:t>
            </w:r>
            <w:r>
              <w:rPr>
                <w:rFonts w:ascii="Times New Roman" w:hAnsi="Times New Roman" w:eastAsia="Times New Roman" w:cs="Times New Roman"/>
                <w:color w:val="auto"/>
                <w:sz w:val="24"/>
                <w:szCs w:val="24"/>
              </w:rPr>
              <w:t>a</w:t>
            </w:r>
            <w:r>
              <w:rPr>
                <w:rFonts w:ascii="宋体" w:hAnsi="宋体" w:eastAsia="宋体" w:cs="宋体"/>
                <w:color w:val="auto"/>
                <w:spacing w:val="-1"/>
                <w:sz w:val="24"/>
                <w:szCs w:val="24"/>
              </w:rPr>
              <w:t>危险废</w:t>
            </w:r>
            <w:r>
              <w:rPr>
                <w:rFonts w:ascii="宋体" w:hAnsi="宋体" w:eastAsia="宋体" w:cs="宋体"/>
                <w:color w:val="auto"/>
                <w:sz w:val="24"/>
                <w:szCs w:val="24"/>
              </w:rPr>
              <w:t>物收储、转运项目</w:t>
            </w:r>
            <w:r>
              <w:rPr>
                <w:rFonts w:hint="eastAsia"/>
                <w:color w:val="auto"/>
                <w:sz w:val="24"/>
                <w:lang w:val="en-US" w:eastAsia="zh-CN"/>
              </w:rPr>
              <w:t>”，位于淄川区罗村镇罗村村秀川大道84号，已于2020年2月19日取得</w:t>
            </w:r>
            <w:r>
              <w:rPr>
                <w:rFonts w:hint="eastAsia" w:ascii="Times New Roman" w:hAnsi="Times New Roman" w:eastAsia="宋体" w:cs="Times New Roman"/>
                <w:color w:val="auto"/>
                <w:sz w:val="24"/>
                <w:lang w:val="en-US" w:eastAsia="zh-CN"/>
              </w:rPr>
              <w:t>淄博市生态环境局</w:t>
            </w:r>
            <w:r>
              <w:rPr>
                <w:rFonts w:hint="eastAsia" w:cs="Times New Roman"/>
                <w:color w:val="auto"/>
                <w:sz w:val="24"/>
                <w:lang w:val="en-US" w:eastAsia="zh-CN"/>
              </w:rPr>
              <w:t>淄川分局出具的《</w:t>
            </w:r>
            <w:r>
              <w:rPr>
                <w:rFonts w:hint="eastAsia"/>
                <w:color w:val="auto"/>
                <w:sz w:val="24"/>
                <w:lang w:val="en-US" w:eastAsia="zh-CN"/>
              </w:rPr>
              <w:t>关于淄博利赛环保科技有限公司3000t/a危险废物收储、转运项目环境影响报告表的审批意见</w:t>
            </w:r>
            <w:r>
              <w:rPr>
                <w:rFonts w:hint="eastAsia" w:cs="Times New Roman"/>
                <w:color w:val="auto"/>
                <w:sz w:val="24"/>
                <w:lang w:val="en-US" w:eastAsia="zh-CN"/>
              </w:rPr>
              <w:t>》（川环报告表[2020]25号）（详见附件五）</w:t>
            </w:r>
            <w:r>
              <w:rPr>
                <w:rFonts w:hint="default" w:ascii="Times New Roman" w:hAnsi="Times New Roman" w:eastAsia="宋体" w:cs="Times New Roman"/>
                <w:color w:val="auto"/>
                <w:sz w:val="24"/>
                <w:lang w:val="en-US" w:eastAsia="zh-CN"/>
              </w:rPr>
              <w:t>。</w:t>
            </w:r>
            <w:r>
              <w:rPr>
                <w:rFonts w:hint="eastAsia" w:cs="Times New Roman"/>
                <w:color w:val="auto"/>
                <w:sz w:val="24"/>
                <w:lang w:val="en-US" w:eastAsia="zh-CN"/>
              </w:rPr>
              <w:t>企业于2020年8月首次申请排污许可证，许可证编号为91370302MA3QDA0X4U001V（详见附件七）。</w:t>
            </w:r>
          </w:p>
          <w:p w14:paraId="39EE1DB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lang w:val="en-US" w:eastAsia="zh-CN"/>
              </w:rPr>
            </w:pPr>
            <w:r>
              <w:rPr>
                <w:rFonts w:hint="eastAsia" w:cs="Times New Roman"/>
                <w:color w:val="auto"/>
                <w:sz w:val="24"/>
                <w:lang w:val="en-US" w:eastAsia="zh-CN"/>
              </w:rPr>
              <w:t>企业于2020年10月初次取得危险废物经营许可证，于2021年4月进行验收，并出具项目竣工环境保护验收报告（详见附件八）。2025年11月更新了危险废物经营许可证，证书编号为淄博危废临32号，核准经营方式为收集（除900-214-08外，其他仅限于淄博市境内）、贮存、转运，核准经营类别为HW02、HW03、HW04、HW08、HW09、HW11、HW12、HW13、HW16、HW17、HW18、HW19、HW21、HW29、HW31、HW34、HW35、HW36、HW38、HW39、HW40、HW45、HW46、HW49、HW50，核准经营规模为3000吨/年（详见附件八）。</w:t>
            </w:r>
          </w:p>
          <w:p w14:paraId="635F562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color w:val="auto"/>
                <w:sz w:val="24"/>
                <w:lang w:val="en-US" w:eastAsia="zh-CN"/>
              </w:rPr>
            </w:pPr>
            <w:r>
              <w:rPr>
                <w:rFonts w:hint="eastAsia" w:cs="Times New Roman"/>
                <w:color w:val="auto"/>
                <w:sz w:val="24"/>
                <w:lang w:val="en-US" w:eastAsia="zh-CN"/>
              </w:rPr>
              <w:t>根据运营需要，企业计划由淄川区</w:t>
            </w:r>
            <w:r>
              <w:rPr>
                <w:rFonts w:hint="eastAsia"/>
                <w:color w:val="auto"/>
                <w:sz w:val="24"/>
                <w:lang w:val="en-US" w:eastAsia="zh-CN"/>
              </w:rPr>
              <w:t>罗村镇罗村村秀川大道84号搬迁至淄博市淄川区罗村镇南韩村村委西北1000米，租赁现有闲置厂房，按要求进行防腐防渗处理，配套建设污染治理设施后，作为危废仓库使用。经营危险废物类别、规模、经营方式、污染治理设施等情况均不发生变化。</w:t>
            </w:r>
          </w:p>
          <w:p w14:paraId="3F7C5E8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color w:val="auto"/>
                <w:sz w:val="24"/>
                <w:lang w:val="en-US" w:eastAsia="zh-CN"/>
              </w:rPr>
            </w:pPr>
            <w:r>
              <w:rPr>
                <w:rFonts w:hint="eastAsia"/>
                <w:color w:val="auto"/>
                <w:sz w:val="24"/>
                <w:lang w:val="en-US" w:eastAsia="zh-CN"/>
              </w:rPr>
              <w:t>根据《中华人民共和国环境保护法》、《中华人民共和国环境影响评价法》、《建设项目环境保护管理条例》和《建设项目环境影响评价分类管理名录（2021年版）》，本项目属于“第四十七条、生态保护和环境治理业，101危险废物（不含医疗废物）利用及处置，其他”类，需编制环境影响报告表。</w:t>
            </w:r>
          </w:p>
          <w:p w14:paraId="5F37013B">
            <w:pPr>
              <w:adjustRightInd w:val="0"/>
              <w:snapToGrid w:val="0"/>
              <w:spacing w:line="360" w:lineRule="auto"/>
              <w:ind w:firstLine="480" w:firstLineChars="200"/>
              <w:rPr>
                <w:color w:val="auto"/>
                <w:sz w:val="24"/>
                <w:highlight w:val="none"/>
              </w:rPr>
            </w:pPr>
            <w:r>
              <w:rPr>
                <w:rFonts w:hint="eastAsia"/>
                <w:color w:val="auto"/>
                <w:sz w:val="24"/>
                <w:lang w:val="en-US" w:eastAsia="zh-CN"/>
              </w:rPr>
              <w:t>淄博利赛环保科技有限公司</w:t>
            </w:r>
            <w:r>
              <w:rPr>
                <w:bCs/>
                <w:color w:val="auto"/>
                <w:sz w:val="24"/>
                <w:highlight w:val="none"/>
              </w:rPr>
              <w:t>委托我单位进行本项目环境影响报告表编制工作。接受委托后，我公司立即组织有关人员进行现场踏勘，详细了解与收集了该</w:t>
            </w:r>
            <w:r>
              <w:rPr>
                <w:rFonts w:ascii="宋体" w:hAnsi="宋体"/>
                <w:bCs/>
                <w:color w:val="auto"/>
                <w:sz w:val="24"/>
                <w:highlight w:val="none"/>
              </w:rPr>
              <w:t>项目的有关资料，按照国家有关环评技术规范要求，结合该项目的特点，编制、完成</w:t>
            </w:r>
            <w:r>
              <w:rPr>
                <w:rFonts w:hint="eastAsia" w:ascii="宋体" w:hAnsi="宋体"/>
                <w:bCs/>
                <w:color w:val="auto"/>
                <w:sz w:val="24"/>
                <w:highlight w:val="none"/>
              </w:rPr>
              <w:t>了本</w:t>
            </w:r>
            <w:r>
              <w:rPr>
                <w:rFonts w:ascii="宋体" w:hAnsi="宋体"/>
                <w:bCs/>
                <w:color w:val="auto"/>
                <w:sz w:val="24"/>
                <w:highlight w:val="none"/>
              </w:rPr>
              <w:t>项目环境影响报告表</w:t>
            </w:r>
            <w:r>
              <w:rPr>
                <w:color w:val="auto"/>
                <w:sz w:val="24"/>
                <w:highlight w:val="none"/>
              </w:rPr>
              <w:t>。</w:t>
            </w:r>
          </w:p>
          <w:p w14:paraId="21BB75E9">
            <w:pPr>
              <w:keepNext w:val="0"/>
              <w:keepLines w:val="0"/>
              <w:pageBreakBefore w:val="0"/>
              <w:widowControl w:val="0"/>
              <w:numPr>
                <w:ilvl w:val="0"/>
                <w:numId w:val="12"/>
              </w:numPr>
              <w:kinsoku/>
              <w:wordWrap/>
              <w:overflowPunct/>
              <w:topLinePunct w:val="0"/>
              <w:autoSpaceDE/>
              <w:autoSpaceDN/>
              <w:bidi w:val="0"/>
              <w:adjustRightInd w:val="0"/>
              <w:snapToGrid w:val="0"/>
              <w:spacing w:line="360" w:lineRule="auto"/>
              <w:ind w:left="0" w:leftChars="0" w:firstLine="482" w:firstLineChars="200"/>
              <w:textAlignment w:val="auto"/>
              <w:rPr>
                <w:b/>
                <w:color w:val="auto"/>
                <w:sz w:val="24"/>
              </w:rPr>
            </w:pPr>
            <w:r>
              <w:rPr>
                <w:rFonts w:hint="eastAsia"/>
                <w:b/>
                <w:color w:val="auto"/>
                <w:sz w:val="24"/>
                <w:lang w:val="en-US" w:eastAsia="zh-CN"/>
              </w:rPr>
              <w:t>工程概况</w:t>
            </w:r>
          </w:p>
          <w:p w14:paraId="1F69EC16">
            <w:pPr>
              <w:keepNext w:val="0"/>
              <w:keepLines w:val="0"/>
              <w:pageBreakBefore w:val="0"/>
              <w:widowControl w:val="0"/>
              <w:numPr>
                <w:ilvl w:val="0"/>
                <w:numId w:val="13"/>
              </w:numPr>
              <w:kinsoku/>
              <w:wordWrap/>
              <w:overflowPunct/>
              <w:topLinePunct w:val="0"/>
              <w:autoSpaceDE/>
              <w:autoSpaceDN/>
              <w:bidi w:val="0"/>
              <w:adjustRightInd/>
              <w:snapToGrid w:val="0"/>
              <w:spacing w:line="360" w:lineRule="auto"/>
              <w:ind w:left="0" w:leftChars="0" w:firstLine="425" w:firstLineChars="0"/>
              <w:textAlignment w:val="auto"/>
              <w:rPr>
                <w:rFonts w:hint="eastAsia" w:eastAsia="宋体"/>
                <w:color w:val="auto"/>
                <w:sz w:val="24"/>
                <w:szCs w:val="32"/>
                <w:highlight w:val="none"/>
                <w:lang w:eastAsia="zh-CN"/>
              </w:rPr>
            </w:pPr>
            <w:r>
              <w:rPr>
                <w:color w:val="auto"/>
                <w:sz w:val="24"/>
                <w:szCs w:val="32"/>
                <w:highlight w:val="none"/>
              </w:rPr>
              <w:t>项目名称：</w:t>
            </w:r>
            <w:r>
              <w:rPr>
                <w:rFonts w:hint="eastAsia" w:cs="Times New Roman"/>
                <w:color w:val="auto"/>
                <w:sz w:val="24"/>
                <w:lang w:val="en-US" w:eastAsia="zh-CN"/>
              </w:rPr>
              <w:t>淄博利赛环保科技有限公司仓库整体搬迁技改项目</w:t>
            </w:r>
          </w:p>
          <w:p w14:paraId="1F6C83F0">
            <w:pPr>
              <w:keepNext w:val="0"/>
              <w:keepLines w:val="0"/>
              <w:pageBreakBefore w:val="0"/>
              <w:widowControl w:val="0"/>
              <w:numPr>
                <w:ilvl w:val="0"/>
                <w:numId w:val="13"/>
              </w:numPr>
              <w:kinsoku/>
              <w:wordWrap/>
              <w:overflowPunct/>
              <w:topLinePunct w:val="0"/>
              <w:autoSpaceDE/>
              <w:autoSpaceDN/>
              <w:bidi w:val="0"/>
              <w:adjustRightInd/>
              <w:snapToGrid w:val="0"/>
              <w:spacing w:line="360" w:lineRule="auto"/>
              <w:ind w:left="0" w:leftChars="0" w:firstLine="425" w:firstLineChars="0"/>
              <w:textAlignment w:val="auto"/>
              <w:rPr>
                <w:rFonts w:hint="default" w:ascii="Times New Roman" w:hAnsi="Times New Roman" w:eastAsia="宋体" w:cs="Times New Roman"/>
                <w:color w:val="auto"/>
                <w:sz w:val="24"/>
                <w:szCs w:val="32"/>
                <w:highlight w:val="none"/>
                <w:lang w:val="en-US" w:eastAsia="zh-CN"/>
              </w:rPr>
            </w:pPr>
            <w:r>
              <w:rPr>
                <w:rFonts w:hint="eastAsia" w:ascii="Times New Roman" w:hAnsi="Times New Roman" w:eastAsia="宋体" w:cs="Times New Roman"/>
                <w:color w:val="auto"/>
                <w:sz w:val="24"/>
                <w:szCs w:val="32"/>
                <w:highlight w:val="none"/>
                <w:lang w:val="en-US" w:eastAsia="zh-CN"/>
              </w:rPr>
              <w:t>建设单位：</w:t>
            </w:r>
            <w:r>
              <w:rPr>
                <w:rFonts w:hint="eastAsia"/>
                <w:color w:val="auto"/>
                <w:sz w:val="24"/>
                <w:lang w:val="en-US" w:eastAsia="zh-CN"/>
              </w:rPr>
              <w:t>淄博利赛环保科技有限公司</w:t>
            </w:r>
          </w:p>
          <w:p w14:paraId="78D3F028">
            <w:pPr>
              <w:keepNext w:val="0"/>
              <w:keepLines w:val="0"/>
              <w:pageBreakBefore w:val="0"/>
              <w:widowControl w:val="0"/>
              <w:numPr>
                <w:ilvl w:val="0"/>
                <w:numId w:val="13"/>
              </w:numPr>
              <w:kinsoku/>
              <w:wordWrap/>
              <w:overflowPunct/>
              <w:topLinePunct w:val="0"/>
              <w:autoSpaceDE/>
              <w:autoSpaceDN/>
              <w:bidi w:val="0"/>
              <w:adjustRightInd/>
              <w:snapToGrid w:val="0"/>
              <w:spacing w:line="360" w:lineRule="auto"/>
              <w:ind w:left="0" w:leftChars="0" w:firstLine="425" w:firstLineChars="0"/>
              <w:textAlignment w:val="auto"/>
              <w:rPr>
                <w:rFonts w:hint="eastAsia"/>
                <w:color w:val="auto"/>
                <w:sz w:val="24"/>
                <w:szCs w:val="32"/>
                <w:highlight w:val="none"/>
              </w:rPr>
            </w:pPr>
            <w:r>
              <w:rPr>
                <w:color w:val="auto"/>
                <w:sz w:val="24"/>
                <w:szCs w:val="32"/>
                <w:highlight w:val="none"/>
              </w:rPr>
              <w:t>建设性质：</w:t>
            </w:r>
            <w:r>
              <w:rPr>
                <w:rFonts w:hint="eastAsia"/>
                <w:color w:val="auto"/>
                <w:sz w:val="24"/>
                <w:szCs w:val="32"/>
                <w:highlight w:val="none"/>
              </w:rPr>
              <w:t>新建</w:t>
            </w:r>
            <w:r>
              <w:rPr>
                <w:rFonts w:hint="eastAsia"/>
                <w:color w:val="auto"/>
                <w:sz w:val="24"/>
                <w:szCs w:val="32"/>
                <w:highlight w:val="none"/>
                <w:lang w:eastAsia="zh-CN"/>
              </w:rPr>
              <w:t>（</w:t>
            </w:r>
            <w:r>
              <w:rPr>
                <w:rFonts w:hint="eastAsia"/>
                <w:color w:val="auto"/>
                <w:sz w:val="24"/>
                <w:szCs w:val="32"/>
                <w:highlight w:val="none"/>
                <w:lang w:val="en-US" w:eastAsia="zh-CN"/>
              </w:rPr>
              <w:t>搬迁）</w:t>
            </w:r>
          </w:p>
          <w:p w14:paraId="0FADED86">
            <w:pPr>
              <w:keepNext w:val="0"/>
              <w:keepLines w:val="0"/>
              <w:pageBreakBefore w:val="0"/>
              <w:widowControl w:val="0"/>
              <w:numPr>
                <w:ilvl w:val="0"/>
                <w:numId w:val="13"/>
              </w:numPr>
              <w:kinsoku/>
              <w:wordWrap/>
              <w:overflowPunct/>
              <w:topLinePunct w:val="0"/>
              <w:autoSpaceDE/>
              <w:autoSpaceDN/>
              <w:bidi w:val="0"/>
              <w:adjustRightInd/>
              <w:snapToGrid w:val="0"/>
              <w:spacing w:line="360" w:lineRule="auto"/>
              <w:ind w:left="0" w:leftChars="0" w:firstLine="425" w:firstLineChars="0"/>
              <w:textAlignment w:val="auto"/>
              <w:rPr>
                <w:color w:val="auto"/>
                <w:sz w:val="24"/>
                <w:szCs w:val="32"/>
                <w:highlight w:val="none"/>
              </w:rPr>
            </w:pPr>
            <w:r>
              <w:rPr>
                <w:color w:val="auto"/>
                <w:sz w:val="24"/>
                <w:szCs w:val="32"/>
                <w:highlight w:val="none"/>
              </w:rPr>
              <w:t>建设地点：项目位于</w:t>
            </w:r>
            <w:r>
              <w:rPr>
                <w:rFonts w:hint="eastAsia"/>
                <w:color w:val="auto"/>
                <w:sz w:val="24"/>
                <w:lang w:val="en-US" w:eastAsia="zh-CN"/>
              </w:rPr>
              <w:t>淄博市淄川区罗村镇南韩村村委西北1000米</w:t>
            </w:r>
            <w:r>
              <w:rPr>
                <w:rFonts w:hint="eastAsia"/>
                <w:color w:val="auto"/>
                <w:sz w:val="24"/>
                <w:szCs w:val="32"/>
                <w:highlight w:val="none"/>
                <w:lang w:eastAsia="zh-CN"/>
              </w:rPr>
              <w:t>（</w:t>
            </w:r>
            <w:r>
              <w:rPr>
                <w:rFonts w:hint="eastAsia"/>
                <w:color w:val="auto"/>
                <w:sz w:val="24"/>
                <w:szCs w:val="32"/>
                <w:highlight w:val="none"/>
                <w:lang w:val="en-US" w:eastAsia="zh-CN"/>
              </w:rPr>
              <w:t>详见附图1</w:t>
            </w:r>
            <w:r>
              <w:rPr>
                <w:rFonts w:hint="eastAsia"/>
                <w:color w:val="auto"/>
                <w:sz w:val="24"/>
                <w:szCs w:val="32"/>
                <w:highlight w:val="none"/>
                <w:lang w:eastAsia="zh-CN"/>
              </w:rPr>
              <w:t>），</w:t>
            </w:r>
            <w:r>
              <w:rPr>
                <w:rFonts w:hint="eastAsia"/>
                <w:color w:val="auto"/>
                <w:kern w:val="0"/>
                <w:sz w:val="24"/>
                <w:lang w:val="en-US" w:eastAsia="zh-CN"/>
              </w:rPr>
              <w:t>项目北侧、西侧、东侧均为空地，南侧为步步领鲜（淄博）食品有限公司以及山东千川自动化设备有限公司（详见附图3）</w:t>
            </w:r>
            <w:r>
              <w:rPr>
                <w:color w:val="auto"/>
                <w:sz w:val="24"/>
                <w:szCs w:val="32"/>
                <w:highlight w:val="none"/>
              </w:rPr>
              <w:t>。</w:t>
            </w:r>
          </w:p>
          <w:p w14:paraId="7D3FDC7B">
            <w:pPr>
              <w:keepNext w:val="0"/>
              <w:keepLines w:val="0"/>
              <w:pageBreakBefore w:val="0"/>
              <w:widowControl w:val="0"/>
              <w:numPr>
                <w:ilvl w:val="0"/>
                <w:numId w:val="13"/>
              </w:numPr>
              <w:kinsoku/>
              <w:wordWrap/>
              <w:overflowPunct/>
              <w:topLinePunct w:val="0"/>
              <w:autoSpaceDE/>
              <w:autoSpaceDN/>
              <w:bidi w:val="0"/>
              <w:adjustRightInd/>
              <w:snapToGrid w:val="0"/>
              <w:spacing w:line="360" w:lineRule="auto"/>
              <w:ind w:left="0" w:leftChars="0" w:firstLine="425" w:firstLineChars="0"/>
              <w:textAlignment w:val="auto"/>
              <w:rPr>
                <w:color w:val="auto"/>
                <w:sz w:val="24"/>
                <w:szCs w:val="32"/>
                <w:highlight w:val="none"/>
              </w:rPr>
            </w:pPr>
            <w:r>
              <w:rPr>
                <w:rFonts w:hint="eastAsia"/>
                <w:color w:val="auto"/>
                <w:sz w:val="24"/>
                <w:szCs w:val="32"/>
                <w:highlight w:val="none"/>
                <w:lang w:val="en-US" w:eastAsia="zh-CN"/>
              </w:rPr>
              <w:t>项目规模：本项目收集（除900-214-08外，其他仅限于淄博市境内）、贮存、转运的危险废物为</w:t>
            </w:r>
            <w:r>
              <w:rPr>
                <w:rFonts w:hint="eastAsia" w:cs="Times New Roman"/>
                <w:color w:val="auto"/>
                <w:sz w:val="24"/>
                <w:lang w:val="en-US" w:eastAsia="zh-CN"/>
              </w:rPr>
              <w:t>HW02、HW03、HW04、HW08、HW09、HW11、HW12、HW13、HW16、HW17、HW18、HW19、HW21、HW29、HW31、HW34、HW35、HW36、HW38、HW39、HW40、HW45、HW46、HW49、HW50，共计25大类，169小类。总收集规模为3000吨/年</w:t>
            </w:r>
            <w:r>
              <w:rPr>
                <w:color w:val="auto"/>
                <w:sz w:val="24"/>
                <w:szCs w:val="32"/>
                <w:highlight w:val="none"/>
              </w:rPr>
              <w:t>。</w:t>
            </w:r>
          </w:p>
          <w:p w14:paraId="6F2C7B13">
            <w:pPr>
              <w:keepNext w:val="0"/>
              <w:keepLines w:val="0"/>
              <w:pageBreakBefore w:val="0"/>
              <w:widowControl w:val="0"/>
              <w:numPr>
                <w:ilvl w:val="0"/>
                <w:numId w:val="12"/>
              </w:numPr>
              <w:kinsoku/>
              <w:wordWrap/>
              <w:overflowPunct/>
              <w:topLinePunct w:val="0"/>
              <w:autoSpaceDE/>
              <w:autoSpaceDN/>
              <w:bidi w:val="0"/>
              <w:adjustRightInd w:val="0"/>
              <w:snapToGrid w:val="0"/>
              <w:spacing w:line="360" w:lineRule="auto"/>
              <w:ind w:left="0" w:leftChars="0" w:firstLine="482" w:firstLineChars="200"/>
              <w:textAlignment w:val="auto"/>
              <w:rPr>
                <w:b/>
                <w:color w:val="auto"/>
                <w:sz w:val="24"/>
              </w:rPr>
            </w:pPr>
            <w:r>
              <w:rPr>
                <w:rFonts w:hint="eastAsia"/>
                <w:b/>
                <w:color w:val="auto"/>
                <w:sz w:val="24"/>
                <w:lang w:val="en-US" w:eastAsia="zh-CN"/>
              </w:rPr>
              <w:t>工程内容</w:t>
            </w:r>
          </w:p>
          <w:p w14:paraId="0C8C10E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lang w:val="en-US" w:eastAsia="zh-CN"/>
              </w:rPr>
            </w:pPr>
            <w:r>
              <w:rPr>
                <w:rFonts w:hint="eastAsia"/>
                <w:color w:val="auto"/>
                <w:sz w:val="24"/>
                <w:lang w:val="en-US" w:eastAsia="zh-CN"/>
              </w:rPr>
              <w:t>项目租赁淄博市淄川区罗村镇南韩村村委西北1000米的一间闲置厂房进行生产，总占地面积800</w:t>
            </w:r>
            <w:r>
              <w:rPr>
                <w:rFonts w:hint="eastAsia" w:ascii="Times New Roman" w:hAnsi="Times New Roman" w:cs="Times New Roman"/>
                <w:color w:val="auto"/>
                <w:sz w:val="24"/>
                <w:lang w:val="en-US" w:eastAsia="zh-CN"/>
              </w:rPr>
              <w:t>m</w:t>
            </w:r>
            <w:r>
              <w:rPr>
                <w:rFonts w:hint="eastAsia" w:ascii="Times New Roman" w:hAnsi="Times New Roman" w:cs="Times New Roman"/>
                <w:color w:val="auto"/>
                <w:sz w:val="24"/>
                <w:vertAlign w:val="superscript"/>
                <w:lang w:val="en-US" w:eastAsia="zh-CN"/>
              </w:rPr>
              <w:t>2</w:t>
            </w:r>
            <w:r>
              <w:rPr>
                <w:rFonts w:hint="eastAsia"/>
                <w:color w:val="auto"/>
                <w:sz w:val="24"/>
                <w:lang w:val="en-US" w:eastAsia="zh-CN"/>
              </w:rPr>
              <w:t>，其中办公室占地约46㎡，其余均为仓储区。本次工程主要为</w:t>
            </w:r>
            <w:r>
              <w:rPr>
                <w:rFonts w:hint="eastAsia" w:ascii="Times New Roman" w:hAnsi="Times New Roman" w:eastAsia="宋体" w:cs="Times New Roman"/>
                <w:color w:val="auto"/>
                <w:sz w:val="24"/>
                <w:lang w:val="en-US" w:eastAsia="zh-CN"/>
              </w:rPr>
              <w:t>按照《危险废物贮存污染控制标准》</w:t>
            </w:r>
            <w:r>
              <w:rPr>
                <w:rFonts w:hint="default" w:ascii="Times New Roman" w:hAnsi="Times New Roman" w:eastAsia="宋体" w:cs="Times New Roman"/>
                <w:color w:val="auto"/>
                <w:sz w:val="24"/>
                <w:lang w:val="en-US" w:eastAsia="zh-CN"/>
              </w:rPr>
              <w:t>（GB18597-2023）要求对危险废物贮存库进行</w:t>
            </w:r>
            <w:r>
              <w:rPr>
                <w:rFonts w:hint="eastAsia" w:ascii="Times New Roman" w:hAnsi="Times New Roman" w:eastAsia="宋体" w:cs="Times New Roman"/>
                <w:color w:val="auto"/>
                <w:sz w:val="24"/>
                <w:lang w:val="en-US" w:eastAsia="zh-CN"/>
              </w:rPr>
              <w:t>防腐防渗处理，进行分区</w:t>
            </w:r>
            <w:r>
              <w:rPr>
                <w:rFonts w:hint="eastAsia" w:cs="Times New Roman"/>
                <w:color w:val="auto"/>
                <w:sz w:val="24"/>
                <w:lang w:val="en-US" w:eastAsia="zh-CN"/>
              </w:rPr>
              <w:t>处理</w:t>
            </w:r>
            <w:r>
              <w:rPr>
                <w:rFonts w:hint="eastAsia" w:ascii="Times New Roman" w:hAnsi="Times New Roman" w:eastAsia="宋体" w:cs="Times New Roman"/>
                <w:color w:val="auto"/>
                <w:sz w:val="24"/>
                <w:lang w:val="en-US" w:eastAsia="zh-CN"/>
              </w:rPr>
              <w:t>，建设环保工程等。</w:t>
            </w:r>
            <w:r>
              <w:rPr>
                <w:rFonts w:hint="eastAsia" w:cs="Times New Roman"/>
                <w:color w:val="auto"/>
                <w:sz w:val="24"/>
                <w:lang w:val="en-US" w:eastAsia="zh-CN"/>
              </w:rPr>
              <w:t>具体建设情况如下</w:t>
            </w:r>
            <w:r>
              <w:rPr>
                <w:rFonts w:hint="default" w:ascii="Times New Roman" w:hAnsi="Times New Roman" w:eastAsia="宋体" w:cs="Times New Roman"/>
                <w:color w:val="auto"/>
                <w:sz w:val="24"/>
                <w:szCs w:val="24"/>
                <w:lang w:val="en-US" w:eastAsia="zh-CN"/>
              </w:rPr>
              <w:t>。</w:t>
            </w:r>
          </w:p>
          <w:p w14:paraId="5F200C51">
            <w:pPr>
              <w:keepNext w:val="0"/>
              <w:keepLines w:val="0"/>
              <w:pageBreakBefore w:val="0"/>
              <w:widowControl w:val="0"/>
              <w:numPr>
                <w:ilvl w:val="0"/>
                <w:numId w:val="14"/>
              </w:numPr>
              <w:kinsoku/>
              <w:wordWrap/>
              <w:overflowPunct/>
              <w:topLinePunct w:val="0"/>
              <w:autoSpaceDE w:val="0"/>
              <w:autoSpaceDN w:val="0"/>
              <w:bidi w:val="0"/>
              <w:adjustRightInd w:val="0"/>
              <w:snapToGrid/>
              <w:spacing w:line="360" w:lineRule="auto"/>
              <w:ind w:left="3150" w:leftChars="0" w:hanging="3110" w:firstLineChars="0"/>
              <w:jc w:val="center"/>
              <w:textAlignment w:val="auto"/>
              <w:rPr>
                <w:rFonts w:hint="eastAsia" w:ascii="宋体" w:hAnsi="宋体" w:eastAsia="宋体" w:cs="宋体"/>
                <w:b/>
                <w:bCs/>
                <w:color w:val="auto"/>
                <w:kern w:val="0"/>
                <w:sz w:val="24"/>
                <w:szCs w:val="24"/>
                <w:lang w:val="en-US" w:eastAsia="zh-CN" w:bidi="ar"/>
              </w:rPr>
            </w:pPr>
            <w:r>
              <w:rPr>
                <w:rFonts w:hint="eastAsia" w:ascii="宋体" w:hAnsi="宋体" w:eastAsia="宋体" w:cs="宋体"/>
                <w:b/>
                <w:bCs/>
                <w:color w:val="auto"/>
                <w:kern w:val="0"/>
                <w:sz w:val="24"/>
                <w:szCs w:val="24"/>
                <w:lang w:val="en-US" w:eastAsia="zh-CN" w:bidi="ar"/>
              </w:rPr>
              <w:t>建设内容一览表</w:t>
            </w:r>
          </w:p>
          <w:tbl>
            <w:tblPr>
              <w:tblStyle w:val="2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7"/>
              <w:gridCol w:w="778"/>
              <w:gridCol w:w="5576"/>
              <w:gridCol w:w="1119"/>
            </w:tblGrid>
            <w:tr w14:paraId="77CF03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7" w:type="dxa"/>
                  <w:vAlign w:val="center"/>
                </w:tcPr>
                <w:p w14:paraId="54A0BA4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color w:val="auto"/>
                      <w:sz w:val="21"/>
                      <w:szCs w:val="21"/>
                      <w:vertAlign w:val="baseline"/>
                      <w:lang w:val="en-US" w:eastAsia="zh-CN"/>
                    </w:rPr>
                  </w:pPr>
                  <w:r>
                    <w:rPr>
                      <w:rFonts w:hint="eastAsia" w:cs="Times New Roman"/>
                      <w:color w:val="auto"/>
                      <w:sz w:val="21"/>
                      <w:szCs w:val="21"/>
                      <w:vertAlign w:val="baseline"/>
                      <w:lang w:val="en-US" w:eastAsia="zh-CN"/>
                    </w:rPr>
                    <w:t>项目</w:t>
                  </w:r>
                </w:p>
                <w:p w14:paraId="7BBBF0C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组成</w:t>
                  </w:r>
                </w:p>
              </w:tc>
              <w:tc>
                <w:tcPr>
                  <w:tcW w:w="778" w:type="dxa"/>
                  <w:vAlign w:val="center"/>
                </w:tcPr>
                <w:p w14:paraId="7D75EA9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名称</w:t>
                  </w:r>
                </w:p>
              </w:tc>
              <w:tc>
                <w:tcPr>
                  <w:tcW w:w="5576" w:type="dxa"/>
                  <w:vAlign w:val="center"/>
                </w:tcPr>
                <w:p w14:paraId="68CC3AE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建设内容</w:t>
                  </w:r>
                </w:p>
              </w:tc>
              <w:tc>
                <w:tcPr>
                  <w:tcW w:w="1119" w:type="dxa"/>
                  <w:vAlign w:val="center"/>
                </w:tcPr>
                <w:p w14:paraId="6FB164C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备注</w:t>
                  </w:r>
                </w:p>
              </w:tc>
            </w:tr>
            <w:tr w14:paraId="442ABE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37" w:type="dxa"/>
                  <w:vAlign w:val="center"/>
                </w:tcPr>
                <w:p w14:paraId="1123884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color w:val="auto"/>
                      <w:sz w:val="21"/>
                      <w:szCs w:val="21"/>
                      <w:vertAlign w:val="baseline"/>
                      <w:lang w:val="en-US" w:eastAsia="zh-CN"/>
                    </w:rPr>
                  </w:pPr>
                  <w:r>
                    <w:rPr>
                      <w:rFonts w:hint="eastAsia" w:cs="Times New Roman"/>
                      <w:color w:val="auto"/>
                      <w:sz w:val="21"/>
                      <w:szCs w:val="21"/>
                      <w:vertAlign w:val="baseline"/>
                      <w:lang w:val="en-US" w:eastAsia="zh-CN"/>
                    </w:rPr>
                    <w:t>主体</w:t>
                  </w:r>
                </w:p>
                <w:p w14:paraId="7C2E2D0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工程</w:t>
                  </w:r>
                </w:p>
              </w:tc>
              <w:tc>
                <w:tcPr>
                  <w:tcW w:w="778" w:type="dxa"/>
                  <w:vAlign w:val="center"/>
                </w:tcPr>
                <w:p w14:paraId="21CC259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color w:val="auto"/>
                      <w:sz w:val="21"/>
                      <w:szCs w:val="21"/>
                      <w:vertAlign w:val="baseline"/>
                      <w:lang w:val="en-US" w:eastAsia="zh-CN"/>
                    </w:rPr>
                  </w:pPr>
                  <w:r>
                    <w:rPr>
                      <w:rFonts w:hint="eastAsia" w:cs="Times New Roman"/>
                      <w:color w:val="auto"/>
                      <w:sz w:val="21"/>
                      <w:szCs w:val="21"/>
                      <w:vertAlign w:val="baseline"/>
                      <w:lang w:val="en-US" w:eastAsia="zh-CN"/>
                    </w:rPr>
                    <w:t>危废</w:t>
                  </w:r>
                </w:p>
                <w:p w14:paraId="77B01C7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olor w:val="auto"/>
                      <w:sz w:val="21"/>
                      <w:szCs w:val="21"/>
                      <w:lang w:val="en-US" w:eastAsia="zh-CN"/>
                    </w:rPr>
                  </w:pPr>
                  <w:r>
                    <w:rPr>
                      <w:rFonts w:hint="eastAsia" w:cs="Times New Roman"/>
                      <w:color w:val="auto"/>
                      <w:sz w:val="21"/>
                      <w:szCs w:val="21"/>
                      <w:vertAlign w:val="baseline"/>
                      <w:lang w:val="en-US" w:eastAsia="zh-CN"/>
                    </w:rPr>
                    <w:t>仓库</w:t>
                  </w:r>
                </w:p>
              </w:tc>
              <w:tc>
                <w:tcPr>
                  <w:tcW w:w="5576" w:type="dxa"/>
                  <w:vAlign w:val="center"/>
                </w:tcPr>
                <w:p w14:paraId="3C58E16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总占地面积754㎡，收集的危废分类贮存</w:t>
                  </w:r>
                </w:p>
              </w:tc>
              <w:tc>
                <w:tcPr>
                  <w:tcW w:w="1119" w:type="dxa"/>
                  <w:vMerge w:val="restart"/>
                  <w:vAlign w:val="center"/>
                </w:tcPr>
                <w:p w14:paraId="01C8DDA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依托现有建筑，内部改造</w:t>
                  </w:r>
                </w:p>
              </w:tc>
            </w:tr>
            <w:tr w14:paraId="263723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7" w:type="dxa"/>
                  <w:vAlign w:val="center"/>
                </w:tcPr>
                <w:p w14:paraId="3DC972A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color w:val="auto"/>
                      <w:sz w:val="21"/>
                      <w:szCs w:val="21"/>
                      <w:vertAlign w:val="baseline"/>
                      <w:lang w:val="en-US" w:eastAsia="zh-CN"/>
                    </w:rPr>
                  </w:pPr>
                  <w:r>
                    <w:rPr>
                      <w:rFonts w:hint="eastAsia" w:cs="Times New Roman"/>
                      <w:color w:val="auto"/>
                      <w:sz w:val="21"/>
                      <w:szCs w:val="21"/>
                      <w:vertAlign w:val="baseline"/>
                      <w:lang w:val="en-US" w:eastAsia="zh-CN"/>
                    </w:rPr>
                    <w:t>辅助</w:t>
                  </w:r>
                </w:p>
                <w:p w14:paraId="4EC4A84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工程</w:t>
                  </w:r>
                </w:p>
              </w:tc>
              <w:tc>
                <w:tcPr>
                  <w:tcW w:w="778" w:type="dxa"/>
                  <w:vAlign w:val="center"/>
                </w:tcPr>
                <w:p w14:paraId="48B3415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color w:val="auto"/>
                      <w:sz w:val="21"/>
                      <w:szCs w:val="21"/>
                      <w:vertAlign w:val="baseline"/>
                      <w:lang w:val="en-US" w:eastAsia="zh-CN"/>
                    </w:rPr>
                  </w:pPr>
                  <w:r>
                    <w:rPr>
                      <w:rFonts w:hint="eastAsia" w:cs="Times New Roman"/>
                      <w:color w:val="auto"/>
                      <w:sz w:val="21"/>
                      <w:szCs w:val="21"/>
                      <w:vertAlign w:val="baseline"/>
                      <w:lang w:val="en-US" w:eastAsia="zh-CN"/>
                    </w:rPr>
                    <w:t>办公</w:t>
                  </w:r>
                </w:p>
                <w:p w14:paraId="210FBC2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生活</w:t>
                  </w:r>
                </w:p>
              </w:tc>
              <w:tc>
                <w:tcPr>
                  <w:tcW w:w="5576" w:type="dxa"/>
                  <w:vAlign w:val="center"/>
                </w:tcPr>
                <w:p w14:paraId="2E9419B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color w:val="auto"/>
                      <w:sz w:val="21"/>
                      <w:szCs w:val="21"/>
                      <w:vertAlign w:val="baseline"/>
                      <w:lang w:val="en-US" w:eastAsia="zh-CN"/>
                    </w:rPr>
                  </w:pPr>
                  <w:r>
                    <w:rPr>
                      <w:rFonts w:hint="eastAsia" w:cs="Times New Roman"/>
                      <w:color w:val="auto"/>
                      <w:sz w:val="21"/>
                      <w:szCs w:val="21"/>
                      <w:vertAlign w:val="baseline"/>
                      <w:lang w:val="en-US" w:eastAsia="zh-CN"/>
                    </w:rPr>
                    <w:t>厂房内西南部，占地约46㎡，</w:t>
                  </w:r>
                </w:p>
                <w:p w14:paraId="1F91929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内设监控、档案、应急物资储存柜等相关设施。</w:t>
                  </w:r>
                </w:p>
              </w:tc>
              <w:tc>
                <w:tcPr>
                  <w:tcW w:w="1119" w:type="dxa"/>
                  <w:vMerge w:val="continue"/>
                  <w:vAlign w:val="center"/>
                </w:tcPr>
                <w:p w14:paraId="027AD4B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r>
            <w:tr w14:paraId="44B848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7" w:type="dxa"/>
                  <w:vMerge w:val="restart"/>
                  <w:vAlign w:val="center"/>
                </w:tcPr>
                <w:p w14:paraId="1001E70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color w:val="auto"/>
                      <w:sz w:val="21"/>
                      <w:szCs w:val="21"/>
                      <w:vertAlign w:val="baseline"/>
                      <w:lang w:val="en-US" w:eastAsia="zh-CN"/>
                    </w:rPr>
                  </w:pPr>
                  <w:r>
                    <w:rPr>
                      <w:rFonts w:hint="eastAsia" w:cs="Times New Roman"/>
                      <w:color w:val="auto"/>
                      <w:sz w:val="21"/>
                      <w:szCs w:val="21"/>
                      <w:vertAlign w:val="baseline"/>
                      <w:lang w:val="en-US" w:eastAsia="zh-CN"/>
                    </w:rPr>
                    <w:t>公用</w:t>
                  </w:r>
                </w:p>
                <w:p w14:paraId="7C7C2F9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工程</w:t>
                  </w:r>
                </w:p>
              </w:tc>
              <w:tc>
                <w:tcPr>
                  <w:tcW w:w="778" w:type="dxa"/>
                  <w:vAlign w:val="center"/>
                </w:tcPr>
                <w:p w14:paraId="3C6020D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供电</w:t>
                  </w:r>
                </w:p>
              </w:tc>
              <w:tc>
                <w:tcPr>
                  <w:tcW w:w="5576" w:type="dxa"/>
                  <w:vAlign w:val="center"/>
                </w:tcPr>
                <w:p w14:paraId="6E1E71D1">
                  <w:pPr>
                    <w:keepNext w:val="0"/>
                    <w:keepLines w:val="0"/>
                    <w:pageBreakBefore w:val="0"/>
                    <w:widowControl w:val="0"/>
                    <w:kinsoku/>
                    <w:wordWrap/>
                    <w:overflowPunct/>
                    <w:topLinePunct w:val="0"/>
                    <w:autoSpaceDE/>
                    <w:autoSpaceDN/>
                    <w:bidi w:val="0"/>
                    <w:snapToGrid/>
                    <w:jc w:val="center"/>
                    <w:textAlignment w:val="auto"/>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依托市政供电线路，厂内设配电室</w:t>
                  </w:r>
                </w:p>
              </w:tc>
              <w:tc>
                <w:tcPr>
                  <w:tcW w:w="1119" w:type="dxa"/>
                  <w:vAlign w:val="center"/>
                </w:tcPr>
                <w:p w14:paraId="66332B6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依托</w:t>
                  </w:r>
                </w:p>
              </w:tc>
            </w:tr>
            <w:tr w14:paraId="1D2233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7" w:type="dxa"/>
                  <w:vMerge w:val="continue"/>
                  <w:vAlign w:val="center"/>
                </w:tcPr>
                <w:p w14:paraId="40FC259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778" w:type="dxa"/>
                  <w:vAlign w:val="center"/>
                </w:tcPr>
                <w:p w14:paraId="2B1F165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供水</w:t>
                  </w:r>
                </w:p>
              </w:tc>
              <w:tc>
                <w:tcPr>
                  <w:tcW w:w="5576" w:type="dxa"/>
                  <w:vAlign w:val="center"/>
                </w:tcPr>
                <w:p w14:paraId="55B6DEC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本项目用水依托市政供水管网</w:t>
                  </w:r>
                </w:p>
              </w:tc>
              <w:tc>
                <w:tcPr>
                  <w:tcW w:w="1119" w:type="dxa"/>
                  <w:vAlign w:val="center"/>
                </w:tcPr>
                <w:p w14:paraId="363F4E5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依托</w:t>
                  </w:r>
                </w:p>
              </w:tc>
            </w:tr>
            <w:tr w14:paraId="304119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7" w:type="dxa"/>
                  <w:vMerge w:val="continue"/>
                  <w:vAlign w:val="center"/>
                </w:tcPr>
                <w:p w14:paraId="7B19A7D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778" w:type="dxa"/>
                  <w:vAlign w:val="center"/>
                </w:tcPr>
                <w:p w14:paraId="14CF370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排水</w:t>
                  </w:r>
                </w:p>
              </w:tc>
              <w:tc>
                <w:tcPr>
                  <w:tcW w:w="5576" w:type="dxa"/>
                  <w:vAlign w:val="center"/>
                </w:tcPr>
                <w:p w14:paraId="57FC12C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项目仓库密闭，不对设备、地面进行冲洗，因此无初期雨水、冲洗水等废水产生。生活污水经化粪池暂存后环卫部门清运</w:t>
                  </w:r>
                </w:p>
              </w:tc>
              <w:tc>
                <w:tcPr>
                  <w:tcW w:w="1119" w:type="dxa"/>
                  <w:vAlign w:val="center"/>
                </w:tcPr>
                <w:p w14:paraId="24CE8B9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依托</w:t>
                  </w:r>
                </w:p>
              </w:tc>
            </w:tr>
            <w:tr w14:paraId="4D604A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37" w:type="dxa"/>
                  <w:vMerge w:val="restart"/>
                  <w:vAlign w:val="center"/>
                </w:tcPr>
                <w:p w14:paraId="3565C94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color w:val="auto"/>
                      <w:sz w:val="21"/>
                      <w:szCs w:val="21"/>
                      <w:vertAlign w:val="baseline"/>
                      <w:lang w:val="en-US" w:eastAsia="zh-CN"/>
                    </w:rPr>
                  </w:pPr>
                  <w:r>
                    <w:rPr>
                      <w:rFonts w:hint="eastAsia" w:cs="Times New Roman"/>
                      <w:color w:val="auto"/>
                      <w:sz w:val="21"/>
                      <w:szCs w:val="21"/>
                      <w:vertAlign w:val="baseline"/>
                      <w:lang w:val="en-US" w:eastAsia="zh-CN"/>
                    </w:rPr>
                    <w:t>环保</w:t>
                  </w:r>
                </w:p>
                <w:p w14:paraId="604BD1D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工程</w:t>
                  </w:r>
                </w:p>
              </w:tc>
              <w:tc>
                <w:tcPr>
                  <w:tcW w:w="778" w:type="dxa"/>
                  <w:vAlign w:val="center"/>
                </w:tcPr>
                <w:p w14:paraId="133314F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废气</w:t>
                  </w:r>
                </w:p>
              </w:tc>
              <w:tc>
                <w:tcPr>
                  <w:tcW w:w="5576" w:type="dxa"/>
                </w:tcPr>
                <w:p w14:paraId="4DF2AFC0">
                  <w:pPr>
                    <w:keepNext w:val="0"/>
                    <w:keepLines w:val="0"/>
                    <w:pageBreakBefore w:val="0"/>
                    <w:widowControl w:val="0"/>
                    <w:kinsoku/>
                    <w:wordWrap/>
                    <w:overflowPunct/>
                    <w:topLinePunct w:val="0"/>
                    <w:autoSpaceDE/>
                    <w:autoSpaceDN/>
                    <w:bidi w:val="0"/>
                    <w:adjustRightInd w:val="0"/>
                    <w:snapToGrid w:val="0"/>
                    <w:spacing w:line="240" w:lineRule="auto"/>
                    <w:jc w:val="left"/>
                    <w:textAlignment w:val="auto"/>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车间设集气系统，车间内有机废气经活性炭吸附装置处置后，DA001排气筒排放。酸性废气经碱液喷淋装置处置后，DA002排气筒排放。</w:t>
                  </w:r>
                </w:p>
              </w:tc>
              <w:tc>
                <w:tcPr>
                  <w:tcW w:w="1119" w:type="dxa"/>
                  <w:vAlign w:val="center"/>
                </w:tcPr>
                <w:p w14:paraId="647E532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新建</w:t>
                  </w:r>
                </w:p>
              </w:tc>
            </w:tr>
            <w:tr w14:paraId="5F8745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37" w:type="dxa"/>
                  <w:vMerge w:val="continue"/>
                </w:tcPr>
                <w:p w14:paraId="13D67C00">
                  <w:pPr>
                    <w:keepNext w:val="0"/>
                    <w:keepLines w:val="0"/>
                    <w:pageBreakBefore w:val="0"/>
                    <w:widowControl w:val="0"/>
                    <w:kinsoku/>
                    <w:wordWrap/>
                    <w:overflowPunct/>
                    <w:topLinePunct w:val="0"/>
                    <w:autoSpaceDE/>
                    <w:autoSpaceDN/>
                    <w:bidi w:val="0"/>
                    <w:adjustRightInd w:val="0"/>
                    <w:snapToGrid w:val="0"/>
                    <w:spacing w:line="240" w:lineRule="auto"/>
                    <w:jc w:val="left"/>
                    <w:textAlignment w:val="auto"/>
                    <w:rPr>
                      <w:rFonts w:hint="default" w:ascii="Times New Roman" w:hAnsi="Times New Roman" w:eastAsia="宋体" w:cs="Times New Roman"/>
                      <w:color w:val="auto"/>
                      <w:sz w:val="21"/>
                      <w:szCs w:val="21"/>
                      <w:vertAlign w:val="baseline"/>
                      <w:lang w:val="en-US" w:eastAsia="zh-CN"/>
                    </w:rPr>
                  </w:pPr>
                </w:p>
              </w:tc>
              <w:tc>
                <w:tcPr>
                  <w:tcW w:w="778" w:type="dxa"/>
                  <w:vAlign w:val="center"/>
                </w:tcPr>
                <w:p w14:paraId="7D41CDA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废水</w:t>
                  </w:r>
                </w:p>
              </w:tc>
              <w:tc>
                <w:tcPr>
                  <w:tcW w:w="5576" w:type="dxa"/>
                </w:tcPr>
                <w:p w14:paraId="26EEC9D4">
                  <w:pPr>
                    <w:keepNext w:val="0"/>
                    <w:keepLines w:val="0"/>
                    <w:widowControl/>
                    <w:suppressLineNumbers w:val="0"/>
                    <w:jc w:val="left"/>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项目无初期雨水、冲洗水等废水产生</w:t>
                  </w:r>
                  <w:r>
                    <w:rPr>
                      <w:rFonts w:hint="default" w:ascii="Times New Roman" w:hAnsi="Times New Roman" w:eastAsia="宋体" w:cs="Times New Roman"/>
                      <w:color w:val="auto"/>
                      <w:sz w:val="21"/>
                      <w:szCs w:val="21"/>
                      <w:vertAlign w:val="baseline"/>
                      <w:lang w:val="en-US" w:eastAsia="zh-CN"/>
                    </w:rPr>
                    <w:t>。生活污水</w:t>
                  </w:r>
                  <w:r>
                    <w:rPr>
                      <w:rFonts w:hint="eastAsia" w:cs="Times New Roman"/>
                      <w:color w:val="auto"/>
                      <w:sz w:val="21"/>
                      <w:szCs w:val="21"/>
                      <w:vertAlign w:val="baseline"/>
                      <w:lang w:val="en-US" w:eastAsia="zh-CN"/>
                    </w:rPr>
                    <w:t>经化粪池暂存后环卫部门清运。</w:t>
                  </w:r>
                </w:p>
              </w:tc>
              <w:tc>
                <w:tcPr>
                  <w:tcW w:w="1119" w:type="dxa"/>
                  <w:vAlign w:val="center"/>
                </w:tcPr>
                <w:p w14:paraId="21B543E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依托</w:t>
                  </w:r>
                </w:p>
              </w:tc>
            </w:tr>
            <w:tr w14:paraId="31B9BB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7" w:type="dxa"/>
                  <w:vMerge w:val="continue"/>
                </w:tcPr>
                <w:p w14:paraId="0E76E567">
                  <w:pPr>
                    <w:keepNext w:val="0"/>
                    <w:keepLines w:val="0"/>
                    <w:pageBreakBefore w:val="0"/>
                    <w:widowControl w:val="0"/>
                    <w:kinsoku/>
                    <w:wordWrap/>
                    <w:overflowPunct/>
                    <w:topLinePunct w:val="0"/>
                    <w:autoSpaceDE/>
                    <w:autoSpaceDN/>
                    <w:bidi w:val="0"/>
                    <w:adjustRightInd w:val="0"/>
                    <w:snapToGrid w:val="0"/>
                    <w:spacing w:line="240" w:lineRule="auto"/>
                    <w:jc w:val="left"/>
                    <w:textAlignment w:val="auto"/>
                    <w:rPr>
                      <w:rFonts w:hint="default" w:ascii="Times New Roman" w:hAnsi="Times New Roman" w:eastAsia="宋体" w:cs="Times New Roman"/>
                      <w:color w:val="auto"/>
                      <w:sz w:val="21"/>
                      <w:szCs w:val="21"/>
                      <w:vertAlign w:val="baseline"/>
                      <w:lang w:val="en-US" w:eastAsia="zh-CN"/>
                    </w:rPr>
                  </w:pPr>
                </w:p>
              </w:tc>
              <w:tc>
                <w:tcPr>
                  <w:tcW w:w="778" w:type="dxa"/>
                  <w:vAlign w:val="center"/>
                </w:tcPr>
                <w:p w14:paraId="581F197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噪声</w:t>
                  </w:r>
                </w:p>
              </w:tc>
              <w:tc>
                <w:tcPr>
                  <w:tcW w:w="5576" w:type="dxa"/>
                  <w:vAlign w:val="center"/>
                </w:tcPr>
                <w:p w14:paraId="32B021B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选取低噪声设备，基础减振等。</w:t>
                  </w:r>
                </w:p>
              </w:tc>
              <w:tc>
                <w:tcPr>
                  <w:tcW w:w="1119" w:type="dxa"/>
                  <w:vAlign w:val="center"/>
                </w:tcPr>
                <w:p w14:paraId="6B8A6C8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新建</w:t>
                  </w:r>
                </w:p>
              </w:tc>
            </w:tr>
            <w:tr w14:paraId="169F1D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7" w:type="dxa"/>
                  <w:vMerge w:val="continue"/>
                </w:tcPr>
                <w:p w14:paraId="3DD3A8BF">
                  <w:pPr>
                    <w:keepNext w:val="0"/>
                    <w:keepLines w:val="0"/>
                    <w:pageBreakBefore w:val="0"/>
                    <w:widowControl w:val="0"/>
                    <w:kinsoku/>
                    <w:wordWrap/>
                    <w:overflowPunct/>
                    <w:topLinePunct w:val="0"/>
                    <w:autoSpaceDE/>
                    <w:autoSpaceDN/>
                    <w:bidi w:val="0"/>
                    <w:adjustRightInd w:val="0"/>
                    <w:snapToGrid w:val="0"/>
                    <w:spacing w:line="240" w:lineRule="auto"/>
                    <w:jc w:val="left"/>
                    <w:textAlignment w:val="auto"/>
                    <w:rPr>
                      <w:rFonts w:hint="default" w:ascii="Times New Roman" w:hAnsi="Times New Roman" w:eastAsia="宋体" w:cs="Times New Roman"/>
                      <w:color w:val="FF0000"/>
                      <w:sz w:val="21"/>
                      <w:szCs w:val="21"/>
                      <w:vertAlign w:val="baseline"/>
                      <w:lang w:val="en-US" w:eastAsia="zh-CN"/>
                    </w:rPr>
                  </w:pPr>
                </w:p>
              </w:tc>
              <w:tc>
                <w:tcPr>
                  <w:tcW w:w="778" w:type="dxa"/>
                  <w:vAlign w:val="center"/>
                </w:tcPr>
                <w:p w14:paraId="3600070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 w:val="21"/>
                      <w:szCs w:val="21"/>
                      <w:vertAlign w:val="baseline"/>
                      <w:lang w:val="en-US" w:eastAsia="zh-CN"/>
                    </w:rPr>
                  </w:pPr>
                  <w:r>
                    <w:rPr>
                      <w:rFonts w:hint="eastAsia" w:cs="Times New Roman"/>
                      <w:color w:val="auto"/>
                      <w:sz w:val="21"/>
                      <w:szCs w:val="21"/>
                      <w:vertAlign w:val="baseline"/>
                      <w:lang w:val="en-US" w:eastAsia="zh-CN"/>
                    </w:rPr>
                    <w:t>固废</w:t>
                  </w:r>
                </w:p>
              </w:tc>
              <w:tc>
                <w:tcPr>
                  <w:tcW w:w="5576" w:type="dxa"/>
                  <w:vAlign w:val="center"/>
                </w:tcPr>
                <w:p w14:paraId="6044D9F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项目产生的废抹布手套、废活性炭均作为危险废物集中存放后，由有资质单位外运处理。生活垃圾集中存放后，由环卫部门定期清运。</w:t>
                  </w:r>
                </w:p>
              </w:tc>
              <w:tc>
                <w:tcPr>
                  <w:tcW w:w="1119" w:type="dxa"/>
                  <w:vAlign w:val="center"/>
                </w:tcPr>
                <w:p w14:paraId="7CD6F96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新建</w:t>
                  </w:r>
                </w:p>
              </w:tc>
            </w:tr>
            <w:tr w14:paraId="5218F9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7" w:type="dxa"/>
                  <w:vMerge w:val="continue"/>
                </w:tcPr>
                <w:p w14:paraId="16564868">
                  <w:pPr>
                    <w:keepNext w:val="0"/>
                    <w:keepLines w:val="0"/>
                    <w:pageBreakBefore w:val="0"/>
                    <w:widowControl w:val="0"/>
                    <w:kinsoku/>
                    <w:wordWrap/>
                    <w:overflowPunct/>
                    <w:topLinePunct w:val="0"/>
                    <w:autoSpaceDE/>
                    <w:autoSpaceDN/>
                    <w:bidi w:val="0"/>
                    <w:adjustRightInd w:val="0"/>
                    <w:snapToGrid w:val="0"/>
                    <w:spacing w:line="240" w:lineRule="auto"/>
                    <w:jc w:val="left"/>
                    <w:textAlignment w:val="auto"/>
                    <w:rPr>
                      <w:rFonts w:hint="default" w:ascii="Times New Roman" w:hAnsi="Times New Roman" w:eastAsia="宋体" w:cs="Times New Roman"/>
                      <w:color w:val="FF0000"/>
                      <w:sz w:val="21"/>
                      <w:szCs w:val="21"/>
                      <w:vertAlign w:val="baseline"/>
                      <w:lang w:val="en-US" w:eastAsia="zh-CN"/>
                    </w:rPr>
                  </w:pPr>
                </w:p>
              </w:tc>
              <w:tc>
                <w:tcPr>
                  <w:tcW w:w="778" w:type="dxa"/>
                  <w:vAlign w:val="center"/>
                </w:tcPr>
                <w:p w14:paraId="56A6C66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color w:val="auto"/>
                      <w:sz w:val="21"/>
                      <w:szCs w:val="21"/>
                      <w:vertAlign w:val="baseline"/>
                      <w:lang w:val="en-US" w:eastAsia="zh-CN"/>
                    </w:rPr>
                  </w:pPr>
                  <w:r>
                    <w:rPr>
                      <w:rFonts w:hint="eastAsia" w:cs="Times New Roman"/>
                      <w:color w:val="auto"/>
                      <w:sz w:val="21"/>
                      <w:szCs w:val="21"/>
                      <w:vertAlign w:val="baseline"/>
                      <w:lang w:val="en-US" w:eastAsia="zh-CN"/>
                    </w:rPr>
                    <w:t>环境</w:t>
                  </w:r>
                </w:p>
                <w:p w14:paraId="67F67FD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 w:val="21"/>
                      <w:szCs w:val="21"/>
                      <w:vertAlign w:val="baseline"/>
                      <w:lang w:val="en-US" w:eastAsia="zh-CN"/>
                    </w:rPr>
                  </w:pPr>
                  <w:r>
                    <w:rPr>
                      <w:rFonts w:hint="eastAsia" w:cs="Times New Roman"/>
                      <w:color w:val="auto"/>
                      <w:sz w:val="21"/>
                      <w:szCs w:val="21"/>
                      <w:vertAlign w:val="baseline"/>
                      <w:lang w:val="en-US" w:eastAsia="zh-CN"/>
                    </w:rPr>
                    <w:t>风险</w:t>
                  </w:r>
                </w:p>
              </w:tc>
              <w:tc>
                <w:tcPr>
                  <w:tcW w:w="5576" w:type="dxa"/>
                </w:tcPr>
                <w:p w14:paraId="3ED7B39B">
                  <w:pPr>
                    <w:keepNext w:val="0"/>
                    <w:keepLines w:val="0"/>
                    <w:pageBreakBefore w:val="0"/>
                    <w:widowControl w:val="0"/>
                    <w:kinsoku/>
                    <w:wordWrap/>
                    <w:overflowPunct/>
                    <w:topLinePunct w:val="0"/>
                    <w:autoSpaceDE/>
                    <w:autoSpaceDN/>
                    <w:bidi w:val="0"/>
                    <w:adjustRightInd w:val="0"/>
                    <w:snapToGrid w:val="0"/>
                    <w:spacing w:line="240" w:lineRule="auto"/>
                    <w:jc w:val="left"/>
                    <w:textAlignment w:val="auto"/>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贮存区</w:t>
                  </w:r>
                  <w:r>
                    <w:rPr>
                      <w:rFonts w:hint="default" w:ascii="Times New Roman" w:hAnsi="Times New Roman" w:eastAsia="宋体" w:cs="Times New Roman"/>
                      <w:color w:val="auto"/>
                      <w:sz w:val="21"/>
                      <w:szCs w:val="21"/>
                      <w:vertAlign w:val="baseline"/>
                      <w:lang w:val="en-US" w:eastAsia="zh-CN"/>
                    </w:rPr>
                    <w:t>地面采取</w:t>
                  </w:r>
                  <w:r>
                    <w:rPr>
                      <w:rFonts w:hint="eastAsia" w:cs="Times New Roman"/>
                      <w:color w:val="auto"/>
                      <w:sz w:val="21"/>
                      <w:szCs w:val="21"/>
                      <w:vertAlign w:val="baseline"/>
                      <w:lang w:val="en-US" w:eastAsia="zh-CN"/>
                    </w:rPr>
                    <w:t>防腐、</w:t>
                  </w:r>
                  <w:r>
                    <w:rPr>
                      <w:rFonts w:hint="default" w:ascii="Times New Roman" w:hAnsi="Times New Roman" w:eastAsia="宋体" w:cs="Times New Roman"/>
                      <w:color w:val="auto"/>
                      <w:sz w:val="21"/>
                      <w:szCs w:val="21"/>
                      <w:vertAlign w:val="baseline"/>
                      <w:lang w:val="en-US" w:eastAsia="zh-CN"/>
                    </w:rPr>
                    <w:t>防渗处理</w:t>
                  </w:r>
                  <w:r>
                    <w:rPr>
                      <w:rFonts w:hint="eastAsia" w:cs="Times New Roman"/>
                      <w:color w:val="auto"/>
                      <w:sz w:val="21"/>
                      <w:szCs w:val="21"/>
                      <w:vertAlign w:val="baseline"/>
                      <w:lang w:val="en-US" w:eastAsia="zh-CN"/>
                    </w:rPr>
                    <w:t>；厂区</w:t>
                  </w:r>
                  <w:r>
                    <w:rPr>
                      <w:rFonts w:hint="default" w:ascii="Times New Roman" w:hAnsi="Times New Roman" w:eastAsia="宋体" w:cs="Times New Roman"/>
                      <w:color w:val="auto"/>
                      <w:sz w:val="21"/>
                      <w:szCs w:val="21"/>
                      <w:vertAlign w:val="baseline"/>
                      <w:lang w:val="en-US" w:eastAsia="zh-CN"/>
                    </w:rPr>
                    <w:t>储存应急物资以备</w:t>
                  </w:r>
                  <w:r>
                    <w:rPr>
                      <w:rFonts w:hint="eastAsia" w:cs="Times New Roman"/>
                      <w:color w:val="auto"/>
                      <w:sz w:val="21"/>
                      <w:szCs w:val="21"/>
                      <w:vertAlign w:val="baseline"/>
                      <w:lang w:val="en-US" w:eastAsia="zh-CN"/>
                    </w:rPr>
                    <w:t>物料</w:t>
                  </w:r>
                  <w:r>
                    <w:rPr>
                      <w:rFonts w:hint="default" w:ascii="Times New Roman" w:hAnsi="Times New Roman" w:eastAsia="宋体" w:cs="Times New Roman"/>
                      <w:color w:val="auto"/>
                      <w:sz w:val="21"/>
                      <w:szCs w:val="21"/>
                      <w:vertAlign w:val="baseline"/>
                      <w:lang w:val="en-US" w:eastAsia="zh-CN"/>
                    </w:rPr>
                    <w:t>泄漏时使用，</w:t>
                  </w:r>
                  <w:r>
                    <w:rPr>
                      <w:rFonts w:hint="eastAsia" w:cs="Times New Roman"/>
                      <w:color w:val="auto"/>
                      <w:sz w:val="21"/>
                      <w:szCs w:val="21"/>
                      <w:vertAlign w:val="baseline"/>
                      <w:lang w:val="en-US" w:eastAsia="zh-CN"/>
                    </w:rPr>
                    <w:t>设导流沟及收集池，收集可能泄漏的物料。仓库门口设置拦截围堰，可以将事故水拦截在仓库内。</w:t>
                  </w:r>
                </w:p>
              </w:tc>
              <w:tc>
                <w:tcPr>
                  <w:tcW w:w="1119" w:type="dxa"/>
                  <w:vAlign w:val="center"/>
                </w:tcPr>
                <w:p w14:paraId="4186543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FF0000"/>
                      <w:sz w:val="21"/>
                      <w:szCs w:val="21"/>
                      <w:vertAlign w:val="baseline"/>
                      <w:lang w:val="en-US" w:eastAsia="zh-CN"/>
                    </w:rPr>
                  </w:pPr>
                </w:p>
              </w:tc>
            </w:tr>
          </w:tbl>
          <w:p w14:paraId="0CFAAB2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建设单位按照《危险废物贮存污染控制标准》</w:t>
            </w:r>
            <w:r>
              <w:rPr>
                <w:rFonts w:hint="eastAsia" w:cs="Times New Roman"/>
                <w:color w:val="auto"/>
                <w:sz w:val="24"/>
                <w:lang w:val="en-US" w:eastAsia="zh-CN"/>
              </w:rPr>
              <w:t>（</w:t>
            </w:r>
            <w:r>
              <w:rPr>
                <w:rFonts w:hint="eastAsia" w:ascii="Times New Roman" w:hAnsi="Times New Roman" w:eastAsia="宋体" w:cs="Times New Roman"/>
                <w:color w:val="auto"/>
                <w:sz w:val="24"/>
                <w:lang w:val="en-US" w:eastAsia="zh-CN"/>
              </w:rPr>
              <w:t>GB18597-2023</w:t>
            </w:r>
            <w:r>
              <w:rPr>
                <w:rFonts w:hint="eastAsia" w:cs="Times New Roman"/>
                <w:color w:val="auto"/>
                <w:sz w:val="24"/>
                <w:lang w:val="en-US" w:eastAsia="zh-CN"/>
              </w:rPr>
              <w:t>）</w:t>
            </w:r>
            <w:r>
              <w:rPr>
                <w:rFonts w:hint="eastAsia" w:ascii="Times New Roman" w:hAnsi="Times New Roman" w:eastAsia="宋体" w:cs="Times New Roman"/>
                <w:color w:val="auto"/>
                <w:sz w:val="24"/>
                <w:lang w:val="en-US" w:eastAsia="zh-CN"/>
              </w:rPr>
              <w:t>要求建设危险废物贮存库，根据危险废物的类别、数量、形态、物理化学性质和污染防治等要求设置贮存分区，避免不相容的危险废物接触、混合。</w:t>
            </w:r>
          </w:p>
          <w:p w14:paraId="21936BE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贮存库内地面、墙面裙脚、</w:t>
            </w:r>
            <w:r>
              <w:rPr>
                <w:rFonts w:hint="eastAsia" w:cs="Times New Roman"/>
                <w:color w:val="auto"/>
                <w:sz w:val="24"/>
                <w:lang w:val="en-US" w:eastAsia="zh-CN"/>
              </w:rPr>
              <w:t>导流</w:t>
            </w:r>
            <w:r>
              <w:rPr>
                <w:rFonts w:hint="eastAsia" w:ascii="Times New Roman" w:hAnsi="Times New Roman" w:eastAsia="宋体" w:cs="Times New Roman"/>
                <w:color w:val="auto"/>
                <w:sz w:val="24"/>
                <w:lang w:val="en-US" w:eastAsia="zh-CN"/>
              </w:rPr>
              <w:t>沟、应急收集池、接触危险废物的隔板和墙体等采用坚固的材料建造，表面无裂缝。</w:t>
            </w:r>
          </w:p>
          <w:p w14:paraId="0DD07FF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贮存库地面与裙脚采取防渗防腐措施，表面防渗材料应与所接触的物料或污染物相容，可采用抗渗混凝土、高密度聚乙烯膜、钠基膨润土防水毯或其他防渗性能等效的材料。贮存的危险废物直接接触地面的，还应进行基础防渗，防渗层为至少1m厚黏土层</w:t>
            </w:r>
            <w:r>
              <w:rPr>
                <w:rFonts w:hint="eastAsia" w:cs="Times New Roman"/>
                <w:color w:val="auto"/>
                <w:sz w:val="24"/>
                <w:lang w:val="en-US" w:eastAsia="zh-CN"/>
              </w:rPr>
              <w:t>（</w:t>
            </w:r>
            <w:r>
              <w:rPr>
                <w:rFonts w:hint="eastAsia" w:ascii="Times New Roman" w:hAnsi="Times New Roman" w:eastAsia="宋体" w:cs="Times New Roman"/>
                <w:color w:val="auto"/>
                <w:sz w:val="24"/>
                <w:lang w:val="en-US" w:eastAsia="zh-CN"/>
              </w:rPr>
              <w:t>渗透系数不大于10</w:t>
            </w:r>
            <w:r>
              <w:rPr>
                <w:rFonts w:hint="eastAsia" w:ascii="Times New Roman" w:hAnsi="Times New Roman" w:eastAsia="宋体" w:cs="Times New Roman"/>
                <w:color w:val="auto"/>
                <w:sz w:val="24"/>
                <w:vertAlign w:val="superscript"/>
                <w:lang w:val="en-US" w:eastAsia="zh-CN"/>
              </w:rPr>
              <w:t>-7</w:t>
            </w:r>
            <w:r>
              <w:rPr>
                <w:rFonts w:hint="eastAsia" w:ascii="Times New Roman" w:hAnsi="Times New Roman" w:eastAsia="宋体" w:cs="Times New Roman"/>
                <w:color w:val="auto"/>
                <w:sz w:val="24"/>
                <w:lang w:val="en-US" w:eastAsia="zh-CN"/>
              </w:rPr>
              <w:t>cm/s</w:t>
            </w:r>
            <w:r>
              <w:rPr>
                <w:rFonts w:hint="eastAsia" w:cs="Times New Roman"/>
                <w:color w:val="auto"/>
                <w:sz w:val="24"/>
                <w:lang w:val="en-US" w:eastAsia="zh-CN"/>
              </w:rPr>
              <w:t>）</w:t>
            </w:r>
            <w:r>
              <w:rPr>
                <w:rFonts w:hint="eastAsia" w:ascii="Times New Roman" w:hAnsi="Times New Roman" w:eastAsia="宋体" w:cs="Times New Roman"/>
                <w:color w:val="auto"/>
                <w:sz w:val="24"/>
                <w:lang w:val="en-US" w:eastAsia="zh-CN"/>
              </w:rPr>
              <w:t>，或至少2mm厚高密度聚乙烯膜等人工防渗材料</w:t>
            </w:r>
            <w:r>
              <w:rPr>
                <w:rFonts w:hint="eastAsia" w:cs="Times New Roman"/>
                <w:color w:val="auto"/>
                <w:sz w:val="24"/>
                <w:lang w:val="en-US" w:eastAsia="zh-CN"/>
              </w:rPr>
              <w:t>（</w:t>
            </w:r>
            <w:r>
              <w:rPr>
                <w:rFonts w:hint="eastAsia" w:ascii="Times New Roman" w:hAnsi="Times New Roman" w:eastAsia="宋体" w:cs="Times New Roman"/>
                <w:color w:val="auto"/>
                <w:sz w:val="24"/>
                <w:lang w:val="en-US" w:eastAsia="zh-CN"/>
              </w:rPr>
              <w:t>渗透系数不大于10</w:t>
            </w:r>
            <w:r>
              <w:rPr>
                <w:rFonts w:hint="eastAsia" w:ascii="Times New Roman" w:hAnsi="Times New Roman" w:eastAsia="宋体" w:cs="Times New Roman"/>
                <w:color w:val="auto"/>
                <w:sz w:val="24"/>
                <w:vertAlign w:val="superscript"/>
                <w:lang w:val="en-US" w:eastAsia="zh-CN"/>
              </w:rPr>
              <w:t>-</w:t>
            </w:r>
            <w:r>
              <w:rPr>
                <w:rFonts w:hint="eastAsia" w:cs="Times New Roman"/>
                <w:color w:val="auto"/>
                <w:sz w:val="24"/>
                <w:vertAlign w:val="superscript"/>
                <w:lang w:val="en-US" w:eastAsia="zh-CN"/>
              </w:rPr>
              <w:t>10</w:t>
            </w:r>
            <w:r>
              <w:rPr>
                <w:rFonts w:hint="eastAsia" w:ascii="Times New Roman" w:hAnsi="Times New Roman" w:eastAsia="宋体" w:cs="Times New Roman"/>
                <w:color w:val="auto"/>
                <w:sz w:val="24"/>
                <w:lang w:val="en-US" w:eastAsia="zh-CN"/>
              </w:rPr>
              <w:t>cm/s</w:t>
            </w:r>
            <w:r>
              <w:rPr>
                <w:rFonts w:hint="eastAsia" w:cs="Times New Roman"/>
                <w:color w:val="auto"/>
                <w:sz w:val="24"/>
                <w:lang w:val="en-US" w:eastAsia="zh-CN"/>
              </w:rPr>
              <w:t>）</w:t>
            </w:r>
            <w:r>
              <w:rPr>
                <w:rFonts w:hint="eastAsia" w:ascii="Times New Roman" w:hAnsi="Times New Roman" w:eastAsia="宋体" w:cs="Times New Roman"/>
                <w:color w:val="auto"/>
                <w:sz w:val="24"/>
                <w:lang w:val="en-US" w:eastAsia="zh-CN"/>
              </w:rPr>
              <w:t>，或其他防渗性能等效的材料。</w:t>
            </w:r>
          </w:p>
          <w:p w14:paraId="32263D7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同一贮存设施宜采用相同的防渗、防腐工艺</w:t>
            </w:r>
            <w:r>
              <w:rPr>
                <w:rFonts w:hint="eastAsia" w:cs="Times New Roman"/>
                <w:color w:val="auto"/>
                <w:sz w:val="24"/>
                <w:lang w:val="en-US" w:eastAsia="zh-CN"/>
              </w:rPr>
              <w:t>（</w:t>
            </w:r>
            <w:r>
              <w:rPr>
                <w:rFonts w:hint="eastAsia" w:ascii="Times New Roman" w:hAnsi="Times New Roman" w:eastAsia="宋体" w:cs="Times New Roman"/>
                <w:color w:val="auto"/>
                <w:sz w:val="24"/>
                <w:lang w:val="en-US" w:eastAsia="zh-CN"/>
              </w:rPr>
              <w:t>包括防渗、防腐结构或材料</w:t>
            </w:r>
            <w:r>
              <w:rPr>
                <w:rFonts w:hint="eastAsia" w:cs="Times New Roman"/>
                <w:color w:val="auto"/>
                <w:sz w:val="24"/>
                <w:lang w:val="en-US" w:eastAsia="zh-CN"/>
              </w:rPr>
              <w:t>）</w:t>
            </w:r>
            <w:r>
              <w:rPr>
                <w:rFonts w:hint="eastAsia" w:ascii="Times New Roman" w:hAnsi="Times New Roman" w:eastAsia="宋体" w:cs="Times New Roman"/>
                <w:color w:val="auto"/>
                <w:sz w:val="24"/>
                <w:lang w:val="en-US" w:eastAsia="zh-CN"/>
              </w:rPr>
              <w:t>，防渗、防腐材料应覆盖所有可能与废物及其渗滤液、渗漏液等接触的构筑物表面；采用不同防渗、防腐工艺应分别建设贮存分区。</w:t>
            </w:r>
          </w:p>
          <w:p w14:paraId="62BD0C2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贮存库内不同分区之间采取隔离措施，</w:t>
            </w:r>
            <w:r>
              <w:rPr>
                <w:rFonts w:hint="eastAsia" w:cs="Times New Roman"/>
                <w:color w:val="auto"/>
                <w:sz w:val="24"/>
                <w:lang w:val="en-US" w:eastAsia="zh-CN"/>
              </w:rPr>
              <w:t>本项目</w:t>
            </w:r>
            <w:r>
              <w:rPr>
                <w:rFonts w:hint="eastAsia" w:ascii="Times New Roman" w:hAnsi="Times New Roman" w:eastAsia="宋体" w:cs="Times New Roman"/>
                <w:color w:val="auto"/>
                <w:sz w:val="24"/>
                <w:lang w:val="en-US" w:eastAsia="zh-CN"/>
              </w:rPr>
              <w:t>采用过道方式</w:t>
            </w:r>
            <w:r>
              <w:rPr>
                <w:rFonts w:hint="eastAsia" w:cs="Times New Roman"/>
                <w:color w:val="auto"/>
                <w:sz w:val="24"/>
                <w:lang w:val="en-US" w:eastAsia="zh-CN"/>
              </w:rPr>
              <w:t>进行隔离</w:t>
            </w:r>
            <w:r>
              <w:rPr>
                <w:rFonts w:hint="eastAsia" w:ascii="Times New Roman" w:hAnsi="Times New Roman" w:eastAsia="宋体" w:cs="Times New Roman"/>
                <w:color w:val="auto"/>
                <w:sz w:val="24"/>
                <w:lang w:val="en-US" w:eastAsia="zh-CN"/>
              </w:rPr>
              <w:t>。</w:t>
            </w:r>
          </w:p>
          <w:p w14:paraId="195B533A">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贮存库内沿通道设置</w:t>
            </w:r>
            <w:r>
              <w:rPr>
                <w:rFonts w:hint="eastAsia" w:cs="Times New Roman"/>
                <w:color w:val="auto"/>
                <w:sz w:val="24"/>
                <w:lang w:val="en-US" w:eastAsia="zh-CN"/>
              </w:rPr>
              <w:t>导流</w:t>
            </w:r>
            <w:r>
              <w:rPr>
                <w:rFonts w:hint="eastAsia" w:ascii="Times New Roman" w:hAnsi="Times New Roman" w:eastAsia="宋体" w:cs="Times New Roman"/>
                <w:color w:val="auto"/>
                <w:sz w:val="24"/>
                <w:lang w:val="en-US" w:eastAsia="zh-CN"/>
              </w:rPr>
              <w:t>沟，并在</w:t>
            </w:r>
            <w:r>
              <w:rPr>
                <w:rFonts w:hint="eastAsia" w:cs="Times New Roman"/>
                <w:color w:val="auto"/>
                <w:sz w:val="24"/>
                <w:lang w:val="en-US" w:eastAsia="zh-CN"/>
              </w:rPr>
              <w:t>仓库内南部</w:t>
            </w:r>
            <w:r>
              <w:rPr>
                <w:rFonts w:hint="eastAsia" w:ascii="Times New Roman" w:hAnsi="Times New Roman" w:eastAsia="宋体" w:cs="Times New Roman"/>
                <w:color w:val="auto"/>
                <w:sz w:val="24"/>
                <w:lang w:val="en-US" w:eastAsia="zh-CN"/>
              </w:rPr>
              <w:t>设置一个容积为1m</w:t>
            </w:r>
            <w:r>
              <w:rPr>
                <w:rFonts w:hint="eastAsia" w:ascii="Times New Roman" w:hAnsi="Times New Roman" w:eastAsia="宋体" w:cs="Times New Roman"/>
                <w:color w:val="auto"/>
                <w:sz w:val="24"/>
                <w:vertAlign w:val="superscript"/>
                <w:lang w:val="en-US" w:eastAsia="zh-CN"/>
              </w:rPr>
              <w:t>3</w:t>
            </w:r>
            <w:r>
              <w:rPr>
                <w:rFonts w:hint="eastAsia" w:ascii="Times New Roman" w:hAnsi="Times New Roman" w:eastAsia="宋体" w:cs="Times New Roman"/>
                <w:color w:val="auto"/>
                <w:sz w:val="24"/>
                <w:lang w:val="en-US" w:eastAsia="zh-CN"/>
              </w:rPr>
              <w:t>的收集池。本项目</w:t>
            </w:r>
            <w:r>
              <w:rPr>
                <w:rFonts w:hint="eastAsia" w:cs="Times New Roman"/>
                <w:color w:val="auto"/>
                <w:sz w:val="24"/>
                <w:lang w:val="en-US" w:eastAsia="zh-CN"/>
              </w:rPr>
              <w:t>最大存储容器为吨桶，收集池容积可以满足项目需要。</w:t>
            </w:r>
          </w:p>
          <w:p w14:paraId="58C8BA6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仓库内设置集气系统，收集</w:t>
            </w:r>
            <w:r>
              <w:rPr>
                <w:rFonts w:hint="eastAsia" w:cs="Times New Roman"/>
                <w:color w:val="auto"/>
                <w:sz w:val="24"/>
                <w:lang w:val="en-US" w:eastAsia="zh-CN"/>
              </w:rPr>
              <w:t>的有机</w:t>
            </w:r>
            <w:r>
              <w:rPr>
                <w:rFonts w:hint="eastAsia" w:ascii="Times New Roman" w:hAnsi="Times New Roman" w:eastAsia="宋体" w:cs="Times New Roman"/>
                <w:color w:val="auto"/>
                <w:sz w:val="24"/>
                <w:lang w:val="en-US" w:eastAsia="zh-CN"/>
              </w:rPr>
              <w:t>废气经两级活性炭吸附装置净化处理后，DA001排气筒15m排放。</w:t>
            </w:r>
            <w:r>
              <w:rPr>
                <w:rFonts w:hint="eastAsia" w:cs="Times New Roman"/>
                <w:color w:val="auto"/>
                <w:sz w:val="24"/>
                <w:lang w:val="en-US" w:eastAsia="zh-CN"/>
              </w:rPr>
              <w:t>酸性废气经碱喷淋装置处理后，DA002排气筒5m排放。</w:t>
            </w:r>
          </w:p>
          <w:p w14:paraId="3B25607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贮存库配备视频监控系统，配备必要的消防设备和设施。</w:t>
            </w:r>
          </w:p>
          <w:p w14:paraId="6677E93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贮存库按《危险废物识别标志设置技术规范》</w:t>
            </w:r>
            <w:r>
              <w:rPr>
                <w:rFonts w:hint="eastAsia" w:cs="Times New Roman"/>
                <w:color w:val="auto"/>
                <w:sz w:val="24"/>
                <w:lang w:val="en-US" w:eastAsia="zh-CN"/>
              </w:rPr>
              <w:t>（</w:t>
            </w:r>
            <w:r>
              <w:rPr>
                <w:rFonts w:hint="eastAsia" w:ascii="Times New Roman" w:hAnsi="Times New Roman" w:eastAsia="宋体" w:cs="Times New Roman"/>
                <w:color w:val="auto"/>
                <w:sz w:val="24"/>
                <w:lang w:val="en-US" w:eastAsia="zh-CN"/>
              </w:rPr>
              <w:t>HJ1276-2022</w:t>
            </w:r>
            <w:r>
              <w:rPr>
                <w:rFonts w:hint="eastAsia" w:cs="Times New Roman"/>
                <w:color w:val="auto"/>
                <w:sz w:val="24"/>
                <w:lang w:val="en-US" w:eastAsia="zh-CN"/>
              </w:rPr>
              <w:t>）</w:t>
            </w:r>
            <w:r>
              <w:rPr>
                <w:rFonts w:hint="eastAsia" w:ascii="Times New Roman" w:hAnsi="Times New Roman" w:eastAsia="宋体" w:cs="Times New Roman"/>
                <w:color w:val="auto"/>
                <w:sz w:val="24"/>
                <w:lang w:val="en-US" w:eastAsia="zh-CN"/>
              </w:rPr>
              <w:t>要求设置危险废物贮存设施标志、危险废物贮存分区标志。</w:t>
            </w:r>
          </w:p>
          <w:p w14:paraId="3F2EB133">
            <w:pPr>
              <w:pStyle w:val="3"/>
              <w:rPr>
                <w:rFonts w:hint="eastAsia" w:ascii="Times New Roman" w:hAnsi="Times New Roman" w:eastAsia="宋体" w:cs="Times New Roman"/>
                <w:color w:val="FF0000"/>
                <w:sz w:val="24"/>
                <w:lang w:val="en-US" w:eastAsia="zh-CN"/>
              </w:rPr>
            </w:pPr>
          </w:p>
          <w:p w14:paraId="57D623B1">
            <w:pPr>
              <w:rPr>
                <w:rFonts w:hint="eastAsia" w:ascii="Times New Roman" w:hAnsi="Times New Roman" w:eastAsia="宋体" w:cs="Times New Roman"/>
                <w:color w:val="FF0000"/>
                <w:sz w:val="24"/>
                <w:lang w:val="en-US" w:eastAsia="zh-CN"/>
              </w:rPr>
            </w:pPr>
          </w:p>
          <w:p w14:paraId="3493329E">
            <w:pPr>
              <w:pStyle w:val="3"/>
              <w:rPr>
                <w:color w:val="FF0000"/>
              </w:rPr>
            </w:pPr>
          </w:p>
          <w:p w14:paraId="7AA4B14B">
            <w:pPr>
              <w:rPr>
                <w:color w:val="FF0000"/>
              </w:rPr>
            </w:pPr>
          </w:p>
          <w:p w14:paraId="29F53A3A">
            <w:pPr>
              <w:rPr>
                <w:color w:val="FF0000"/>
              </w:rPr>
            </w:pPr>
          </w:p>
          <w:p w14:paraId="100C778A">
            <w:pPr>
              <w:rPr>
                <w:color w:val="FF0000"/>
              </w:rPr>
            </w:pPr>
          </w:p>
          <w:p w14:paraId="4CE0C1C3">
            <w:pPr>
              <w:rPr>
                <w:color w:val="FF0000"/>
              </w:rPr>
            </w:pPr>
          </w:p>
          <w:p w14:paraId="1F551BBC">
            <w:pPr>
              <w:rPr>
                <w:color w:val="FF0000"/>
              </w:rPr>
            </w:pPr>
          </w:p>
        </w:tc>
      </w:tr>
    </w:tbl>
    <w:p w14:paraId="321C188A">
      <w:pPr>
        <w:pStyle w:val="23"/>
        <w:keepNext w:val="0"/>
        <w:keepLines w:val="0"/>
        <w:pageBreakBefore w:val="0"/>
        <w:widowControl/>
        <w:numPr>
          <w:ilvl w:val="0"/>
          <w:numId w:val="0"/>
        </w:numPr>
        <w:kinsoku/>
        <w:wordWrap/>
        <w:overflowPunct/>
        <w:topLinePunct w:val="0"/>
        <w:autoSpaceDE/>
        <w:autoSpaceDN/>
        <w:bidi w:val="0"/>
        <w:adjustRightInd w:val="0"/>
        <w:snapToGrid w:val="0"/>
        <w:spacing w:before="0" w:beforeAutospacing="0" w:after="0" w:afterAutospacing="0" w:line="360" w:lineRule="auto"/>
        <w:jc w:val="center"/>
        <w:textAlignment w:val="auto"/>
        <w:outlineLvl w:val="0"/>
        <w:rPr>
          <w:rFonts w:ascii="Times New Roman" w:hAnsi="Times New Roman"/>
          <w:b/>
          <w:snapToGrid w:val="0"/>
          <w:color w:val="FF0000"/>
          <w:sz w:val="30"/>
          <w:szCs w:val="30"/>
        </w:rPr>
        <w:sectPr>
          <w:pgSz w:w="11905" w:h="16838"/>
          <w:pgMar w:top="1417" w:right="1417" w:bottom="1417" w:left="1417" w:header="851" w:footer="850" w:gutter="0"/>
          <w:pgBorders>
            <w:top w:val="none" w:sz="0" w:space="0"/>
            <w:left w:val="none" w:sz="0" w:space="0"/>
            <w:bottom w:val="none" w:sz="0" w:space="0"/>
            <w:right w:val="none" w:sz="0" w:space="0"/>
          </w:pgBorders>
          <w:pgNumType w:fmt="decimal"/>
          <w:cols w:space="0" w:num="1"/>
          <w:rtlGutter w:val="0"/>
          <w:docGrid w:linePitch="312" w:charSpace="0"/>
        </w:sectPr>
      </w:pPr>
    </w:p>
    <w:tbl>
      <w:tblPr>
        <w:tblStyle w:val="28"/>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89"/>
        <w:gridCol w:w="13225"/>
      </w:tblGrid>
      <w:tr w14:paraId="153F23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34" w:hRule="atLeast"/>
        </w:trPr>
        <w:tc>
          <w:tcPr>
            <w:tcW w:w="348" w:type="pct"/>
          </w:tcPr>
          <w:p w14:paraId="4FD5C7F3">
            <w:pPr>
              <w:pStyle w:val="23"/>
              <w:keepNext w:val="0"/>
              <w:keepLines w:val="0"/>
              <w:pageBreakBefore w:val="0"/>
              <w:widowControl/>
              <w:numPr>
                <w:ilvl w:val="0"/>
                <w:numId w:val="0"/>
              </w:numPr>
              <w:kinsoku/>
              <w:wordWrap/>
              <w:overflowPunct/>
              <w:topLinePunct w:val="0"/>
              <w:autoSpaceDE/>
              <w:autoSpaceDN/>
              <w:bidi w:val="0"/>
              <w:adjustRightInd w:val="0"/>
              <w:snapToGrid w:val="0"/>
              <w:spacing w:before="0" w:beforeAutospacing="0" w:after="0" w:afterAutospacing="0" w:line="360" w:lineRule="auto"/>
              <w:jc w:val="center"/>
              <w:textAlignment w:val="auto"/>
              <w:outlineLvl w:val="0"/>
              <w:rPr>
                <w:rFonts w:ascii="Times New Roman" w:hAnsi="Times New Roman"/>
                <w:b/>
                <w:snapToGrid w:val="0"/>
                <w:color w:val="FF0000"/>
                <w:sz w:val="30"/>
                <w:szCs w:val="30"/>
                <w:vertAlign w:val="baseline"/>
              </w:rPr>
            </w:pPr>
          </w:p>
        </w:tc>
        <w:tc>
          <w:tcPr>
            <w:tcW w:w="4651" w:type="pct"/>
          </w:tcPr>
          <w:p w14:paraId="1DD0A233">
            <w:pPr>
              <w:keepNext w:val="0"/>
              <w:keepLines w:val="0"/>
              <w:pageBreakBefore w:val="0"/>
              <w:widowControl w:val="0"/>
              <w:numPr>
                <w:ilvl w:val="0"/>
                <w:numId w:val="12"/>
              </w:numPr>
              <w:kinsoku/>
              <w:wordWrap/>
              <w:overflowPunct/>
              <w:topLinePunct w:val="0"/>
              <w:autoSpaceDE/>
              <w:autoSpaceDN/>
              <w:bidi w:val="0"/>
              <w:adjustRightInd w:val="0"/>
              <w:snapToGrid/>
              <w:spacing w:line="360" w:lineRule="auto"/>
              <w:ind w:left="0" w:leftChars="0" w:firstLine="482" w:firstLineChars="200"/>
              <w:textAlignment w:val="auto"/>
              <w:rPr>
                <w:rFonts w:ascii="Times New Roman" w:hAnsi="Times New Roman" w:eastAsia="宋体" w:cs="Times New Roman"/>
                <w:b/>
                <w:color w:val="auto"/>
                <w:sz w:val="24"/>
              </w:rPr>
            </w:pPr>
            <w:r>
              <w:rPr>
                <w:rFonts w:hint="eastAsia" w:ascii="Times New Roman" w:hAnsi="Times New Roman" w:eastAsia="宋体" w:cs="Times New Roman"/>
                <w:b/>
                <w:color w:val="auto"/>
                <w:sz w:val="24"/>
              </w:rPr>
              <w:t>产品方案</w:t>
            </w:r>
          </w:p>
          <w:p w14:paraId="47EA44FE">
            <w:pPr>
              <w:keepNext w:val="0"/>
              <w:keepLines w:val="0"/>
              <w:pageBreakBefore w:val="0"/>
              <w:widowControl w:val="0"/>
              <w:kinsoku/>
              <w:wordWrap/>
              <w:overflowPunct/>
              <w:topLinePunct w:val="0"/>
              <w:autoSpaceDE/>
              <w:autoSpaceDN/>
              <w:bidi w:val="0"/>
              <w:adjustRightInd w:val="0"/>
              <w:snapToGrid/>
              <w:spacing w:line="360" w:lineRule="auto"/>
              <w:ind w:firstLine="480" w:firstLineChars="200"/>
              <w:textAlignment w:val="auto"/>
              <w:rPr>
                <w:rFonts w:hint="default" w:ascii="宋体" w:hAnsi="宋体" w:eastAsia="宋体" w:cs="宋体"/>
                <w:color w:val="auto"/>
                <w:sz w:val="24"/>
                <w:szCs w:val="24"/>
                <w:lang w:val="en-US" w:eastAsia="zh-CN"/>
              </w:rPr>
            </w:pPr>
            <w:r>
              <w:rPr>
                <w:rFonts w:hint="eastAsia" w:ascii="宋体" w:hAnsi="宋体" w:cs="宋体"/>
                <w:color w:val="auto"/>
                <w:sz w:val="24"/>
                <w:szCs w:val="24"/>
                <w:lang w:val="en-US" w:eastAsia="zh-CN"/>
              </w:rPr>
              <w:t>收集的危险废物情况如下：</w:t>
            </w:r>
          </w:p>
          <w:p w14:paraId="2644F2BF">
            <w:pPr>
              <w:keepNext w:val="0"/>
              <w:keepLines w:val="0"/>
              <w:pageBreakBefore w:val="0"/>
              <w:widowControl w:val="0"/>
              <w:numPr>
                <w:ilvl w:val="0"/>
                <w:numId w:val="14"/>
              </w:numPr>
              <w:kinsoku/>
              <w:wordWrap/>
              <w:overflowPunct/>
              <w:topLinePunct w:val="0"/>
              <w:autoSpaceDE w:val="0"/>
              <w:autoSpaceDN w:val="0"/>
              <w:bidi w:val="0"/>
              <w:adjustRightInd w:val="0"/>
              <w:snapToGrid/>
              <w:spacing w:line="360" w:lineRule="auto"/>
              <w:ind w:left="3150" w:leftChars="0" w:hanging="3110" w:firstLineChars="0"/>
              <w:jc w:val="center"/>
              <w:textAlignment w:val="auto"/>
              <w:rPr>
                <w:rFonts w:hint="eastAsia" w:ascii="宋体" w:hAnsi="宋体" w:eastAsia="宋体" w:cs="宋体"/>
                <w:b/>
                <w:bCs/>
                <w:color w:val="auto"/>
                <w:kern w:val="0"/>
                <w:sz w:val="24"/>
                <w:szCs w:val="24"/>
                <w:lang w:val="en-US" w:eastAsia="zh-CN" w:bidi="ar"/>
              </w:rPr>
            </w:pPr>
            <w:r>
              <w:rPr>
                <w:rFonts w:hint="eastAsia" w:ascii="宋体" w:hAnsi="宋体" w:eastAsia="宋体" w:cs="宋体"/>
                <w:b/>
                <w:bCs/>
                <w:color w:val="auto"/>
                <w:kern w:val="0"/>
                <w:sz w:val="24"/>
                <w:szCs w:val="24"/>
                <w:lang w:val="en-US" w:eastAsia="zh-CN" w:bidi="ar"/>
              </w:rPr>
              <w:t>项目收集的危险废物情况一览表</w:t>
            </w:r>
          </w:p>
          <w:tbl>
            <w:tblPr>
              <w:tblStyle w:val="28"/>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49"/>
              <w:gridCol w:w="2293"/>
              <w:gridCol w:w="1576"/>
              <w:gridCol w:w="1893"/>
              <w:gridCol w:w="6285"/>
            </w:tblGrid>
            <w:tr w14:paraId="6B97B0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65" w:type="pct"/>
                  <w:vMerge w:val="restart"/>
                  <w:vAlign w:val="center"/>
                </w:tcPr>
                <w:p w14:paraId="297AC57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u w:val="none"/>
                      <w:lang w:val="en-US" w:eastAsia="zh-CN"/>
                    </w:rPr>
                  </w:pPr>
                  <w:r>
                    <w:rPr>
                      <w:rFonts w:hint="eastAsia" w:ascii="Times New Roman" w:hAnsi="Times New Roman" w:eastAsia="宋体" w:cs="Times New Roman"/>
                      <w:color w:val="auto"/>
                      <w:sz w:val="21"/>
                      <w:szCs w:val="21"/>
                      <w:u w:val="none"/>
                      <w:lang w:val="en-US" w:eastAsia="zh-CN"/>
                    </w:rPr>
                    <w:t>序号</w:t>
                  </w:r>
                </w:p>
              </w:tc>
              <w:tc>
                <w:tcPr>
                  <w:tcW w:w="882" w:type="pct"/>
                  <w:vMerge w:val="restart"/>
                  <w:vAlign w:val="center"/>
                </w:tcPr>
                <w:p w14:paraId="1F81C18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u w:val="none"/>
                      <w:lang w:eastAsia="zh-CN"/>
                    </w:rPr>
                  </w:pPr>
                  <w:r>
                    <w:rPr>
                      <w:rFonts w:hint="eastAsia" w:ascii="Times New Roman" w:hAnsi="Times New Roman" w:eastAsia="宋体" w:cs="Times New Roman"/>
                      <w:color w:val="auto"/>
                      <w:sz w:val="21"/>
                      <w:szCs w:val="21"/>
                      <w:u w:val="none"/>
                      <w:lang w:eastAsia="zh-CN"/>
                    </w:rPr>
                    <w:t>危废代码/类别</w:t>
                  </w:r>
                </w:p>
              </w:tc>
              <w:tc>
                <w:tcPr>
                  <w:tcW w:w="1334" w:type="pct"/>
                  <w:gridSpan w:val="2"/>
                  <w:vAlign w:val="center"/>
                </w:tcPr>
                <w:p w14:paraId="1B6FA2F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b w:val="0"/>
                      <w:bCs w:val="0"/>
                      <w:i w:val="0"/>
                      <w:iCs w:val="0"/>
                      <w:color w:val="auto"/>
                      <w:kern w:val="0"/>
                      <w:sz w:val="21"/>
                      <w:szCs w:val="21"/>
                      <w:highlight w:val="none"/>
                      <w:u w:val="none"/>
                      <w:lang w:val="en-US" w:eastAsia="zh-CN" w:bidi="ar"/>
                    </w:rPr>
                    <w:t>年周转量（t）</w:t>
                  </w:r>
                </w:p>
              </w:tc>
              <w:tc>
                <w:tcPr>
                  <w:tcW w:w="2417" w:type="pct"/>
                  <w:vMerge w:val="restart"/>
                  <w:vAlign w:val="center"/>
                </w:tcPr>
                <w:p w14:paraId="41CC033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周转周期</w:t>
                  </w:r>
                </w:p>
              </w:tc>
            </w:tr>
            <w:tr w14:paraId="21CA6D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5" w:type="pct"/>
                  <w:vMerge w:val="continue"/>
                  <w:vAlign w:val="center"/>
                </w:tcPr>
                <w:p w14:paraId="7924FBC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u w:val="none"/>
                      <w:lang w:eastAsia="zh-CN"/>
                    </w:rPr>
                  </w:pPr>
                </w:p>
              </w:tc>
              <w:tc>
                <w:tcPr>
                  <w:tcW w:w="882" w:type="pct"/>
                  <w:vMerge w:val="continue"/>
                  <w:vAlign w:val="center"/>
                </w:tcPr>
                <w:p w14:paraId="609FAA0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u w:val="none"/>
                      <w:lang w:eastAsia="zh-CN"/>
                    </w:rPr>
                  </w:pPr>
                </w:p>
              </w:tc>
              <w:tc>
                <w:tcPr>
                  <w:tcW w:w="606" w:type="pct"/>
                  <w:vAlign w:val="center"/>
                </w:tcPr>
                <w:p w14:paraId="7472B667">
                  <w:pPr>
                    <w:keepNext w:val="0"/>
                    <w:keepLines w:val="0"/>
                    <w:pageBreakBefore w:val="0"/>
                    <w:widowControl w:val="0"/>
                    <w:suppressLineNumbers w:val="0"/>
                    <w:kinsoku/>
                    <w:wordWrap/>
                    <w:overflowPunct/>
                    <w:topLinePunct w:val="0"/>
                    <w:autoSpaceDE/>
                    <w:autoSpaceDN/>
                    <w:bidi w:val="0"/>
                    <w:adjustRightInd w:val="0"/>
                    <w:snapToGrid/>
                    <w:spacing w:line="240" w:lineRule="auto"/>
                    <w:jc w:val="center"/>
                    <w:textAlignment w:val="center"/>
                    <w:rPr>
                      <w:rFonts w:hint="eastAsia" w:ascii="Times New Roman" w:hAnsi="Times New Roman" w:eastAsia="宋体" w:cs="Times New Roman"/>
                      <w:color w:val="auto"/>
                      <w:sz w:val="21"/>
                      <w:szCs w:val="21"/>
                      <w:highlight w:val="none"/>
                      <w:u w:val="none"/>
                      <w:lang w:eastAsia="zh-CN"/>
                    </w:rPr>
                  </w:pPr>
                  <w:r>
                    <w:rPr>
                      <w:rFonts w:hint="eastAsia" w:cs="Times New Roman"/>
                      <w:color w:val="auto"/>
                      <w:sz w:val="21"/>
                      <w:szCs w:val="21"/>
                      <w:highlight w:val="none"/>
                      <w:u w:val="none"/>
                      <w:lang w:val="en-US" w:eastAsia="zh-CN"/>
                    </w:rPr>
                    <w:t>现有项目</w:t>
                  </w:r>
                </w:p>
              </w:tc>
              <w:tc>
                <w:tcPr>
                  <w:tcW w:w="727" w:type="pct"/>
                  <w:vAlign w:val="center"/>
                </w:tcPr>
                <w:p w14:paraId="47BB10A7">
                  <w:pPr>
                    <w:keepNext w:val="0"/>
                    <w:keepLines w:val="0"/>
                    <w:pageBreakBefore w:val="0"/>
                    <w:widowControl w:val="0"/>
                    <w:suppressLineNumbers w:val="0"/>
                    <w:kinsoku/>
                    <w:wordWrap/>
                    <w:overflowPunct/>
                    <w:topLinePunct w:val="0"/>
                    <w:autoSpaceDE/>
                    <w:autoSpaceDN/>
                    <w:bidi w:val="0"/>
                    <w:adjustRightInd w:val="0"/>
                    <w:snapToGrid/>
                    <w:spacing w:line="240" w:lineRule="auto"/>
                    <w:jc w:val="center"/>
                    <w:textAlignment w:val="center"/>
                    <w:rPr>
                      <w:rFonts w:hint="default" w:ascii="Times New Roman" w:hAnsi="Times New Roman" w:eastAsia="宋体" w:cs="Times New Roman"/>
                      <w:color w:val="auto"/>
                      <w:sz w:val="21"/>
                      <w:szCs w:val="21"/>
                      <w:highlight w:val="none"/>
                      <w:u w:val="none"/>
                      <w:lang w:val="en-US" w:eastAsia="zh-CN"/>
                    </w:rPr>
                  </w:pPr>
                  <w:r>
                    <w:rPr>
                      <w:rFonts w:hint="eastAsia" w:cs="Times New Roman"/>
                      <w:color w:val="auto"/>
                      <w:sz w:val="21"/>
                      <w:szCs w:val="21"/>
                      <w:highlight w:val="none"/>
                      <w:u w:val="none"/>
                      <w:lang w:val="en-US" w:eastAsia="zh-CN"/>
                    </w:rPr>
                    <w:t>搬迁后项目</w:t>
                  </w:r>
                </w:p>
              </w:tc>
              <w:tc>
                <w:tcPr>
                  <w:tcW w:w="2417" w:type="pct"/>
                  <w:vMerge w:val="continue"/>
                  <w:vAlign w:val="center"/>
                </w:tcPr>
                <w:p w14:paraId="7E000C3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yellow"/>
                      <w:u w:val="none"/>
                      <w:lang w:eastAsia="zh-CN"/>
                    </w:rPr>
                  </w:pPr>
                </w:p>
              </w:tc>
            </w:tr>
            <w:tr w14:paraId="205A8D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65" w:type="pct"/>
                  <w:vAlign w:val="center"/>
                </w:tcPr>
                <w:p w14:paraId="2D1410F5">
                  <w:pPr>
                    <w:keepNext w:val="0"/>
                    <w:keepLines w:val="0"/>
                    <w:pageBreakBefore w:val="0"/>
                    <w:widowControl w:val="0"/>
                    <w:suppressLineNumbers w:val="0"/>
                    <w:kinsoku/>
                    <w:wordWrap/>
                    <w:overflowPunct/>
                    <w:topLinePunct w:val="0"/>
                    <w:autoSpaceDE/>
                    <w:autoSpaceDN/>
                    <w:bidi w:val="0"/>
                    <w:adjustRightInd w:val="0"/>
                    <w:snapToGrid/>
                    <w:spacing w:line="240" w:lineRule="auto"/>
                    <w:jc w:val="center"/>
                    <w:textAlignment w:val="center"/>
                    <w:rPr>
                      <w:rFonts w:hint="eastAsia" w:ascii="Times New Roman" w:hAnsi="Times New Roman" w:eastAsia="宋体" w:cs="Times New Roman"/>
                      <w:color w:val="auto"/>
                      <w:sz w:val="21"/>
                      <w:szCs w:val="21"/>
                      <w:u w:val="none"/>
                      <w:lang w:eastAsia="zh-CN"/>
                    </w:rPr>
                  </w:pPr>
                  <w:r>
                    <w:rPr>
                      <w:rFonts w:hint="default" w:ascii="Times New Roman" w:hAnsi="Times New Roman" w:eastAsia="宋体" w:cs="Times New Roman"/>
                      <w:i w:val="0"/>
                      <w:iCs w:val="0"/>
                      <w:color w:val="auto"/>
                      <w:kern w:val="0"/>
                      <w:sz w:val="21"/>
                      <w:szCs w:val="21"/>
                      <w:u w:val="none"/>
                      <w:lang w:val="en-US" w:eastAsia="zh-CN" w:bidi="ar"/>
                    </w:rPr>
                    <w:t>1</w:t>
                  </w:r>
                </w:p>
              </w:tc>
              <w:tc>
                <w:tcPr>
                  <w:tcW w:w="882" w:type="pct"/>
                  <w:vAlign w:val="center"/>
                </w:tcPr>
                <w:p w14:paraId="72799FE0">
                  <w:pPr>
                    <w:keepNext w:val="0"/>
                    <w:keepLines w:val="0"/>
                    <w:pageBreakBefore w:val="0"/>
                    <w:widowControl w:val="0"/>
                    <w:suppressLineNumbers w:val="0"/>
                    <w:kinsoku/>
                    <w:wordWrap/>
                    <w:overflowPunct/>
                    <w:topLinePunct w:val="0"/>
                    <w:autoSpaceDE/>
                    <w:autoSpaceDN/>
                    <w:bidi w:val="0"/>
                    <w:adjustRightInd w:val="0"/>
                    <w:snapToGrid/>
                    <w:spacing w:line="240" w:lineRule="auto"/>
                    <w:jc w:val="center"/>
                    <w:textAlignment w:val="center"/>
                    <w:rPr>
                      <w:rFonts w:hint="default" w:ascii="Times New Roman" w:hAnsi="Times New Roman" w:eastAsia="宋体" w:cs="Times New Roman"/>
                      <w:color w:val="auto"/>
                      <w:sz w:val="21"/>
                      <w:szCs w:val="21"/>
                      <w:u w:val="none"/>
                      <w:lang w:val="en-US" w:eastAsia="zh-CN"/>
                    </w:rPr>
                  </w:pPr>
                  <w:r>
                    <w:rPr>
                      <w:rStyle w:val="110"/>
                      <w:rFonts w:hint="eastAsia" w:cs="Times New Roman"/>
                      <w:color w:val="auto"/>
                      <w:sz w:val="21"/>
                      <w:szCs w:val="21"/>
                      <w:u w:val="none"/>
                      <w:vertAlign w:val="baseline"/>
                      <w:lang w:val="en-US" w:eastAsia="zh-CN" w:bidi="ar"/>
                    </w:rPr>
                    <w:t>危险废物</w:t>
                  </w:r>
                </w:p>
              </w:tc>
              <w:tc>
                <w:tcPr>
                  <w:tcW w:w="606" w:type="pct"/>
                  <w:vAlign w:val="center"/>
                </w:tcPr>
                <w:p w14:paraId="53B101B8">
                  <w:pPr>
                    <w:keepNext w:val="0"/>
                    <w:keepLines w:val="0"/>
                    <w:pageBreakBefore w:val="0"/>
                    <w:widowControl w:val="0"/>
                    <w:kinsoku/>
                    <w:wordWrap/>
                    <w:overflowPunct/>
                    <w:topLinePunct w:val="0"/>
                    <w:autoSpaceDE/>
                    <w:autoSpaceDN/>
                    <w:bidi w:val="0"/>
                    <w:adjustRightInd w:val="0"/>
                    <w:snapToGrid/>
                    <w:spacing w:line="240" w:lineRule="auto"/>
                    <w:jc w:val="center"/>
                    <w:rPr>
                      <w:rFonts w:hint="default" w:ascii="Times New Roman" w:hAnsi="Times New Roman" w:eastAsia="宋体" w:cs="Times New Roman"/>
                      <w:i w:val="0"/>
                      <w:iCs w:val="0"/>
                      <w:color w:val="auto"/>
                      <w:sz w:val="21"/>
                      <w:szCs w:val="21"/>
                      <w:u w:val="none"/>
                      <w:lang w:val="en-US" w:eastAsia="zh-CN"/>
                    </w:rPr>
                  </w:pPr>
                  <w:r>
                    <w:rPr>
                      <w:rFonts w:hint="eastAsia" w:cs="Times New Roman"/>
                      <w:i w:val="0"/>
                      <w:iCs w:val="0"/>
                      <w:color w:val="auto"/>
                      <w:sz w:val="21"/>
                      <w:szCs w:val="21"/>
                      <w:u w:val="none"/>
                      <w:lang w:val="en-US" w:eastAsia="zh-CN"/>
                    </w:rPr>
                    <w:t>3000</w:t>
                  </w:r>
                </w:p>
              </w:tc>
              <w:tc>
                <w:tcPr>
                  <w:tcW w:w="727" w:type="pct"/>
                  <w:vAlign w:val="center"/>
                </w:tcPr>
                <w:p w14:paraId="046B5844">
                  <w:pPr>
                    <w:keepNext w:val="0"/>
                    <w:keepLines w:val="0"/>
                    <w:pageBreakBefore w:val="0"/>
                    <w:widowControl w:val="0"/>
                    <w:kinsoku/>
                    <w:wordWrap/>
                    <w:overflowPunct/>
                    <w:topLinePunct w:val="0"/>
                    <w:autoSpaceDE/>
                    <w:autoSpaceDN/>
                    <w:bidi w:val="0"/>
                    <w:adjustRightInd w:val="0"/>
                    <w:snapToGrid/>
                    <w:spacing w:line="240" w:lineRule="auto"/>
                    <w:jc w:val="center"/>
                    <w:rPr>
                      <w:rFonts w:hint="default" w:ascii="Times New Roman" w:hAnsi="Times New Roman" w:eastAsia="宋体" w:cs="Times New Roman"/>
                      <w:i w:val="0"/>
                      <w:iCs w:val="0"/>
                      <w:color w:val="auto"/>
                      <w:sz w:val="21"/>
                      <w:szCs w:val="21"/>
                      <w:u w:val="none"/>
                      <w:lang w:val="en-US" w:eastAsia="zh-CN"/>
                    </w:rPr>
                  </w:pPr>
                  <w:r>
                    <w:rPr>
                      <w:rFonts w:hint="eastAsia" w:cs="Times New Roman"/>
                      <w:i w:val="0"/>
                      <w:iCs w:val="0"/>
                      <w:color w:val="auto"/>
                      <w:sz w:val="21"/>
                      <w:szCs w:val="21"/>
                      <w:u w:val="none"/>
                      <w:lang w:val="en-US" w:eastAsia="zh-CN"/>
                    </w:rPr>
                    <w:t>3000</w:t>
                  </w:r>
                </w:p>
              </w:tc>
              <w:tc>
                <w:tcPr>
                  <w:tcW w:w="2417" w:type="pct"/>
                  <w:vAlign w:val="center"/>
                </w:tcPr>
                <w:p w14:paraId="0A06D3AA">
                  <w:pPr>
                    <w:keepNext w:val="0"/>
                    <w:keepLines w:val="0"/>
                    <w:pageBreakBefore w:val="0"/>
                    <w:widowControl w:val="0"/>
                    <w:kinsoku/>
                    <w:wordWrap/>
                    <w:overflowPunct/>
                    <w:topLinePunct w:val="0"/>
                    <w:autoSpaceDE/>
                    <w:autoSpaceDN/>
                    <w:bidi w:val="0"/>
                    <w:adjustRightInd w:val="0"/>
                    <w:snapToGrid/>
                    <w:spacing w:line="240" w:lineRule="auto"/>
                    <w:jc w:val="center"/>
                    <w:rPr>
                      <w:rFonts w:hint="default" w:ascii="Times New Roman" w:hAnsi="Times New Roman" w:eastAsia="宋体" w:cs="Times New Roman"/>
                      <w:i w:val="0"/>
                      <w:iCs w:val="0"/>
                      <w:color w:val="auto"/>
                      <w:sz w:val="21"/>
                      <w:szCs w:val="21"/>
                      <w:u w:val="none"/>
                      <w:lang w:val="en-US" w:eastAsia="zh-CN"/>
                    </w:rPr>
                  </w:pPr>
                  <w:r>
                    <w:rPr>
                      <w:rFonts w:hint="eastAsia" w:ascii="Times New Roman" w:hAnsi="Times New Roman" w:eastAsia="宋体" w:cs="Times New Roman"/>
                      <w:i w:val="0"/>
                      <w:iCs w:val="0"/>
                      <w:color w:val="auto"/>
                      <w:sz w:val="21"/>
                      <w:szCs w:val="21"/>
                      <w:u w:val="none"/>
                      <w:lang w:val="en-US" w:eastAsia="zh-CN"/>
                    </w:rPr>
                    <w:t>根据收集情况调整，</w:t>
                  </w:r>
                  <w:r>
                    <w:rPr>
                      <w:rFonts w:hint="eastAsia" w:cs="Times New Roman"/>
                      <w:i w:val="0"/>
                      <w:iCs w:val="0"/>
                      <w:color w:val="auto"/>
                      <w:sz w:val="21"/>
                      <w:szCs w:val="21"/>
                      <w:u w:val="none"/>
                      <w:lang w:val="en-US" w:eastAsia="zh-CN"/>
                    </w:rPr>
                    <w:t>贮存时间符合相关要求</w:t>
                  </w:r>
                </w:p>
              </w:tc>
            </w:tr>
          </w:tbl>
          <w:p w14:paraId="7536D7FB">
            <w:pPr>
              <w:keepNext w:val="0"/>
              <w:keepLines w:val="0"/>
              <w:pageBreakBefore w:val="0"/>
              <w:widowControl w:val="0"/>
              <w:kinsoku/>
              <w:wordWrap/>
              <w:overflowPunct/>
              <w:topLinePunct w:val="0"/>
              <w:autoSpaceDE/>
              <w:autoSpaceDN/>
              <w:bidi w:val="0"/>
              <w:adjustRightInd w:val="0"/>
              <w:snapToGrid/>
              <w:spacing w:line="360" w:lineRule="auto"/>
              <w:ind w:firstLine="480" w:firstLineChars="200"/>
              <w:textAlignment w:val="auto"/>
              <w:rPr>
                <w:rFonts w:hint="default" w:ascii="宋体" w:hAnsi="宋体" w:eastAsia="宋体" w:cs="宋体"/>
                <w:color w:val="auto"/>
                <w:sz w:val="24"/>
                <w:szCs w:val="24"/>
                <w:lang w:val="en-US" w:eastAsia="zh-CN"/>
              </w:rPr>
            </w:pPr>
            <w:r>
              <w:rPr>
                <w:rFonts w:hint="eastAsia" w:ascii="宋体" w:hAnsi="宋体" w:cs="宋体"/>
                <w:color w:val="auto"/>
                <w:sz w:val="24"/>
                <w:szCs w:val="24"/>
                <w:lang w:val="en-US" w:eastAsia="zh-CN"/>
              </w:rPr>
              <w:t>根据企业危险废物经营许可证，项目危险废物收集类别见下表：</w:t>
            </w:r>
          </w:p>
          <w:p w14:paraId="1808DF88">
            <w:pPr>
              <w:keepNext w:val="0"/>
              <w:keepLines w:val="0"/>
              <w:pageBreakBefore w:val="0"/>
              <w:widowControl w:val="0"/>
              <w:numPr>
                <w:ilvl w:val="0"/>
                <w:numId w:val="14"/>
              </w:numPr>
              <w:kinsoku/>
              <w:wordWrap/>
              <w:overflowPunct/>
              <w:topLinePunct w:val="0"/>
              <w:autoSpaceDE w:val="0"/>
              <w:autoSpaceDN w:val="0"/>
              <w:bidi w:val="0"/>
              <w:adjustRightInd w:val="0"/>
              <w:snapToGrid/>
              <w:spacing w:line="360" w:lineRule="auto"/>
              <w:ind w:left="3150" w:leftChars="0" w:hanging="3110" w:firstLineChars="0"/>
              <w:jc w:val="center"/>
              <w:textAlignment w:val="auto"/>
              <w:rPr>
                <w:rFonts w:hint="eastAsia" w:ascii="宋体" w:hAnsi="宋体" w:eastAsia="宋体" w:cs="宋体"/>
                <w:b/>
                <w:bCs/>
                <w:color w:val="auto"/>
                <w:kern w:val="0"/>
                <w:sz w:val="24"/>
                <w:szCs w:val="24"/>
                <w:lang w:val="en-US" w:eastAsia="zh-CN" w:bidi="ar"/>
              </w:rPr>
            </w:pPr>
            <w:r>
              <w:rPr>
                <w:rFonts w:hint="eastAsia" w:ascii="宋体" w:hAnsi="宋体" w:cs="宋体"/>
                <w:b/>
                <w:bCs/>
                <w:color w:val="auto"/>
                <w:kern w:val="0"/>
                <w:sz w:val="24"/>
                <w:szCs w:val="24"/>
                <w:lang w:val="en-US" w:eastAsia="zh-CN" w:bidi="ar"/>
              </w:rPr>
              <w:t>各危废存储情况</w:t>
            </w:r>
            <w:r>
              <w:rPr>
                <w:rFonts w:hint="eastAsia" w:ascii="宋体" w:hAnsi="宋体" w:eastAsia="宋体" w:cs="宋体"/>
                <w:b/>
                <w:bCs/>
                <w:color w:val="auto"/>
                <w:kern w:val="0"/>
                <w:sz w:val="24"/>
                <w:szCs w:val="24"/>
                <w:lang w:val="en-US" w:eastAsia="zh-CN" w:bidi="ar"/>
              </w:rPr>
              <w:t>一览表</w:t>
            </w:r>
          </w:p>
          <w:tbl>
            <w:tblPr>
              <w:tblStyle w:val="89"/>
              <w:tblW w:w="13000" w:type="dxa"/>
              <w:tblInd w:w="5" w:type="dxa"/>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Layout w:type="autofit"/>
              <w:tblCellMar>
                <w:top w:w="0" w:type="dxa"/>
                <w:left w:w="0" w:type="dxa"/>
                <w:bottom w:w="0" w:type="dxa"/>
                <w:right w:w="0" w:type="dxa"/>
              </w:tblCellMar>
            </w:tblPr>
            <w:tblGrid>
              <w:gridCol w:w="1096"/>
              <w:gridCol w:w="1134"/>
              <w:gridCol w:w="1233"/>
              <w:gridCol w:w="6222"/>
              <w:gridCol w:w="1005"/>
              <w:gridCol w:w="1140"/>
              <w:gridCol w:w="1170"/>
            </w:tblGrid>
            <w:tr w14:paraId="734B714D">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tcBorders>
                    <w:tl2br w:val="nil"/>
                    <w:tr2bl w:val="nil"/>
                  </w:tcBorders>
                  <w:vAlign w:val="center"/>
                </w:tcPr>
                <w:p w14:paraId="56621DFD">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废物类别</w:t>
                  </w:r>
                </w:p>
              </w:tc>
              <w:tc>
                <w:tcPr>
                  <w:tcW w:w="1134" w:type="dxa"/>
                  <w:tcBorders>
                    <w:tl2br w:val="nil"/>
                    <w:tr2bl w:val="nil"/>
                  </w:tcBorders>
                  <w:vAlign w:val="center"/>
                </w:tcPr>
                <w:p w14:paraId="5B80DA1F">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行业来源</w:t>
                  </w:r>
                </w:p>
              </w:tc>
              <w:tc>
                <w:tcPr>
                  <w:tcW w:w="1233" w:type="dxa"/>
                  <w:tcBorders>
                    <w:tl2br w:val="nil"/>
                    <w:tr2bl w:val="nil"/>
                  </w:tcBorders>
                  <w:vAlign w:val="center"/>
                </w:tcPr>
                <w:p w14:paraId="0D806A34">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废物代码</w:t>
                  </w:r>
                </w:p>
              </w:tc>
              <w:tc>
                <w:tcPr>
                  <w:tcW w:w="6222" w:type="dxa"/>
                  <w:tcBorders>
                    <w:tl2br w:val="nil"/>
                    <w:tr2bl w:val="nil"/>
                  </w:tcBorders>
                  <w:vAlign w:val="center"/>
                </w:tcPr>
                <w:p w14:paraId="7D895AB2">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危险废物</w:t>
                  </w:r>
                </w:p>
              </w:tc>
              <w:tc>
                <w:tcPr>
                  <w:tcW w:w="1005" w:type="dxa"/>
                  <w:tcBorders>
                    <w:tl2br w:val="nil"/>
                    <w:tr2bl w:val="nil"/>
                  </w:tcBorders>
                  <w:vAlign w:val="center"/>
                </w:tcPr>
                <w:p w14:paraId="2B6B0D00">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危险特性</w:t>
                  </w:r>
                </w:p>
              </w:tc>
              <w:tc>
                <w:tcPr>
                  <w:tcW w:w="1140" w:type="dxa"/>
                  <w:tcBorders>
                    <w:tl2br w:val="nil"/>
                    <w:tr2bl w:val="nil"/>
                  </w:tcBorders>
                  <w:vAlign w:val="center"/>
                </w:tcPr>
                <w:p w14:paraId="28A3064A">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性状</w:t>
                  </w:r>
                </w:p>
              </w:tc>
              <w:tc>
                <w:tcPr>
                  <w:tcW w:w="1170" w:type="dxa"/>
                  <w:tcBorders>
                    <w:tl2br w:val="nil"/>
                    <w:tr2bl w:val="nil"/>
                  </w:tcBorders>
                  <w:vAlign w:val="center"/>
                </w:tcPr>
                <w:p w14:paraId="4B1DCF59">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包装形式</w:t>
                  </w:r>
                </w:p>
              </w:tc>
            </w:tr>
            <w:tr w14:paraId="4112712B">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restart"/>
                  <w:tcBorders>
                    <w:tl2br w:val="nil"/>
                    <w:tr2bl w:val="nil"/>
                  </w:tcBorders>
                  <w:vAlign w:val="center"/>
                </w:tcPr>
                <w:p w14:paraId="55804DB6">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HW02</w:t>
                  </w:r>
                </w:p>
                <w:p w14:paraId="6E0B5648">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医药废物</w:t>
                  </w:r>
                </w:p>
              </w:tc>
              <w:tc>
                <w:tcPr>
                  <w:tcW w:w="1134" w:type="dxa"/>
                  <w:vMerge w:val="restart"/>
                  <w:tcBorders>
                    <w:tl2br w:val="nil"/>
                    <w:tr2bl w:val="nil"/>
                  </w:tcBorders>
                  <w:vAlign w:val="center"/>
                </w:tcPr>
                <w:p w14:paraId="557250C0">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化学药品</w:t>
                  </w:r>
                </w:p>
                <w:p w14:paraId="5AD0FEFB">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原料药制造</w:t>
                  </w:r>
                </w:p>
              </w:tc>
              <w:tc>
                <w:tcPr>
                  <w:tcW w:w="1233" w:type="dxa"/>
                  <w:tcBorders>
                    <w:tl2br w:val="nil"/>
                    <w:tr2bl w:val="nil"/>
                  </w:tcBorders>
                  <w:vAlign w:val="center"/>
                </w:tcPr>
                <w:p w14:paraId="69B9585E">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271-001-02</w:t>
                  </w:r>
                </w:p>
              </w:tc>
              <w:tc>
                <w:tcPr>
                  <w:tcW w:w="6222" w:type="dxa"/>
                  <w:tcBorders>
                    <w:tl2br w:val="nil"/>
                    <w:tr2bl w:val="nil"/>
                  </w:tcBorders>
                  <w:vAlign w:val="center"/>
                </w:tcPr>
                <w:p w14:paraId="5741E42F">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化学合成原料药生产过程中产生的蒸馏及反应残余物</w:t>
                  </w:r>
                </w:p>
              </w:tc>
              <w:tc>
                <w:tcPr>
                  <w:tcW w:w="1005" w:type="dxa"/>
                  <w:tcBorders>
                    <w:tl2br w:val="nil"/>
                    <w:tr2bl w:val="nil"/>
                  </w:tcBorders>
                  <w:vAlign w:val="center"/>
                </w:tcPr>
                <w:p w14:paraId="507C05DA">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w:t>
                  </w:r>
                </w:p>
              </w:tc>
              <w:tc>
                <w:tcPr>
                  <w:tcW w:w="1140" w:type="dxa"/>
                  <w:tcBorders>
                    <w:tl2br w:val="nil"/>
                    <w:tr2bl w:val="nil"/>
                  </w:tcBorders>
                  <w:vAlign w:val="center"/>
                </w:tcPr>
                <w:p w14:paraId="2C42FF0B">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lang w:val="en-US" w:eastAsia="zh-CN"/>
                    </w:rPr>
                  </w:pPr>
                  <w:r>
                    <w:rPr>
                      <w:rFonts w:hint="eastAsia" w:ascii="Times New Roman" w:hAnsi="Times New Roman" w:cs="Times New Roman"/>
                      <w:color w:val="auto"/>
                      <w:spacing w:val="0"/>
                      <w:sz w:val="21"/>
                      <w:szCs w:val="21"/>
                      <w:lang w:val="en-US" w:eastAsia="zh-CN"/>
                    </w:rPr>
                    <w:t>固态/液态</w:t>
                  </w:r>
                </w:p>
              </w:tc>
              <w:tc>
                <w:tcPr>
                  <w:tcW w:w="1170" w:type="dxa"/>
                  <w:tcBorders>
                    <w:tl2br w:val="nil"/>
                    <w:tr2bl w:val="nil"/>
                  </w:tcBorders>
                  <w:vAlign w:val="center"/>
                </w:tcPr>
                <w:p w14:paraId="513E10D0">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lang w:val="en-US" w:eastAsia="zh-CN"/>
                    </w:rPr>
                  </w:pPr>
                  <w:r>
                    <w:rPr>
                      <w:rFonts w:hint="eastAsia" w:ascii="Times New Roman" w:hAnsi="Times New Roman" w:cs="Times New Roman"/>
                      <w:color w:val="auto"/>
                      <w:spacing w:val="0"/>
                      <w:sz w:val="21"/>
                      <w:szCs w:val="21"/>
                      <w:lang w:val="en-US" w:eastAsia="zh-CN"/>
                    </w:rPr>
                    <w:t>袋装/桶装</w:t>
                  </w:r>
                </w:p>
              </w:tc>
            </w:tr>
            <w:tr w14:paraId="6903AE1D">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6BFAC015">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0C4156B0">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233" w:type="dxa"/>
                  <w:tcBorders>
                    <w:tl2br w:val="nil"/>
                    <w:tr2bl w:val="nil"/>
                  </w:tcBorders>
                  <w:vAlign w:val="center"/>
                </w:tcPr>
                <w:p w14:paraId="2BD01D4C">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271-002-02</w:t>
                  </w:r>
                </w:p>
              </w:tc>
              <w:tc>
                <w:tcPr>
                  <w:tcW w:w="6222" w:type="dxa"/>
                  <w:tcBorders>
                    <w:tl2br w:val="nil"/>
                    <w:tr2bl w:val="nil"/>
                  </w:tcBorders>
                  <w:vAlign w:val="center"/>
                </w:tcPr>
                <w:p w14:paraId="68B752D1">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化学合成原料药生产过程中产生的废母液及反应基废物</w:t>
                  </w:r>
                </w:p>
              </w:tc>
              <w:tc>
                <w:tcPr>
                  <w:tcW w:w="1005" w:type="dxa"/>
                  <w:tcBorders>
                    <w:tl2br w:val="nil"/>
                    <w:tr2bl w:val="nil"/>
                  </w:tcBorders>
                  <w:vAlign w:val="center"/>
                </w:tcPr>
                <w:p w14:paraId="6B441645">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w:t>
                  </w:r>
                </w:p>
              </w:tc>
              <w:tc>
                <w:tcPr>
                  <w:tcW w:w="1140" w:type="dxa"/>
                  <w:tcBorders>
                    <w:tl2br w:val="nil"/>
                    <w:tr2bl w:val="nil"/>
                  </w:tcBorders>
                  <w:vAlign w:val="center"/>
                </w:tcPr>
                <w:p w14:paraId="6D4BEA0A">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eastAsia" w:ascii="Times New Roman" w:hAnsi="Times New Roman" w:eastAsia="宋体" w:cs="Times New Roman"/>
                      <w:color w:val="auto"/>
                      <w:spacing w:val="0"/>
                      <w:sz w:val="21"/>
                      <w:szCs w:val="21"/>
                      <w:lang w:val="en-US" w:eastAsia="zh-CN"/>
                    </w:rPr>
                  </w:pPr>
                  <w:r>
                    <w:rPr>
                      <w:rFonts w:hint="eastAsia" w:ascii="Times New Roman" w:hAnsi="Times New Roman" w:cs="Times New Roman"/>
                      <w:color w:val="auto"/>
                      <w:spacing w:val="0"/>
                      <w:sz w:val="21"/>
                      <w:szCs w:val="21"/>
                      <w:lang w:val="en-US" w:eastAsia="zh-CN"/>
                    </w:rPr>
                    <w:t>液态</w:t>
                  </w:r>
                </w:p>
              </w:tc>
              <w:tc>
                <w:tcPr>
                  <w:tcW w:w="1170" w:type="dxa"/>
                  <w:tcBorders>
                    <w:tl2br w:val="nil"/>
                    <w:tr2bl w:val="nil"/>
                  </w:tcBorders>
                  <w:vAlign w:val="center"/>
                </w:tcPr>
                <w:p w14:paraId="77F6217D">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eastAsia" w:ascii="Times New Roman" w:hAnsi="Times New Roman" w:eastAsia="宋体" w:cs="Times New Roman"/>
                      <w:color w:val="auto"/>
                      <w:spacing w:val="0"/>
                      <w:sz w:val="21"/>
                      <w:szCs w:val="21"/>
                      <w:lang w:val="en-US" w:eastAsia="zh-CN"/>
                    </w:rPr>
                  </w:pPr>
                  <w:r>
                    <w:rPr>
                      <w:rFonts w:hint="eastAsia" w:ascii="Times New Roman" w:hAnsi="Times New Roman" w:cs="Times New Roman"/>
                      <w:color w:val="auto"/>
                      <w:spacing w:val="0"/>
                      <w:sz w:val="21"/>
                      <w:szCs w:val="21"/>
                      <w:lang w:val="en-US" w:eastAsia="zh-CN"/>
                    </w:rPr>
                    <w:t>桶装</w:t>
                  </w:r>
                </w:p>
              </w:tc>
            </w:tr>
            <w:tr w14:paraId="03C73AF8">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55EF2C69">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6EA156BB">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233" w:type="dxa"/>
                  <w:tcBorders>
                    <w:tl2br w:val="nil"/>
                    <w:tr2bl w:val="nil"/>
                  </w:tcBorders>
                  <w:vAlign w:val="center"/>
                </w:tcPr>
                <w:p w14:paraId="7600A038">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271-003-02</w:t>
                  </w:r>
                </w:p>
              </w:tc>
              <w:tc>
                <w:tcPr>
                  <w:tcW w:w="6222" w:type="dxa"/>
                  <w:tcBorders>
                    <w:tl2br w:val="nil"/>
                    <w:tr2bl w:val="nil"/>
                  </w:tcBorders>
                  <w:vAlign w:val="center"/>
                </w:tcPr>
                <w:p w14:paraId="14A68388">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化学合成原料药生产过程中产生的废脱色过滤介质</w:t>
                  </w:r>
                </w:p>
              </w:tc>
              <w:tc>
                <w:tcPr>
                  <w:tcW w:w="1005" w:type="dxa"/>
                  <w:tcBorders>
                    <w:tl2br w:val="nil"/>
                    <w:tr2bl w:val="nil"/>
                  </w:tcBorders>
                  <w:vAlign w:val="center"/>
                </w:tcPr>
                <w:p w14:paraId="01815D9A">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w:t>
                  </w:r>
                </w:p>
              </w:tc>
              <w:tc>
                <w:tcPr>
                  <w:tcW w:w="1140" w:type="dxa"/>
                  <w:tcBorders>
                    <w:tl2br w:val="nil"/>
                    <w:tr2bl w:val="nil"/>
                  </w:tcBorders>
                  <w:vAlign w:val="center"/>
                </w:tcPr>
                <w:p w14:paraId="35E86892">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eastAsia" w:ascii="Times New Roman" w:hAnsi="Times New Roman" w:eastAsia="宋体" w:cs="Times New Roman"/>
                      <w:color w:val="auto"/>
                      <w:spacing w:val="0"/>
                      <w:sz w:val="21"/>
                      <w:szCs w:val="21"/>
                      <w:lang w:val="en-US" w:eastAsia="zh-CN"/>
                    </w:rPr>
                  </w:pPr>
                  <w:r>
                    <w:rPr>
                      <w:rFonts w:hint="eastAsia" w:ascii="Times New Roman" w:hAnsi="Times New Roman" w:cs="Times New Roman"/>
                      <w:color w:val="auto"/>
                      <w:spacing w:val="0"/>
                      <w:sz w:val="21"/>
                      <w:szCs w:val="21"/>
                      <w:lang w:val="en-US" w:eastAsia="zh-CN"/>
                    </w:rPr>
                    <w:t>固态</w:t>
                  </w:r>
                </w:p>
              </w:tc>
              <w:tc>
                <w:tcPr>
                  <w:tcW w:w="1170" w:type="dxa"/>
                  <w:tcBorders>
                    <w:tl2br w:val="nil"/>
                    <w:tr2bl w:val="nil"/>
                  </w:tcBorders>
                  <w:vAlign w:val="center"/>
                </w:tcPr>
                <w:p w14:paraId="3AE9C009">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eastAsia" w:ascii="Times New Roman" w:hAnsi="Times New Roman" w:eastAsia="宋体" w:cs="Times New Roman"/>
                      <w:color w:val="auto"/>
                      <w:spacing w:val="0"/>
                      <w:sz w:val="21"/>
                      <w:szCs w:val="21"/>
                      <w:lang w:val="en-US" w:eastAsia="zh-CN"/>
                    </w:rPr>
                  </w:pPr>
                  <w:r>
                    <w:rPr>
                      <w:rFonts w:hint="eastAsia" w:ascii="Times New Roman" w:hAnsi="Times New Roman" w:cs="Times New Roman"/>
                      <w:color w:val="auto"/>
                      <w:spacing w:val="0"/>
                      <w:sz w:val="21"/>
                      <w:szCs w:val="21"/>
                      <w:lang w:val="en-US" w:eastAsia="zh-CN"/>
                    </w:rPr>
                    <w:t>袋装</w:t>
                  </w:r>
                </w:p>
              </w:tc>
            </w:tr>
            <w:tr w14:paraId="425A0C99">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3C60D4C2">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2496A93D">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233" w:type="dxa"/>
                  <w:tcBorders>
                    <w:tl2br w:val="nil"/>
                    <w:tr2bl w:val="nil"/>
                  </w:tcBorders>
                  <w:vAlign w:val="center"/>
                </w:tcPr>
                <w:p w14:paraId="2CC421B7">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271-004-02</w:t>
                  </w:r>
                </w:p>
              </w:tc>
              <w:tc>
                <w:tcPr>
                  <w:tcW w:w="6222" w:type="dxa"/>
                  <w:tcBorders>
                    <w:tl2br w:val="nil"/>
                    <w:tr2bl w:val="nil"/>
                  </w:tcBorders>
                  <w:vAlign w:val="center"/>
                </w:tcPr>
                <w:p w14:paraId="66E6D74C">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化学合成原料药生产过程中产生的废吸附剂</w:t>
                  </w:r>
                </w:p>
              </w:tc>
              <w:tc>
                <w:tcPr>
                  <w:tcW w:w="1005" w:type="dxa"/>
                  <w:tcBorders>
                    <w:tl2br w:val="nil"/>
                    <w:tr2bl w:val="nil"/>
                  </w:tcBorders>
                  <w:vAlign w:val="center"/>
                </w:tcPr>
                <w:p w14:paraId="72F7E703">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w:t>
                  </w:r>
                </w:p>
              </w:tc>
              <w:tc>
                <w:tcPr>
                  <w:tcW w:w="1140" w:type="dxa"/>
                  <w:tcBorders>
                    <w:tl2br w:val="nil"/>
                    <w:tr2bl w:val="nil"/>
                  </w:tcBorders>
                  <w:vAlign w:val="center"/>
                </w:tcPr>
                <w:p w14:paraId="3BFD44D8">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固态/液态</w:t>
                  </w:r>
                </w:p>
              </w:tc>
              <w:tc>
                <w:tcPr>
                  <w:tcW w:w="1170" w:type="dxa"/>
                  <w:tcBorders>
                    <w:tl2br w:val="nil"/>
                    <w:tr2bl w:val="nil"/>
                  </w:tcBorders>
                  <w:vAlign w:val="center"/>
                </w:tcPr>
                <w:p w14:paraId="292FA017">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袋装/桶装</w:t>
                  </w:r>
                </w:p>
              </w:tc>
            </w:tr>
            <w:tr w14:paraId="2160F173">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6E1FC99E">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0F7C25E4">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233" w:type="dxa"/>
                  <w:tcBorders>
                    <w:tl2br w:val="nil"/>
                    <w:tr2bl w:val="nil"/>
                  </w:tcBorders>
                  <w:vAlign w:val="center"/>
                </w:tcPr>
                <w:p w14:paraId="283115E1">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271-005-02</w:t>
                  </w:r>
                </w:p>
              </w:tc>
              <w:tc>
                <w:tcPr>
                  <w:tcW w:w="6222" w:type="dxa"/>
                  <w:tcBorders>
                    <w:tl2br w:val="nil"/>
                    <w:tr2bl w:val="nil"/>
                  </w:tcBorders>
                  <w:vAlign w:val="center"/>
                </w:tcPr>
                <w:p w14:paraId="313B5ABD">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化学合成原料药生产过程中的废弃产品及中间体</w:t>
                  </w:r>
                </w:p>
              </w:tc>
              <w:tc>
                <w:tcPr>
                  <w:tcW w:w="1005" w:type="dxa"/>
                  <w:tcBorders>
                    <w:tl2br w:val="nil"/>
                    <w:tr2bl w:val="nil"/>
                  </w:tcBorders>
                  <w:vAlign w:val="center"/>
                </w:tcPr>
                <w:p w14:paraId="469A081D">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w:t>
                  </w:r>
                </w:p>
              </w:tc>
              <w:tc>
                <w:tcPr>
                  <w:tcW w:w="1140" w:type="dxa"/>
                  <w:tcBorders>
                    <w:tl2br w:val="nil"/>
                    <w:tr2bl w:val="nil"/>
                  </w:tcBorders>
                  <w:vAlign w:val="center"/>
                </w:tcPr>
                <w:p w14:paraId="6FDDD124">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固态/液态</w:t>
                  </w:r>
                </w:p>
              </w:tc>
              <w:tc>
                <w:tcPr>
                  <w:tcW w:w="1170" w:type="dxa"/>
                  <w:tcBorders>
                    <w:tl2br w:val="nil"/>
                    <w:tr2bl w:val="nil"/>
                  </w:tcBorders>
                  <w:vAlign w:val="center"/>
                </w:tcPr>
                <w:p w14:paraId="61B35945">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袋装/桶装</w:t>
                  </w:r>
                </w:p>
              </w:tc>
            </w:tr>
            <w:tr w14:paraId="7772DCB1">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51F7E7F4">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tcBorders>
                    <w:tl2br w:val="nil"/>
                    <w:tr2bl w:val="nil"/>
                  </w:tcBorders>
                  <w:vAlign w:val="center"/>
                </w:tcPr>
                <w:p w14:paraId="06D33F2A">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化学药品</w:t>
                  </w:r>
                </w:p>
                <w:p w14:paraId="7554912E">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制剂制造</w:t>
                  </w:r>
                </w:p>
              </w:tc>
              <w:tc>
                <w:tcPr>
                  <w:tcW w:w="1233" w:type="dxa"/>
                  <w:tcBorders>
                    <w:tl2br w:val="nil"/>
                    <w:tr2bl w:val="nil"/>
                  </w:tcBorders>
                  <w:shd w:val="clear" w:color="auto" w:fill="auto"/>
                  <w:vAlign w:val="center"/>
                </w:tcPr>
                <w:p w14:paraId="4CD55F31">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color w:val="auto"/>
                      <w:spacing w:val="0"/>
                      <w:sz w:val="21"/>
                      <w:szCs w:val="21"/>
                    </w:rPr>
                    <w:t>272-005-02</w:t>
                  </w:r>
                </w:p>
              </w:tc>
              <w:tc>
                <w:tcPr>
                  <w:tcW w:w="6222" w:type="dxa"/>
                  <w:tcBorders>
                    <w:tl2br w:val="nil"/>
                    <w:tr2bl w:val="nil"/>
                  </w:tcBorders>
                  <w:shd w:val="clear" w:color="auto" w:fill="auto"/>
                  <w:vAlign w:val="center"/>
                </w:tcPr>
                <w:p w14:paraId="46AE6721">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color w:val="auto"/>
                      <w:spacing w:val="0"/>
                      <w:sz w:val="21"/>
                      <w:szCs w:val="21"/>
                    </w:rPr>
                    <w:t>化学药品制剂生产过程中产生的废弃产品及原料药</w:t>
                  </w:r>
                </w:p>
              </w:tc>
              <w:tc>
                <w:tcPr>
                  <w:tcW w:w="1005" w:type="dxa"/>
                  <w:tcBorders>
                    <w:tl2br w:val="nil"/>
                    <w:tr2bl w:val="nil"/>
                  </w:tcBorders>
                  <w:shd w:val="clear" w:color="auto" w:fill="auto"/>
                  <w:vAlign w:val="center"/>
                </w:tcPr>
                <w:p w14:paraId="19036CAB">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color w:val="auto"/>
                      <w:spacing w:val="0"/>
                      <w:sz w:val="21"/>
                      <w:szCs w:val="21"/>
                    </w:rPr>
                    <w:t>T</w:t>
                  </w:r>
                </w:p>
              </w:tc>
              <w:tc>
                <w:tcPr>
                  <w:tcW w:w="1140" w:type="dxa"/>
                  <w:tcBorders>
                    <w:tl2br w:val="nil"/>
                    <w:tr2bl w:val="nil"/>
                  </w:tcBorders>
                  <w:shd w:val="clear" w:color="auto" w:fill="auto"/>
                  <w:vAlign w:val="center"/>
                </w:tcPr>
                <w:p w14:paraId="17C86744">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固态/液态</w:t>
                  </w:r>
                </w:p>
              </w:tc>
              <w:tc>
                <w:tcPr>
                  <w:tcW w:w="1170" w:type="dxa"/>
                  <w:tcBorders>
                    <w:tl2br w:val="nil"/>
                    <w:tr2bl w:val="nil"/>
                  </w:tcBorders>
                  <w:shd w:val="clear" w:color="auto" w:fill="auto"/>
                  <w:vAlign w:val="center"/>
                </w:tcPr>
                <w:p w14:paraId="1AA9C626">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袋装/桶装</w:t>
                  </w:r>
                </w:p>
              </w:tc>
            </w:tr>
            <w:tr w14:paraId="28084117">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4600F5BA">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tcBorders>
                    <w:tl2br w:val="nil"/>
                    <w:tr2bl w:val="nil"/>
                  </w:tcBorders>
                  <w:vAlign w:val="center"/>
                </w:tcPr>
                <w:p w14:paraId="5164F253">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兽用药品</w:t>
                  </w:r>
                </w:p>
                <w:p w14:paraId="1698EDEF">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制造</w:t>
                  </w:r>
                </w:p>
              </w:tc>
              <w:tc>
                <w:tcPr>
                  <w:tcW w:w="1233" w:type="dxa"/>
                  <w:tcBorders>
                    <w:tl2br w:val="nil"/>
                    <w:tr2bl w:val="nil"/>
                  </w:tcBorders>
                  <w:shd w:val="clear" w:color="auto" w:fill="auto"/>
                  <w:vAlign w:val="center"/>
                </w:tcPr>
                <w:p w14:paraId="09A971BA">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color w:val="auto"/>
                      <w:spacing w:val="0"/>
                      <w:sz w:val="21"/>
                      <w:szCs w:val="21"/>
                    </w:rPr>
                    <w:t>275-008-02</w:t>
                  </w:r>
                </w:p>
              </w:tc>
              <w:tc>
                <w:tcPr>
                  <w:tcW w:w="6222" w:type="dxa"/>
                  <w:tcBorders>
                    <w:tl2br w:val="nil"/>
                    <w:tr2bl w:val="nil"/>
                  </w:tcBorders>
                  <w:shd w:val="clear" w:color="auto" w:fill="auto"/>
                  <w:vAlign w:val="center"/>
                </w:tcPr>
                <w:p w14:paraId="04A1908E">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color w:val="auto"/>
                      <w:spacing w:val="0"/>
                      <w:sz w:val="21"/>
                      <w:szCs w:val="21"/>
                    </w:rPr>
                    <w:t>兽药生产过程中产生的废弃产品及原料药</w:t>
                  </w:r>
                </w:p>
              </w:tc>
              <w:tc>
                <w:tcPr>
                  <w:tcW w:w="1005" w:type="dxa"/>
                  <w:tcBorders>
                    <w:tl2br w:val="nil"/>
                    <w:tr2bl w:val="nil"/>
                  </w:tcBorders>
                  <w:shd w:val="clear" w:color="auto" w:fill="auto"/>
                  <w:vAlign w:val="center"/>
                </w:tcPr>
                <w:p w14:paraId="3381936B">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color w:val="auto"/>
                      <w:spacing w:val="0"/>
                      <w:sz w:val="21"/>
                      <w:szCs w:val="21"/>
                    </w:rPr>
                    <w:t>T</w:t>
                  </w:r>
                </w:p>
              </w:tc>
              <w:tc>
                <w:tcPr>
                  <w:tcW w:w="1140" w:type="dxa"/>
                  <w:tcBorders>
                    <w:tl2br w:val="nil"/>
                    <w:tr2bl w:val="nil"/>
                  </w:tcBorders>
                  <w:shd w:val="clear" w:color="auto" w:fill="auto"/>
                  <w:vAlign w:val="center"/>
                </w:tcPr>
                <w:p w14:paraId="4E1CC5FD">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固态/液态</w:t>
                  </w:r>
                </w:p>
              </w:tc>
              <w:tc>
                <w:tcPr>
                  <w:tcW w:w="1170" w:type="dxa"/>
                  <w:tcBorders>
                    <w:tl2br w:val="nil"/>
                    <w:tr2bl w:val="nil"/>
                  </w:tcBorders>
                  <w:shd w:val="clear" w:color="auto" w:fill="auto"/>
                  <w:vAlign w:val="center"/>
                </w:tcPr>
                <w:p w14:paraId="2D9565C7">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袋装/桶装</w:t>
                  </w:r>
                </w:p>
              </w:tc>
            </w:tr>
            <w:tr w14:paraId="5C2669D4">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73B54C34">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restart"/>
                  <w:tcBorders>
                    <w:tl2br w:val="nil"/>
                    <w:tr2bl w:val="nil"/>
                  </w:tcBorders>
                  <w:vAlign w:val="center"/>
                </w:tcPr>
                <w:p w14:paraId="72E968DD">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生物药品</w:t>
                  </w:r>
                </w:p>
                <w:p w14:paraId="1127C175">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制品制造</w:t>
                  </w:r>
                </w:p>
              </w:tc>
              <w:tc>
                <w:tcPr>
                  <w:tcW w:w="1233" w:type="dxa"/>
                  <w:tcBorders>
                    <w:tl2br w:val="nil"/>
                    <w:tr2bl w:val="nil"/>
                  </w:tcBorders>
                  <w:shd w:val="clear" w:color="auto" w:fill="auto"/>
                  <w:vAlign w:val="center"/>
                </w:tcPr>
                <w:p w14:paraId="4216E99D">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color w:val="auto"/>
                      <w:spacing w:val="0"/>
                      <w:sz w:val="21"/>
                      <w:szCs w:val="21"/>
                    </w:rPr>
                    <w:t>276-003-02</w:t>
                  </w:r>
                </w:p>
              </w:tc>
              <w:tc>
                <w:tcPr>
                  <w:tcW w:w="6222" w:type="dxa"/>
                  <w:tcBorders>
                    <w:tl2br w:val="nil"/>
                    <w:tr2bl w:val="nil"/>
                  </w:tcBorders>
                  <w:shd w:val="clear" w:color="auto" w:fill="auto"/>
                  <w:vAlign w:val="center"/>
                </w:tcPr>
                <w:p w14:paraId="0F7DC2C9">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color w:val="auto"/>
                      <w:spacing w:val="-6"/>
                      <w:sz w:val="21"/>
                      <w:szCs w:val="21"/>
                    </w:rPr>
                    <w:t>利用生物技术生产生物化学药品、基因工程药物（不包括利用生物技术合成氨基酸、维生素、他汀类降脂药物、降糖类药物）过程中产生的废脱色过滤介质</w:t>
                  </w:r>
                </w:p>
              </w:tc>
              <w:tc>
                <w:tcPr>
                  <w:tcW w:w="1005" w:type="dxa"/>
                  <w:tcBorders>
                    <w:tl2br w:val="nil"/>
                    <w:tr2bl w:val="nil"/>
                  </w:tcBorders>
                  <w:shd w:val="clear" w:color="auto" w:fill="auto"/>
                  <w:vAlign w:val="center"/>
                </w:tcPr>
                <w:p w14:paraId="00BA2698">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color w:val="auto"/>
                      <w:spacing w:val="0"/>
                      <w:sz w:val="21"/>
                      <w:szCs w:val="21"/>
                    </w:rPr>
                    <w:t>T</w:t>
                  </w:r>
                </w:p>
              </w:tc>
              <w:tc>
                <w:tcPr>
                  <w:tcW w:w="1140" w:type="dxa"/>
                  <w:tcBorders>
                    <w:tl2br w:val="nil"/>
                    <w:tr2bl w:val="nil"/>
                  </w:tcBorders>
                  <w:shd w:val="clear" w:color="auto" w:fill="auto"/>
                  <w:vAlign w:val="center"/>
                </w:tcPr>
                <w:p w14:paraId="7468EEF9">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固态/液态</w:t>
                  </w:r>
                </w:p>
              </w:tc>
              <w:tc>
                <w:tcPr>
                  <w:tcW w:w="1170" w:type="dxa"/>
                  <w:tcBorders>
                    <w:tl2br w:val="nil"/>
                    <w:tr2bl w:val="nil"/>
                  </w:tcBorders>
                  <w:shd w:val="clear" w:color="auto" w:fill="auto"/>
                  <w:vAlign w:val="center"/>
                </w:tcPr>
                <w:p w14:paraId="2FB6C0CD">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袋装/桶装</w:t>
                  </w:r>
                </w:p>
              </w:tc>
            </w:tr>
            <w:tr w14:paraId="2D67D0E1">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4483C3D1">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63E28303">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233" w:type="dxa"/>
                  <w:tcBorders>
                    <w:tl2br w:val="nil"/>
                    <w:tr2bl w:val="nil"/>
                  </w:tcBorders>
                  <w:shd w:val="clear" w:color="auto" w:fill="auto"/>
                  <w:vAlign w:val="center"/>
                </w:tcPr>
                <w:p w14:paraId="7C770BF4">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color w:val="auto"/>
                      <w:spacing w:val="0"/>
                      <w:sz w:val="21"/>
                      <w:szCs w:val="21"/>
                    </w:rPr>
                    <w:t>276-004-02</w:t>
                  </w:r>
                </w:p>
              </w:tc>
              <w:tc>
                <w:tcPr>
                  <w:tcW w:w="6222" w:type="dxa"/>
                  <w:tcBorders>
                    <w:tl2br w:val="nil"/>
                    <w:tr2bl w:val="nil"/>
                  </w:tcBorders>
                  <w:shd w:val="clear" w:color="auto" w:fill="auto"/>
                  <w:vAlign w:val="center"/>
                </w:tcPr>
                <w:p w14:paraId="13F9DB86">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color w:val="auto"/>
                      <w:spacing w:val="0"/>
                      <w:sz w:val="21"/>
                      <w:szCs w:val="21"/>
                    </w:rPr>
                    <w:t>利用生物技术生产生物化学药品、基因工程药物过程中产生的废吸附剂</w:t>
                  </w:r>
                </w:p>
              </w:tc>
              <w:tc>
                <w:tcPr>
                  <w:tcW w:w="1005" w:type="dxa"/>
                  <w:tcBorders>
                    <w:tl2br w:val="nil"/>
                    <w:tr2bl w:val="nil"/>
                  </w:tcBorders>
                  <w:shd w:val="clear" w:color="auto" w:fill="auto"/>
                  <w:vAlign w:val="center"/>
                </w:tcPr>
                <w:p w14:paraId="46DDEE2E">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color w:val="auto"/>
                      <w:spacing w:val="0"/>
                      <w:sz w:val="21"/>
                      <w:szCs w:val="21"/>
                    </w:rPr>
                    <w:t>T</w:t>
                  </w:r>
                </w:p>
              </w:tc>
              <w:tc>
                <w:tcPr>
                  <w:tcW w:w="1140" w:type="dxa"/>
                  <w:tcBorders>
                    <w:tl2br w:val="nil"/>
                    <w:tr2bl w:val="nil"/>
                  </w:tcBorders>
                  <w:shd w:val="clear" w:color="auto" w:fill="auto"/>
                  <w:vAlign w:val="center"/>
                </w:tcPr>
                <w:p w14:paraId="54D7A18D">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固态/液态</w:t>
                  </w:r>
                </w:p>
              </w:tc>
              <w:tc>
                <w:tcPr>
                  <w:tcW w:w="1170" w:type="dxa"/>
                  <w:tcBorders>
                    <w:tl2br w:val="nil"/>
                    <w:tr2bl w:val="nil"/>
                  </w:tcBorders>
                  <w:shd w:val="clear" w:color="auto" w:fill="auto"/>
                  <w:vAlign w:val="center"/>
                </w:tcPr>
                <w:p w14:paraId="073EEC8C">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袋装/桶装</w:t>
                  </w:r>
                </w:p>
              </w:tc>
            </w:tr>
            <w:tr w14:paraId="6FBDD2D4">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09689DAA">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7BD1DAE5">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233" w:type="dxa"/>
                  <w:tcBorders>
                    <w:tl2br w:val="nil"/>
                    <w:tr2bl w:val="nil"/>
                  </w:tcBorders>
                  <w:shd w:val="clear" w:color="auto" w:fill="auto"/>
                  <w:vAlign w:val="center"/>
                </w:tcPr>
                <w:p w14:paraId="5E8409D6">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color w:val="auto"/>
                      <w:spacing w:val="0"/>
                      <w:sz w:val="21"/>
                      <w:szCs w:val="21"/>
                    </w:rPr>
                    <w:t>276-005-02</w:t>
                  </w:r>
                </w:p>
              </w:tc>
              <w:tc>
                <w:tcPr>
                  <w:tcW w:w="6222" w:type="dxa"/>
                  <w:tcBorders>
                    <w:tl2br w:val="nil"/>
                    <w:tr2bl w:val="nil"/>
                  </w:tcBorders>
                  <w:shd w:val="clear" w:color="auto" w:fill="auto"/>
                  <w:vAlign w:val="center"/>
                </w:tcPr>
                <w:p w14:paraId="20624338">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color w:val="auto"/>
                      <w:spacing w:val="0"/>
                      <w:sz w:val="21"/>
                      <w:szCs w:val="21"/>
                    </w:rPr>
                    <w:t>利用生物技术生产生物化学药品、基因工程药物过程中产生的废弃产品、原料药和中间体</w:t>
                  </w:r>
                </w:p>
              </w:tc>
              <w:tc>
                <w:tcPr>
                  <w:tcW w:w="1005" w:type="dxa"/>
                  <w:tcBorders>
                    <w:tl2br w:val="nil"/>
                    <w:tr2bl w:val="nil"/>
                  </w:tcBorders>
                  <w:shd w:val="clear" w:color="auto" w:fill="auto"/>
                  <w:vAlign w:val="center"/>
                </w:tcPr>
                <w:p w14:paraId="42344CBF">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color w:val="auto"/>
                      <w:spacing w:val="0"/>
                      <w:sz w:val="21"/>
                      <w:szCs w:val="21"/>
                    </w:rPr>
                    <w:t>T</w:t>
                  </w:r>
                </w:p>
              </w:tc>
              <w:tc>
                <w:tcPr>
                  <w:tcW w:w="1140" w:type="dxa"/>
                  <w:tcBorders>
                    <w:tl2br w:val="nil"/>
                    <w:tr2bl w:val="nil"/>
                  </w:tcBorders>
                  <w:shd w:val="clear" w:color="auto" w:fill="auto"/>
                  <w:vAlign w:val="center"/>
                </w:tcPr>
                <w:p w14:paraId="1CE9B2D7">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固态/液态</w:t>
                  </w:r>
                </w:p>
              </w:tc>
              <w:tc>
                <w:tcPr>
                  <w:tcW w:w="1170" w:type="dxa"/>
                  <w:tcBorders>
                    <w:tl2br w:val="nil"/>
                    <w:tr2bl w:val="nil"/>
                  </w:tcBorders>
                  <w:shd w:val="clear" w:color="auto" w:fill="auto"/>
                  <w:vAlign w:val="center"/>
                </w:tcPr>
                <w:p w14:paraId="088F13AE">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袋装/桶装</w:t>
                  </w:r>
                </w:p>
              </w:tc>
            </w:tr>
            <w:tr w14:paraId="2F173DF2">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tcBorders>
                    <w:tl2br w:val="nil"/>
                    <w:tr2bl w:val="nil"/>
                  </w:tcBorders>
                  <w:vAlign w:val="center"/>
                </w:tcPr>
                <w:p w14:paraId="3D649A79">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HW03</w:t>
                  </w:r>
                </w:p>
                <w:p w14:paraId="5694E108">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废药物、药品</w:t>
                  </w:r>
                </w:p>
              </w:tc>
              <w:tc>
                <w:tcPr>
                  <w:tcW w:w="1134" w:type="dxa"/>
                  <w:tcBorders>
                    <w:tl2br w:val="nil"/>
                    <w:tr2bl w:val="nil"/>
                  </w:tcBorders>
                  <w:vAlign w:val="center"/>
                </w:tcPr>
                <w:p w14:paraId="41B1DA32">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6"/>
                      <w:sz w:val="21"/>
                      <w:szCs w:val="21"/>
                    </w:rPr>
                    <w:t>非特定行业</w:t>
                  </w:r>
                </w:p>
              </w:tc>
              <w:tc>
                <w:tcPr>
                  <w:tcW w:w="1233" w:type="dxa"/>
                  <w:tcBorders>
                    <w:tl2br w:val="nil"/>
                    <w:tr2bl w:val="nil"/>
                  </w:tcBorders>
                  <w:vAlign w:val="center"/>
                </w:tcPr>
                <w:p w14:paraId="69BF5988">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900-002-03</w:t>
                  </w:r>
                </w:p>
              </w:tc>
              <w:tc>
                <w:tcPr>
                  <w:tcW w:w="6222" w:type="dxa"/>
                  <w:tcBorders>
                    <w:tl2br w:val="nil"/>
                    <w:tr2bl w:val="nil"/>
                  </w:tcBorders>
                  <w:vAlign w:val="center"/>
                </w:tcPr>
                <w:p w14:paraId="3067DE14">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6"/>
                      <w:sz w:val="21"/>
                      <w:szCs w:val="21"/>
                    </w:rPr>
                    <w:t>销售及使用过程中产生的失效、变质、不合格、淘汰、伪劣的化学药品和生物制品（不包括列入《国家基本药物目录》中的维生素、矿物质类药，调节水、电解质及酸碱平衡药），以及《医疗用毒性药品管理办法》中所列的毒性中药</w:t>
                  </w:r>
                </w:p>
              </w:tc>
              <w:tc>
                <w:tcPr>
                  <w:tcW w:w="1005" w:type="dxa"/>
                  <w:tcBorders>
                    <w:tl2br w:val="nil"/>
                    <w:tr2bl w:val="nil"/>
                  </w:tcBorders>
                  <w:vAlign w:val="center"/>
                </w:tcPr>
                <w:p w14:paraId="2CE3FE68">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w:t>
                  </w:r>
                </w:p>
              </w:tc>
              <w:tc>
                <w:tcPr>
                  <w:tcW w:w="1140" w:type="dxa"/>
                  <w:tcBorders>
                    <w:tl2br w:val="nil"/>
                    <w:tr2bl w:val="nil"/>
                  </w:tcBorders>
                  <w:vAlign w:val="center"/>
                </w:tcPr>
                <w:p w14:paraId="325EF20D">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固态/液态</w:t>
                  </w:r>
                </w:p>
              </w:tc>
              <w:tc>
                <w:tcPr>
                  <w:tcW w:w="1170" w:type="dxa"/>
                  <w:tcBorders>
                    <w:tl2br w:val="nil"/>
                    <w:tr2bl w:val="nil"/>
                  </w:tcBorders>
                  <w:vAlign w:val="center"/>
                </w:tcPr>
                <w:p w14:paraId="18959266">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袋装/桶装</w:t>
                  </w:r>
                </w:p>
              </w:tc>
            </w:tr>
            <w:tr w14:paraId="7A0CB891">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restart"/>
                  <w:tcBorders>
                    <w:tl2br w:val="nil"/>
                    <w:tr2bl w:val="nil"/>
                  </w:tcBorders>
                  <w:vAlign w:val="center"/>
                </w:tcPr>
                <w:p w14:paraId="0159E9AC">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HW04</w:t>
                  </w:r>
                </w:p>
                <w:p w14:paraId="329B31C9">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农药废物</w:t>
                  </w:r>
                </w:p>
              </w:tc>
              <w:tc>
                <w:tcPr>
                  <w:tcW w:w="1134" w:type="dxa"/>
                  <w:vMerge w:val="restart"/>
                  <w:tcBorders>
                    <w:tl2br w:val="nil"/>
                    <w:tr2bl w:val="nil"/>
                  </w:tcBorders>
                  <w:vAlign w:val="center"/>
                </w:tcPr>
                <w:p w14:paraId="79716DC5">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农药制造</w:t>
                  </w:r>
                </w:p>
              </w:tc>
              <w:tc>
                <w:tcPr>
                  <w:tcW w:w="1233" w:type="dxa"/>
                  <w:tcBorders>
                    <w:tl2br w:val="nil"/>
                    <w:tr2bl w:val="nil"/>
                  </w:tcBorders>
                  <w:shd w:val="clear" w:color="auto" w:fill="auto"/>
                  <w:vAlign w:val="center"/>
                </w:tcPr>
                <w:p w14:paraId="36A9BBCB">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color w:val="auto"/>
                      <w:spacing w:val="0"/>
                      <w:sz w:val="21"/>
                      <w:szCs w:val="21"/>
                    </w:rPr>
                    <w:t>263-008-04</w:t>
                  </w:r>
                </w:p>
              </w:tc>
              <w:tc>
                <w:tcPr>
                  <w:tcW w:w="6222" w:type="dxa"/>
                  <w:tcBorders>
                    <w:tl2br w:val="nil"/>
                    <w:tr2bl w:val="nil"/>
                  </w:tcBorders>
                  <w:shd w:val="clear" w:color="auto" w:fill="auto"/>
                  <w:vAlign w:val="center"/>
                </w:tcPr>
                <w:p w14:paraId="1E36C28A">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color w:val="auto"/>
                      <w:spacing w:val="0"/>
                      <w:sz w:val="21"/>
                      <w:szCs w:val="21"/>
                    </w:rPr>
                    <w:t>其他农药生产过程中产生的蒸馏及反应残余物（不包括赤霉酸发酵滤渣）</w:t>
                  </w:r>
                </w:p>
              </w:tc>
              <w:tc>
                <w:tcPr>
                  <w:tcW w:w="1005" w:type="dxa"/>
                  <w:tcBorders>
                    <w:tl2br w:val="nil"/>
                    <w:tr2bl w:val="nil"/>
                  </w:tcBorders>
                  <w:shd w:val="clear" w:color="auto" w:fill="auto"/>
                  <w:vAlign w:val="center"/>
                </w:tcPr>
                <w:p w14:paraId="235C8A62">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color w:val="auto"/>
                      <w:spacing w:val="0"/>
                      <w:sz w:val="21"/>
                      <w:szCs w:val="21"/>
                    </w:rPr>
                    <w:t>T</w:t>
                  </w:r>
                </w:p>
              </w:tc>
              <w:tc>
                <w:tcPr>
                  <w:tcW w:w="1140" w:type="dxa"/>
                  <w:tcBorders>
                    <w:tl2br w:val="nil"/>
                    <w:tr2bl w:val="nil"/>
                  </w:tcBorders>
                  <w:shd w:val="clear" w:color="auto" w:fill="auto"/>
                  <w:vAlign w:val="center"/>
                </w:tcPr>
                <w:p w14:paraId="185A510A">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固态</w:t>
                  </w:r>
                </w:p>
              </w:tc>
              <w:tc>
                <w:tcPr>
                  <w:tcW w:w="1170" w:type="dxa"/>
                  <w:tcBorders>
                    <w:tl2br w:val="nil"/>
                    <w:tr2bl w:val="nil"/>
                  </w:tcBorders>
                  <w:shd w:val="clear" w:color="auto" w:fill="auto"/>
                  <w:vAlign w:val="center"/>
                </w:tcPr>
                <w:p w14:paraId="5DC58F2A">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袋装</w:t>
                  </w:r>
                </w:p>
              </w:tc>
            </w:tr>
            <w:tr w14:paraId="3F8EA95B">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2226BAC6">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01923797">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233" w:type="dxa"/>
                  <w:tcBorders>
                    <w:tl2br w:val="nil"/>
                    <w:tr2bl w:val="nil"/>
                  </w:tcBorders>
                  <w:shd w:val="clear" w:color="auto" w:fill="auto"/>
                  <w:vAlign w:val="center"/>
                </w:tcPr>
                <w:p w14:paraId="166E0613">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color w:val="auto"/>
                      <w:spacing w:val="0"/>
                      <w:sz w:val="21"/>
                      <w:szCs w:val="21"/>
                    </w:rPr>
                    <w:t>263-009-04</w:t>
                  </w:r>
                </w:p>
              </w:tc>
              <w:tc>
                <w:tcPr>
                  <w:tcW w:w="6222" w:type="dxa"/>
                  <w:tcBorders>
                    <w:tl2br w:val="nil"/>
                    <w:tr2bl w:val="nil"/>
                  </w:tcBorders>
                  <w:shd w:val="clear" w:color="auto" w:fill="auto"/>
                  <w:vAlign w:val="center"/>
                </w:tcPr>
                <w:p w14:paraId="52E08CC0">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color w:val="auto"/>
                      <w:spacing w:val="0"/>
                      <w:sz w:val="21"/>
                      <w:szCs w:val="21"/>
                    </w:rPr>
                    <w:t>农药生产过程中产生的废母液、反应罐及容器清洗废液</w:t>
                  </w:r>
                </w:p>
              </w:tc>
              <w:tc>
                <w:tcPr>
                  <w:tcW w:w="1005" w:type="dxa"/>
                  <w:tcBorders>
                    <w:tl2br w:val="nil"/>
                    <w:tr2bl w:val="nil"/>
                  </w:tcBorders>
                  <w:shd w:val="clear" w:color="auto" w:fill="auto"/>
                  <w:vAlign w:val="center"/>
                </w:tcPr>
                <w:p w14:paraId="1C4853F6">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color w:val="auto"/>
                      <w:spacing w:val="0"/>
                      <w:sz w:val="21"/>
                      <w:szCs w:val="21"/>
                    </w:rPr>
                    <w:t>T</w:t>
                  </w:r>
                </w:p>
              </w:tc>
              <w:tc>
                <w:tcPr>
                  <w:tcW w:w="1140" w:type="dxa"/>
                  <w:tcBorders>
                    <w:tl2br w:val="nil"/>
                    <w:tr2bl w:val="nil"/>
                  </w:tcBorders>
                  <w:shd w:val="clear" w:color="auto" w:fill="auto"/>
                  <w:vAlign w:val="center"/>
                </w:tcPr>
                <w:p w14:paraId="7B38B38E">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eastAsia" w:ascii="Times New Roman" w:hAnsi="Times New Roman" w:eastAsia="宋体" w:cs="Times New Roman"/>
                      <w:color w:val="auto"/>
                      <w:spacing w:val="0"/>
                      <w:sz w:val="21"/>
                      <w:szCs w:val="21"/>
                      <w:lang w:val="en-US" w:eastAsia="zh-CN"/>
                    </w:rPr>
                  </w:pPr>
                  <w:r>
                    <w:rPr>
                      <w:rFonts w:hint="eastAsia" w:ascii="Times New Roman" w:hAnsi="Times New Roman" w:cs="Times New Roman"/>
                      <w:color w:val="auto"/>
                      <w:spacing w:val="0"/>
                      <w:sz w:val="21"/>
                      <w:szCs w:val="21"/>
                      <w:lang w:val="en-US" w:eastAsia="zh-CN"/>
                    </w:rPr>
                    <w:t>液态</w:t>
                  </w:r>
                </w:p>
              </w:tc>
              <w:tc>
                <w:tcPr>
                  <w:tcW w:w="1170" w:type="dxa"/>
                  <w:tcBorders>
                    <w:tl2br w:val="nil"/>
                    <w:tr2bl w:val="nil"/>
                  </w:tcBorders>
                  <w:shd w:val="clear" w:color="auto" w:fill="auto"/>
                  <w:vAlign w:val="center"/>
                </w:tcPr>
                <w:p w14:paraId="0B3FBB7E">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eastAsia" w:ascii="Times New Roman" w:hAnsi="Times New Roman" w:eastAsia="宋体" w:cs="Times New Roman"/>
                      <w:color w:val="auto"/>
                      <w:spacing w:val="0"/>
                      <w:sz w:val="21"/>
                      <w:szCs w:val="21"/>
                      <w:lang w:val="en-US" w:eastAsia="zh-CN"/>
                    </w:rPr>
                  </w:pPr>
                  <w:r>
                    <w:rPr>
                      <w:rFonts w:hint="eastAsia" w:ascii="Times New Roman" w:hAnsi="Times New Roman" w:cs="Times New Roman"/>
                      <w:color w:val="auto"/>
                      <w:spacing w:val="0"/>
                      <w:sz w:val="21"/>
                      <w:szCs w:val="21"/>
                      <w:lang w:val="en-US" w:eastAsia="zh-CN"/>
                    </w:rPr>
                    <w:t>桶装</w:t>
                  </w:r>
                </w:p>
              </w:tc>
            </w:tr>
            <w:tr w14:paraId="25550CBD">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5AC2F742">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4F042397">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233" w:type="dxa"/>
                  <w:tcBorders>
                    <w:tl2br w:val="nil"/>
                    <w:tr2bl w:val="nil"/>
                  </w:tcBorders>
                  <w:vAlign w:val="center"/>
                </w:tcPr>
                <w:p w14:paraId="26C1376F">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263-010-04</w:t>
                  </w:r>
                </w:p>
              </w:tc>
              <w:tc>
                <w:tcPr>
                  <w:tcW w:w="6222" w:type="dxa"/>
                  <w:tcBorders>
                    <w:tl2br w:val="nil"/>
                    <w:tr2bl w:val="nil"/>
                  </w:tcBorders>
                  <w:vAlign w:val="center"/>
                </w:tcPr>
                <w:p w14:paraId="1B2FBD0F">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农药生产过程中产生的废滤料及吸附剂</w:t>
                  </w:r>
                </w:p>
              </w:tc>
              <w:tc>
                <w:tcPr>
                  <w:tcW w:w="1005" w:type="dxa"/>
                  <w:tcBorders>
                    <w:tl2br w:val="nil"/>
                    <w:tr2bl w:val="nil"/>
                  </w:tcBorders>
                  <w:vAlign w:val="center"/>
                </w:tcPr>
                <w:p w14:paraId="189272F5">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w:t>
                  </w:r>
                </w:p>
              </w:tc>
              <w:tc>
                <w:tcPr>
                  <w:tcW w:w="1140" w:type="dxa"/>
                  <w:tcBorders>
                    <w:tl2br w:val="nil"/>
                    <w:tr2bl w:val="nil"/>
                  </w:tcBorders>
                  <w:shd w:val="clear" w:color="auto" w:fill="auto"/>
                  <w:vAlign w:val="center"/>
                </w:tcPr>
                <w:p w14:paraId="3FAB7BD7">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固态</w:t>
                  </w:r>
                </w:p>
              </w:tc>
              <w:tc>
                <w:tcPr>
                  <w:tcW w:w="1170" w:type="dxa"/>
                  <w:tcBorders>
                    <w:tl2br w:val="nil"/>
                    <w:tr2bl w:val="nil"/>
                  </w:tcBorders>
                  <w:shd w:val="clear" w:color="auto" w:fill="auto"/>
                  <w:vAlign w:val="center"/>
                </w:tcPr>
                <w:p w14:paraId="181486D0">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袋装</w:t>
                  </w:r>
                </w:p>
              </w:tc>
            </w:tr>
            <w:tr w14:paraId="00BB1ABC">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3D3A9F83">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179DE634">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233" w:type="dxa"/>
                  <w:tcBorders>
                    <w:tl2br w:val="nil"/>
                    <w:tr2bl w:val="nil"/>
                  </w:tcBorders>
                  <w:vAlign w:val="center"/>
                </w:tcPr>
                <w:p w14:paraId="0F5E2170">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263-011-04</w:t>
                  </w:r>
                </w:p>
              </w:tc>
              <w:tc>
                <w:tcPr>
                  <w:tcW w:w="6222" w:type="dxa"/>
                  <w:tcBorders>
                    <w:tl2br w:val="nil"/>
                    <w:tr2bl w:val="nil"/>
                  </w:tcBorders>
                  <w:vAlign w:val="center"/>
                </w:tcPr>
                <w:p w14:paraId="04045E31">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农药生产过程中产生的废水处理污泥</w:t>
                  </w:r>
                </w:p>
              </w:tc>
              <w:tc>
                <w:tcPr>
                  <w:tcW w:w="1005" w:type="dxa"/>
                  <w:tcBorders>
                    <w:tl2br w:val="nil"/>
                    <w:tr2bl w:val="nil"/>
                  </w:tcBorders>
                  <w:vAlign w:val="center"/>
                </w:tcPr>
                <w:p w14:paraId="43530BBB">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w:t>
                  </w:r>
                </w:p>
              </w:tc>
              <w:tc>
                <w:tcPr>
                  <w:tcW w:w="1140" w:type="dxa"/>
                  <w:tcBorders>
                    <w:tl2br w:val="nil"/>
                    <w:tr2bl w:val="nil"/>
                  </w:tcBorders>
                  <w:shd w:val="clear" w:color="auto" w:fill="auto"/>
                  <w:vAlign w:val="center"/>
                </w:tcPr>
                <w:p w14:paraId="678C3C16">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固态</w:t>
                  </w:r>
                </w:p>
              </w:tc>
              <w:tc>
                <w:tcPr>
                  <w:tcW w:w="1170" w:type="dxa"/>
                  <w:tcBorders>
                    <w:tl2br w:val="nil"/>
                    <w:tr2bl w:val="nil"/>
                  </w:tcBorders>
                  <w:shd w:val="clear" w:color="auto" w:fill="auto"/>
                  <w:vAlign w:val="center"/>
                </w:tcPr>
                <w:p w14:paraId="6CB2976F">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桶装</w:t>
                  </w:r>
                </w:p>
              </w:tc>
            </w:tr>
            <w:tr w14:paraId="30EB66D6">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5D0B3306">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294C1011">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233" w:type="dxa"/>
                  <w:tcBorders>
                    <w:tl2br w:val="nil"/>
                    <w:tr2bl w:val="nil"/>
                  </w:tcBorders>
                  <w:vAlign w:val="center"/>
                </w:tcPr>
                <w:p w14:paraId="7CC70DC5">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263-012-04</w:t>
                  </w:r>
                </w:p>
              </w:tc>
              <w:tc>
                <w:tcPr>
                  <w:tcW w:w="6222" w:type="dxa"/>
                  <w:tcBorders>
                    <w:tl2br w:val="nil"/>
                    <w:tr2bl w:val="nil"/>
                  </w:tcBorders>
                  <w:vAlign w:val="center"/>
                </w:tcPr>
                <w:p w14:paraId="3FC84803">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农药生产、配制过程中产生的过期原料和废弃产品</w:t>
                  </w:r>
                </w:p>
              </w:tc>
              <w:tc>
                <w:tcPr>
                  <w:tcW w:w="1005" w:type="dxa"/>
                  <w:tcBorders>
                    <w:tl2br w:val="nil"/>
                    <w:tr2bl w:val="nil"/>
                  </w:tcBorders>
                  <w:vAlign w:val="center"/>
                </w:tcPr>
                <w:p w14:paraId="2ABAC064">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w:t>
                  </w:r>
                </w:p>
              </w:tc>
              <w:tc>
                <w:tcPr>
                  <w:tcW w:w="1140" w:type="dxa"/>
                  <w:tcBorders>
                    <w:tl2br w:val="nil"/>
                    <w:tr2bl w:val="nil"/>
                  </w:tcBorders>
                  <w:shd w:val="clear" w:color="auto" w:fill="auto"/>
                  <w:vAlign w:val="center"/>
                </w:tcPr>
                <w:p w14:paraId="24890B6A">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固态/液态</w:t>
                  </w:r>
                </w:p>
              </w:tc>
              <w:tc>
                <w:tcPr>
                  <w:tcW w:w="1170" w:type="dxa"/>
                  <w:tcBorders>
                    <w:tl2br w:val="nil"/>
                    <w:tr2bl w:val="nil"/>
                  </w:tcBorders>
                  <w:shd w:val="clear" w:color="auto" w:fill="auto"/>
                  <w:vAlign w:val="center"/>
                </w:tcPr>
                <w:p w14:paraId="4D630375">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袋装/桶装</w:t>
                  </w:r>
                </w:p>
              </w:tc>
            </w:tr>
            <w:tr w14:paraId="18033893">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7EBDF997">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tcBorders>
                    <w:tl2br w:val="nil"/>
                    <w:tr2bl w:val="nil"/>
                  </w:tcBorders>
                  <w:vAlign w:val="center"/>
                </w:tcPr>
                <w:p w14:paraId="39EBC17D">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6"/>
                      <w:sz w:val="21"/>
                      <w:szCs w:val="21"/>
                    </w:rPr>
                    <w:t>非特定行业</w:t>
                  </w:r>
                </w:p>
              </w:tc>
              <w:tc>
                <w:tcPr>
                  <w:tcW w:w="1233" w:type="dxa"/>
                  <w:tcBorders>
                    <w:tl2br w:val="nil"/>
                    <w:tr2bl w:val="nil"/>
                  </w:tcBorders>
                  <w:vAlign w:val="center"/>
                </w:tcPr>
                <w:p w14:paraId="3D24A20A">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900-003-04</w:t>
                  </w:r>
                </w:p>
              </w:tc>
              <w:tc>
                <w:tcPr>
                  <w:tcW w:w="6222" w:type="dxa"/>
                  <w:tcBorders>
                    <w:tl2br w:val="nil"/>
                    <w:tr2bl w:val="nil"/>
                  </w:tcBorders>
                  <w:vAlign w:val="center"/>
                </w:tcPr>
                <w:p w14:paraId="3165968F">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销售及使用过程中产生的失效、变质、不合格、淘汰、伪劣的农药产品，以及废弃的与农药直接接触或含有农药残余物的包装物</w:t>
                  </w:r>
                </w:p>
              </w:tc>
              <w:tc>
                <w:tcPr>
                  <w:tcW w:w="1005" w:type="dxa"/>
                  <w:tcBorders>
                    <w:tl2br w:val="nil"/>
                    <w:tr2bl w:val="nil"/>
                  </w:tcBorders>
                  <w:vAlign w:val="center"/>
                </w:tcPr>
                <w:p w14:paraId="33B23762">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w:t>
                  </w:r>
                </w:p>
              </w:tc>
              <w:tc>
                <w:tcPr>
                  <w:tcW w:w="1140" w:type="dxa"/>
                  <w:tcBorders>
                    <w:tl2br w:val="nil"/>
                    <w:tr2bl w:val="nil"/>
                  </w:tcBorders>
                  <w:shd w:val="clear" w:color="auto" w:fill="auto"/>
                  <w:vAlign w:val="center"/>
                </w:tcPr>
                <w:p w14:paraId="4D5C380E">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固态/液态</w:t>
                  </w:r>
                </w:p>
              </w:tc>
              <w:tc>
                <w:tcPr>
                  <w:tcW w:w="1170" w:type="dxa"/>
                  <w:tcBorders>
                    <w:tl2br w:val="nil"/>
                    <w:tr2bl w:val="nil"/>
                  </w:tcBorders>
                  <w:shd w:val="clear" w:color="auto" w:fill="auto"/>
                  <w:vAlign w:val="center"/>
                </w:tcPr>
                <w:p w14:paraId="1B22DE96">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袋装/桶装/箱装</w:t>
                  </w:r>
                </w:p>
              </w:tc>
            </w:tr>
            <w:tr w14:paraId="7CB48BA3">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restart"/>
                  <w:tcBorders>
                    <w:tl2br w:val="nil"/>
                    <w:tr2bl w:val="nil"/>
                  </w:tcBorders>
                  <w:vAlign w:val="center"/>
                </w:tcPr>
                <w:p w14:paraId="3904EA34">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HW08</w:t>
                  </w:r>
                </w:p>
                <w:p w14:paraId="282992D5">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废矿物油与含矿物油废物</w:t>
                  </w:r>
                </w:p>
              </w:tc>
              <w:tc>
                <w:tcPr>
                  <w:tcW w:w="1134" w:type="dxa"/>
                  <w:vMerge w:val="restart"/>
                  <w:tcBorders>
                    <w:tl2br w:val="nil"/>
                    <w:tr2bl w:val="nil"/>
                  </w:tcBorders>
                  <w:vAlign w:val="center"/>
                </w:tcPr>
                <w:p w14:paraId="3D9069FF">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精炼石油产品制造</w:t>
                  </w:r>
                </w:p>
              </w:tc>
              <w:tc>
                <w:tcPr>
                  <w:tcW w:w="1233" w:type="dxa"/>
                  <w:tcBorders>
                    <w:tl2br w:val="nil"/>
                    <w:tr2bl w:val="nil"/>
                  </w:tcBorders>
                  <w:vAlign w:val="center"/>
                </w:tcPr>
                <w:p w14:paraId="5B1114C2">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251-001-08</w:t>
                  </w:r>
                </w:p>
              </w:tc>
              <w:tc>
                <w:tcPr>
                  <w:tcW w:w="6222" w:type="dxa"/>
                  <w:tcBorders>
                    <w:tl2br w:val="nil"/>
                    <w:tr2bl w:val="nil"/>
                  </w:tcBorders>
                  <w:vAlign w:val="center"/>
                </w:tcPr>
                <w:p w14:paraId="40D61A3C">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清洗矿物油储存、输送设施过程中产生的油/水和烃/水混合物</w:t>
                  </w:r>
                </w:p>
              </w:tc>
              <w:tc>
                <w:tcPr>
                  <w:tcW w:w="1005" w:type="dxa"/>
                  <w:tcBorders>
                    <w:tl2br w:val="nil"/>
                    <w:tr2bl w:val="nil"/>
                  </w:tcBorders>
                  <w:vAlign w:val="center"/>
                </w:tcPr>
                <w:p w14:paraId="438E176B">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w:t>
                  </w:r>
                </w:p>
              </w:tc>
              <w:tc>
                <w:tcPr>
                  <w:tcW w:w="1140" w:type="dxa"/>
                  <w:tcBorders>
                    <w:tl2br w:val="nil"/>
                    <w:tr2bl w:val="nil"/>
                  </w:tcBorders>
                  <w:vAlign w:val="center"/>
                </w:tcPr>
                <w:p w14:paraId="4B4CFCD4">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eastAsia" w:ascii="Times New Roman" w:hAnsi="Times New Roman" w:eastAsia="宋体" w:cs="Times New Roman"/>
                      <w:color w:val="auto"/>
                      <w:spacing w:val="0"/>
                      <w:sz w:val="21"/>
                      <w:szCs w:val="21"/>
                      <w:lang w:val="en-US" w:eastAsia="zh-CN"/>
                    </w:rPr>
                  </w:pPr>
                  <w:r>
                    <w:rPr>
                      <w:rFonts w:hint="eastAsia" w:ascii="Times New Roman" w:hAnsi="Times New Roman" w:cs="Times New Roman"/>
                      <w:color w:val="auto"/>
                      <w:spacing w:val="0"/>
                      <w:sz w:val="21"/>
                      <w:szCs w:val="21"/>
                      <w:lang w:val="en-US" w:eastAsia="zh-CN"/>
                    </w:rPr>
                    <w:t>液态</w:t>
                  </w:r>
                </w:p>
              </w:tc>
              <w:tc>
                <w:tcPr>
                  <w:tcW w:w="1170" w:type="dxa"/>
                  <w:tcBorders>
                    <w:tl2br w:val="nil"/>
                    <w:tr2bl w:val="nil"/>
                  </w:tcBorders>
                  <w:vAlign w:val="center"/>
                </w:tcPr>
                <w:p w14:paraId="04D6E1BE">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eastAsia" w:ascii="Times New Roman" w:hAnsi="Times New Roman" w:eastAsia="宋体" w:cs="Times New Roman"/>
                      <w:color w:val="auto"/>
                      <w:spacing w:val="0"/>
                      <w:sz w:val="21"/>
                      <w:szCs w:val="21"/>
                      <w:lang w:val="en-US" w:eastAsia="zh-CN"/>
                    </w:rPr>
                  </w:pPr>
                  <w:r>
                    <w:rPr>
                      <w:rFonts w:hint="eastAsia" w:ascii="Times New Roman" w:hAnsi="Times New Roman" w:cs="Times New Roman"/>
                      <w:color w:val="auto"/>
                      <w:spacing w:val="0"/>
                      <w:sz w:val="21"/>
                      <w:szCs w:val="21"/>
                      <w:lang w:val="en-US" w:eastAsia="zh-CN"/>
                    </w:rPr>
                    <w:t>桶装</w:t>
                  </w:r>
                </w:p>
              </w:tc>
            </w:tr>
            <w:tr w14:paraId="47D59DE9">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503A3ECB">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0C2BF9DD">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233" w:type="dxa"/>
                  <w:tcBorders>
                    <w:tl2br w:val="nil"/>
                    <w:tr2bl w:val="nil"/>
                  </w:tcBorders>
                  <w:vAlign w:val="center"/>
                </w:tcPr>
                <w:p w14:paraId="4165D8CA">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251-002-08</w:t>
                  </w:r>
                </w:p>
              </w:tc>
              <w:tc>
                <w:tcPr>
                  <w:tcW w:w="6222" w:type="dxa"/>
                  <w:tcBorders>
                    <w:tl2br w:val="nil"/>
                    <w:tr2bl w:val="nil"/>
                  </w:tcBorders>
                  <w:vAlign w:val="center"/>
                </w:tcPr>
                <w:p w14:paraId="44B18293">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石油初炼过程中储存设施、油-水-固态物质分离器、积水槽、沟渠及其他输送管道、污水池、雨水收集管道产生的含油污泥</w:t>
                  </w:r>
                </w:p>
              </w:tc>
              <w:tc>
                <w:tcPr>
                  <w:tcW w:w="1005" w:type="dxa"/>
                  <w:tcBorders>
                    <w:tl2br w:val="nil"/>
                    <w:tr2bl w:val="nil"/>
                  </w:tcBorders>
                  <w:vAlign w:val="center"/>
                </w:tcPr>
                <w:p w14:paraId="1911DBD8">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T，I</w:t>
                  </w:r>
                </w:p>
              </w:tc>
              <w:tc>
                <w:tcPr>
                  <w:tcW w:w="1140" w:type="dxa"/>
                  <w:tcBorders>
                    <w:tl2br w:val="nil"/>
                    <w:tr2bl w:val="nil"/>
                  </w:tcBorders>
                  <w:vAlign w:val="center"/>
                </w:tcPr>
                <w:p w14:paraId="29354B10">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eastAsia" w:ascii="Times New Roman" w:hAnsi="Times New Roman" w:eastAsia="宋体" w:cs="Times New Roman"/>
                      <w:color w:val="auto"/>
                      <w:spacing w:val="0"/>
                      <w:sz w:val="21"/>
                      <w:szCs w:val="21"/>
                      <w:lang w:val="en-US" w:eastAsia="zh-CN"/>
                    </w:rPr>
                  </w:pPr>
                  <w:r>
                    <w:rPr>
                      <w:rFonts w:hint="eastAsia" w:ascii="Times New Roman" w:hAnsi="Times New Roman" w:cs="Times New Roman"/>
                      <w:color w:val="auto"/>
                      <w:spacing w:val="0"/>
                      <w:sz w:val="21"/>
                      <w:szCs w:val="21"/>
                      <w:lang w:val="en-US" w:eastAsia="zh-CN"/>
                    </w:rPr>
                    <w:t>固态</w:t>
                  </w:r>
                </w:p>
              </w:tc>
              <w:tc>
                <w:tcPr>
                  <w:tcW w:w="1170" w:type="dxa"/>
                  <w:tcBorders>
                    <w:tl2br w:val="nil"/>
                    <w:tr2bl w:val="nil"/>
                  </w:tcBorders>
                  <w:vAlign w:val="center"/>
                </w:tcPr>
                <w:p w14:paraId="6B14F0A3">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eastAsia" w:ascii="Times New Roman" w:hAnsi="Times New Roman" w:eastAsia="宋体" w:cs="Times New Roman"/>
                      <w:color w:val="auto"/>
                      <w:spacing w:val="0"/>
                      <w:sz w:val="21"/>
                      <w:szCs w:val="21"/>
                      <w:lang w:val="en-US" w:eastAsia="zh-CN"/>
                    </w:rPr>
                  </w:pPr>
                  <w:r>
                    <w:rPr>
                      <w:rFonts w:hint="eastAsia" w:ascii="Times New Roman" w:hAnsi="Times New Roman" w:cs="Times New Roman"/>
                      <w:color w:val="auto"/>
                      <w:spacing w:val="0"/>
                      <w:sz w:val="21"/>
                      <w:szCs w:val="21"/>
                      <w:lang w:val="en-US" w:eastAsia="zh-CN"/>
                    </w:rPr>
                    <w:t>桶装</w:t>
                  </w:r>
                </w:p>
              </w:tc>
            </w:tr>
            <w:tr w14:paraId="7AA8DD07">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4F11C018">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6546FA5E">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233" w:type="dxa"/>
                  <w:tcBorders>
                    <w:tl2br w:val="nil"/>
                    <w:tr2bl w:val="nil"/>
                  </w:tcBorders>
                  <w:vAlign w:val="center"/>
                </w:tcPr>
                <w:p w14:paraId="650D1A14">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251-003-08</w:t>
                  </w:r>
                </w:p>
              </w:tc>
              <w:tc>
                <w:tcPr>
                  <w:tcW w:w="6222" w:type="dxa"/>
                  <w:tcBorders>
                    <w:tl2br w:val="nil"/>
                    <w:tr2bl w:val="nil"/>
                  </w:tcBorders>
                  <w:vAlign w:val="center"/>
                </w:tcPr>
                <w:p w14:paraId="1406DECD">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石油炼制过程中含油废水隔油、气浮、沉淀等处理过程中产生的浮油、浮渣和污泥（不包括废水生化处理污泥）</w:t>
                  </w:r>
                </w:p>
              </w:tc>
              <w:tc>
                <w:tcPr>
                  <w:tcW w:w="1005" w:type="dxa"/>
                  <w:tcBorders>
                    <w:tl2br w:val="nil"/>
                    <w:tr2bl w:val="nil"/>
                  </w:tcBorders>
                  <w:vAlign w:val="center"/>
                </w:tcPr>
                <w:p w14:paraId="0ED62D87">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w:t>
                  </w:r>
                </w:p>
              </w:tc>
              <w:tc>
                <w:tcPr>
                  <w:tcW w:w="1140" w:type="dxa"/>
                  <w:tcBorders>
                    <w:tl2br w:val="nil"/>
                    <w:tr2bl w:val="nil"/>
                  </w:tcBorders>
                  <w:vAlign w:val="center"/>
                </w:tcPr>
                <w:p w14:paraId="3E4F1839">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eastAsia" w:ascii="Times New Roman" w:hAnsi="Times New Roman" w:eastAsia="宋体" w:cs="Times New Roman"/>
                      <w:color w:val="auto"/>
                      <w:spacing w:val="0"/>
                      <w:sz w:val="21"/>
                      <w:szCs w:val="21"/>
                      <w:lang w:val="en-US" w:eastAsia="zh-CN"/>
                    </w:rPr>
                  </w:pPr>
                  <w:r>
                    <w:rPr>
                      <w:rFonts w:hint="eastAsia" w:ascii="Times New Roman" w:hAnsi="Times New Roman" w:cs="Times New Roman"/>
                      <w:color w:val="auto"/>
                      <w:spacing w:val="0"/>
                      <w:sz w:val="21"/>
                      <w:szCs w:val="21"/>
                      <w:lang w:val="en-US" w:eastAsia="zh-CN"/>
                    </w:rPr>
                    <w:t>固态</w:t>
                  </w:r>
                </w:p>
              </w:tc>
              <w:tc>
                <w:tcPr>
                  <w:tcW w:w="1170" w:type="dxa"/>
                  <w:tcBorders>
                    <w:tl2br w:val="nil"/>
                    <w:tr2bl w:val="nil"/>
                  </w:tcBorders>
                  <w:vAlign w:val="center"/>
                </w:tcPr>
                <w:p w14:paraId="13700657">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eastAsia" w:ascii="Times New Roman" w:hAnsi="Times New Roman" w:eastAsia="宋体" w:cs="Times New Roman"/>
                      <w:color w:val="auto"/>
                      <w:spacing w:val="0"/>
                      <w:sz w:val="21"/>
                      <w:szCs w:val="21"/>
                      <w:lang w:val="en-US" w:eastAsia="zh-CN"/>
                    </w:rPr>
                  </w:pPr>
                  <w:r>
                    <w:rPr>
                      <w:rFonts w:hint="eastAsia" w:ascii="Times New Roman" w:hAnsi="Times New Roman" w:cs="Times New Roman"/>
                      <w:color w:val="auto"/>
                      <w:spacing w:val="0"/>
                      <w:sz w:val="21"/>
                      <w:szCs w:val="21"/>
                      <w:lang w:val="en-US" w:eastAsia="zh-CN"/>
                    </w:rPr>
                    <w:t>桶装</w:t>
                  </w:r>
                </w:p>
              </w:tc>
            </w:tr>
            <w:tr w14:paraId="3B824971">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7D5AAFDA">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1208E770">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233" w:type="dxa"/>
                  <w:tcBorders>
                    <w:tl2br w:val="nil"/>
                    <w:tr2bl w:val="nil"/>
                  </w:tcBorders>
                  <w:vAlign w:val="center"/>
                </w:tcPr>
                <w:p w14:paraId="4B879C07">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251-004-08</w:t>
                  </w:r>
                </w:p>
              </w:tc>
              <w:tc>
                <w:tcPr>
                  <w:tcW w:w="6222" w:type="dxa"/>
                  <w:tcBorders>
                    <w:tl2br w:val="nil"/>
                    <w:tr2bl w:val="nil"/>
                  </w:tcBorders>
                  <w:vAlign w:val="center"/>
                </w:tcPr>
                <w:p w14:paraId="189B7625">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石油炼制过程中溶气浮选工艺产生的浮渣</w:t>
                  </w:r>
                </w:p>
              </w:tc>
              <w:tc>
                <w:tcPr>
                  <w:tcW w:w="1005" w:type="dxa"/>
                  <w:tcBorders>
                    <w:tl2br w:val="nil"/>
                    <w:tr2bl w:val="nil"/>
                  </w:tcBorders>
                  <w:vAlign w:val="center"/>
                </w:tcPr>
                <w:p w14:paraId="167D0F94">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T，I</w:t>
                  </w:r>
                </w:p>
              </w:tc>
              <w:tc>
                <w:tcPr>
                  <w:tcW w:w="1140" w:type="dxa"/>
                  <w:tcBorders>
                    <w:tl2br w:val="nil"/>
                    <w:tr2bl w:val="nil"/>
                  </w:tcBorders>
                  <w:vAlign w:val="center"/>
                </w:tcPr>
                <w:p w14:paraId="1239F9A0">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固态</w:t>
                  </w:r>
                </w:p>
              </w:tc>
              <w:tc>
                <w:tcPr>
                  <w:tcW w:w="1170" w:type="dxa"/>
                  <w:tcBorders>
                    <w:tl2br w:val="nil"/>
                    <w:tr2bl w:val="nil"/>
                  </w:tcBorders>
                  <w:vAlign w:val="center"/>
                </w:tcPr>
                <w:p w14:paraId="4AE95B8D">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桶装</w:t>
                  </w:r>
                </w:p>
              </w:tc>
            </w:tr>
            <w:tr w14:paraId="4510A06E">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11CF9BAE">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51EC676D">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233" w:type="dxa"/>
                  <w:tcBorders>
                    <w:tl2br w:val="nil"/>
                    <w:tr2bl w:val="nil"/>
                  </w:tcBorders>
                  <w:shd w:val="clear" w:color="auto" w:fill="auto"/>
                  <w:vAlign w:val="center"/>
                </w:tcPr>
                <w:p w14:paraId="14C30FD9">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color w:val="auto"/>
                      <w:spacing w:val="0"/>
                      <w:sz w:val="21"/>
                      <w:szCs w:val="21"/>
                    </w:rPr>
                    <w:t>251-006-08</w:t>
                  </w:r>
                </w:p>
              </w:tc>
              <w:tc>
                <w:tcPr>
                  <w:tcW w:w="6222" w:type="dxa"/>
                  <w:tcBorders>
                    <w:tl2br w:val="nil"/>
                    <w:tr2bl w:val="nil"/>
                  </w:tcBorders>
                  <w:shd w:val="clear" w:color="auto" w:fill="auto"/>
                  <w:vAlign w:val="center"/>
                </w:tcPr>
                <w:p w14:paraId="4731E1DF">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color w:val="auto"/>
                      <w:spacing w:val="0"/>
                      <w:sz w:val="21"/>
                      <w:szCs w:val="21"/>
                    </w:rPr>
                    <w:t>石油炼制换热器管束清洗过程中产生的含油污泥</w:t>
                  </w:r>
                </w:p>
              </w:tc>
              <w:tc>
                <w:tcPr>
                  <w:tcW w:w="1005" w:type="dxa"/>
                  <w:tcBorders>
                    <w:tl2br w:val="nil"/>
                    <w:tr2bl w:val="nil"/>
                  </w:tcBorders>
                  <w:shd w:val="clear" w:color="auto" w:fill="auto"/>
                  <w:vAlign w:val="center"/>
                </w:tcPr>
                <w:p w14:paraId="6F30E439">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color w:val="auto"/>
                      <w:spacing w:val="0"/>
                      <w:sz w:val="21"/>
                      <w:szCs w:val="21"/>
                    </w:rPr>
                    <w:t>T</w:t>
                  </w:r>
                </w:p>
              </w:tc>
              <w:tc>
                <w:tcPr>
                  <w:tcW w:w="1140" w:type="dxa"/>
                  <w:tcBorders>
                    <w:tl2br w:val="nil"/>
                    <w:tr2bl w:val="nil"/>
                  </w:tcBorders>
                  <w:shd w:val="clear" w:color="auto" w:fill="auto"/>
                  <w:vAlign w:val="center"/>
                </w:tcPr>
                <w:p w14:paraId="5D9C6B7A">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固态</w:t>
                  </w:r>
                </w:p>
              </w:tc>
              <w:tc>
                <w:tcPr>
                  <w:tcW w:w="1170" w:type="dxa"/>
                  <w:tcBorders>
                    <w:tl2br w:val="nil"/>
                    <w:tr2bl w:val="nil"/>
                  </w:tcBorders>
                  <w:shd w:val="clear" w:color="auto" w:fill="auto"/>
                  <w:vAlign w:val="center"/>
                </w:tcPr>
                <w:p w14:paraId="01DAEC98">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桶装</w:t>
                  </w:r>
                </w:p>
              </w:tc>
            </w:tr>
            <w:tr w14:paraId="2BCF0760">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1746264A">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7144241E">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233" w:type="dxa"/>
                  <w:tcBorders>
                    <w:tl2br w:val="nil"/>
                    <w:tr2bl w:val="nil"/>
                  </w:tcBorders>
                  <w:shd w:val="clear" w:color="auto" w:fill="auto"/>
                  <w:vAlign w:val="center"/>
                </w:tcPr>
                <w:p w14:paraId="373FEFBA">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color w:val="auto"/>
                      <w:spacing w:val="0"/>
                      <w:sz w:val="21"/>
                      <w:szCs w:val="21"/>
                    </w:rPr>
                    <w:t>251-011-08</w:t>
                  </w:r>
                </w:p>
              </w:tc>
              <w:tc>
                <w:tcPr>
                  <w:tcW w:w="6222" w:type="dxa"/>
                  <w:tcBorders>
                    <w:tl2br w:val="nil"/>
                    <w:tr2bl w:val="nil"/>
                  </w:tcBorders>
                  <w:shd w:val="clear" w:color="auto" w:fill="auto"/>
                  <w:vAlign w:val="center"/>
                </w:tcPr>
                <w:p w14:paraId="63F50C93">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color w:val="auto"/>
                      <w:spacing w:val="0"/>
                      <w:sz w:val="21"/>
                      <w:szCs w:val="21"/>
                    </w:rPr>
                    <w:t>石油炼制过程中进油管路过滤或分离装置产生的残渣</w:t>
                  </w:r>
                </w:p>
              </w:tc>
              <w:tc>
                <w:tcPr>
                  <w:tcW w:w="1005" w:type="dxa"/>
                  <w:tcBorders>
                    <w:tl2br w:val="nil"/>
                    <w:tr2bl w:val="nil"/>
                  </w:tcBorders>
                  <w:shd w:val="clear" w:color="auto" w:fill="auto"/>
                  <w:vAlign w:val="center"/>
                </w:tcPr>
                <w:p w14:paraId="3F4339C1">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color w:val="auto"/>
                      <w:spacing w:val="0"/>
                      <w:sz w:val="21"/>
                      <w:szCs w:val="21"/>
                    </w:rPr>
                    <w:t>T，I</w:t>
                  </w:r>
                </w:p>
              </w:tc>
              <w:tc>
                <w:tcPr>
                  <w:tcW w:w="1140" w:type="dxa"/>
                  <w:tcBorders>
                    <w:tl2br w:val="nil"/>
                    <w:tr2bl w:val="nil"/>
                  </w:tcBorders>
                  <w:shd w:val="clear" w:color="auto" w:fill="auto"/>
                  <w:vAlign w:val="center"/>
                </w:tcPr>
                <w:p w14:paraId="20CA7595">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eastAsia" w:ascii="Times New Roman" w:hAnsi="Times New Roman" w:eastAsia="宋体" w:cs="Times New Roman"/>
                      <w:color w:val="auto"/>
                      <w:spacing w:val="0"/>
                      <w:sz w:val="21"/>
                      <w:szCs w:val="21"/>
                      <w:lang w:val="en-US" w:eastAsia="zh-CN"/>
                    </w:rPr>
                  </w:pPr>
                  <w:r>
                    <w:rPr>
                      <w:rFonts w:hint="eastAsia" w:ascii="Times New Roman" w:hAnsi="Times New Roman" w:cs="Times New Roman"/>
                      <w:color w:val="auto"/>
                      <w:spacing w:val="0"/>
                      <w:sz w:val="21"/>
                      <w:szCs w:val="21"/>
                      <w:lang w:val="en-US" w:eastAsia="zh-CN"/>
                    </w:rPr>
                    <w:t>固态</w:t>
                  </w:r>
                </w:p>
              </w:tc>
              <w:tc>
                <w:tcPr>
                  <w:tcW w:w="1170" w:type="dxa"/>
                  <w:tcBorders>
                    <w:tl2br w:val="nil"/>
                    <w:tr2bl w:val="nil"/>
                  </w:tcBorders>
                  <w:shd w:val="clear" w:color="auto" w:fill="auto"/>
                  <w:vAlign w:val="center"/>
                </w:tcPr>
                <w:p w14:paraId="387B6C17">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eastAsia" w:ascii="Times New Roman" w:hAnsi="Times New Roman" w:eastAsia="宋体" w:cs="Times New Roman"/>
                      <w:color w:val="auto"/>
                      <w:spacing w:val="0"/>
                      <w:sz w:val="21"/>
                      <w:szCs w:val="21"/>
                      <w:lang w:val="en-US" w:eastAsia="zh-CN"/>
                    </w:rPr>
                  </w:pPr>
                  <w:r>
                    <w:rPr>
                      <w:rFonts w:hint="eastAsia" w:ascii="Times New Roman" w:hAnsi="Times New Roman" w:cs="Times New Roman"/>
                      <w:color w:val="auto"/>
                      <w:spacing w:val="0"/>
                      <w:sz w:val="21"/>
                      <w:szCs w:val="21"/>
                      <w:lang w:val="en-US" w:eastAsia="zh-CN"/>
                    </w:rPr>
                    <w:t>袋装</w:t>
                  </w:r>
                </w:p>
              </w:tc>
            </w:tr>
            <w:tr w14:paraId="25CCC272">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16456F74">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31EA31E1">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233" w:type="dxa"/>
                  <w:tcBorders>
                    <w:tl2br w:val="nil"/>
                    <w:tr2bl w:val="nil"/>
                  </w:tcBorders>
                  <w:shd w:val="clear" w:color="auto" w:fill="auto"/>
                  <w:vAlign w:val="center"/>
                </w:tcPr>
                <w:p w14:paraId="30EB2B08">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color w:val="auto"/>
                      <w:spacing w:val="0"/>
                      <w:sz w:val="21"/>
                      <w:szCs w:val="21"/>
                    </w:rPr>
                    <w:t>251-012-08</w:t>
                  </w:r>
                </w:p>
              </w:tc>
              <w:tc>
                <w:tcPr>
                  <w:tcW w:w="6222" w:type="dxa"/>
                  <w:tcBorders>
                    <w:tl2br w:val="nil"/>
                    <w:tr2bl w:val="nil"/>
                  </w:tcBorders>
                  <w:shd w:val="clear" w:color="auto" w:fill="auto"/>
                  <w:vAlign w:val="center"/>
                </w:tcPr>
                <w:p w14:paraId="7C86895E">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color w:val="auto"/>
                      <w:spacing w:val="0"/>
                      <w:sz w:val="21"/>
                      <w:szCs w:val="21"/>
                    </w:rPr>
                    <w:t>石油炼制过程中产生的废过滤介质</w:t>
                  </w:r>
                </w:p>
              </w:tc>
              <w:tc>
                <w:tcPr>
                  <w:tcW w:w="1005" w:type="dxa"/>
                  <w:tcBorders>
                    <w:tl2br w:val="nil"/>
                    <w:tr2bl w:val="nil"/>
                  </w:tcBorders>
                  <w:shd w:val="clear" w:color="auto" w:fill="auto"/>
                  <w:vAlign w:val="center"/>
                </w:tcPr>
                <w:p w14:paraId="59806EF5">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color w:val="auto"/>
                      <w:spacing w:val="0"/>
                      <w:sz w:val="21"/>
                      <w:szCs w:val="21"/>
                    </w:rPr>
                    <w:t>T</w:t>
                  </w:r>
                </w:p>
              </w:tc>
              <w:tc>
                <w:tcPr>
                  <w:tcW w:w="1140" w:type="dxa"/>
                  <w:tcBorders>
                    <w:tl2br w:val="nil"/>
                    <w:tr2bl w:val="nil"/>
                  </w:tcBorders>
                  <w:shd w:val="clear" w:color="auto" w:fill="auto"/>
                  <w:vAlign w:val="center"/>
                </w:tcPr>
                <w:p w14:paraId="05754D46">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zh-CN" w:bidi="ar-SA"/>
                    </w:rPr>
                  </w:pPr>
                  <w:r>
                    <w:rPr>
                      <w:rFonts w:hint="eastAsia" w:ascii="Times New Roman" w:hAnsi="Times New Roman" w:cs="Times New Roman"/>
                      <w:color w:val="auto"/>
                      <w:spacing w:val="0"/>
                      <w:sz w:val="21"/>
                      <w:szCs w:val="21"/>
                      <w:lang w:val="en-US" w:eastAsia="zh-CN"/>
                    </w:rPr>
                    <w:t>固态</w:t>
                  </w:r>
                </w:p>
              </w:tc>
              <w:tc>
                <w:tcPr>
                  <w:tcW w:w="1170" w:type="dxa"/>
                  <w:tcBorders>
                    <w:tl2br w:val="nil"/>
                    <w:tr2bl w:val="nil"/>
                  </w:tcBorders>
                  <w:shd w:val="clear" w:color="auto" w:fill="auto"/>
                  <w:vAlign w:val="center"/>
                </w:tcPr>
                <w:p w14:paraId="71261E2F">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zh-CN" w:bidi="ar-SA"/>
                    </w:rPr>
                  </w:pPr>
                  <w:r>
                    <w:rPr>
                      <w:rFonts w:hint="eastAsia" w:ascii="Times New Roman" w:hAnsi="Times New Roman" w:cs="Times New Roman"/>
                      <w:color w:val="auto"/>
                      <w:spacing w:val="0"/>
                      <w:sz w:val="21"/>
                      <w:szCs w:val="21"/>
                      <w:lang w:val="en-US" w:eastAsia="zh-CN"/>
                    </w:rPr>
                    <w:t>袋装</w:t>
                  </w:r>
                </w:p>
              </w:tc>
            </w:tr>
            <w:tr w14:paraId="6D0B8141">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348C5068">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restart"/>
                  <w:tcBorders>
                    <w:tl2br w:val="nil"/>
                    <w:tr2bl w:val="nil"/>
                  </w:tcBorders>
                  <w:vAlign w:val="center"/>
                </w:tcPr>
                <w:p w14:paraId="2F2B88A2">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6"/>
                      <w:sz w:val="21"/>
                      <w:szCs w:val="21"/>
                    </w:rPr>
                  </w:pPr>
                  <w:r>
                    <w:rPr>
                      <w:rFonts w:hint="default" w:ascii="Times New Roman" w:hAnsi="Times New Roman" w:eastAsia="宋体" w:cs="Times New Roman"/>
                      <w:color w:val="auto"/>
                      <w:spacing w:val="-6"/>
                      <w:sz w:val="21"/>
                      <w:szCs w:val="21"/>
                    </w:rPr>
                    <w:t>非特定行业</w:t>
                  </w:r>
                </w:p>
              </w:tc>
              <w:tc>
                <w:tcPr>
                  <w:tcW w:w="1233" w:type="dxa"/>
                  <w:tcBorders>
                    <w:tl2br w:val="nil"/>
                    <w:tr2bl w:val="nil"/>
                  </w:tcBorders>
                  <w:vAlign w:val="center"/>
                </w:tcPr>
                <w:p w14:paraId="2EDBAC82">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900-199-08</w:t>
                  </w:r>
                </w:p>
              </w:tc>
              <w:tc>
                <w:tcPr>
                  <w:tcW w:w="6222" w:type="dxa"/>
                  <w:tcBorders>
                    <w:tl2br w:val="nil"/>
                    <w:tr2bl w:val="nil"/>
                  </w:tcBorders>
                  <w:vAlign w:val="center"/>
                </w:tcPr>
                <w:p w14:paraId="59213A2D">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内燃机、汽车、轮船等集中拆解过程产生的废矿物油及油泥</w:t>
                  </w:r>
                </w:p>
              </w:tc>
              <w:tc>
                <w:tcPr>
                  <w:tcW w:w="1005" w:type="dxa"/>
                  <w:tcBorders>
                    <w:tl2br w:val="nil"/>
                    <w:tr2bl w:val="nil"/>
                  </w:tcBorders>
                  <w:vAlign w:val="center"/>
                </w:tcPr>
                <w:p w14:paraId="1E5177A4">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T，I</w:t>
                  </w:r>
                </w:p>
              </w:tc>
              <w:tc>
                <w:tcPr>
                  <w:tcW w:w="1140" w:type="dxa"/>
                  <w:tcBorders>
                    <w:tl2br w:val="nil"/>
                    <w:tr2bl w:val="nil"/>
                  </w:tcBorders>
                  <w:shd w:val="clear" w:color="auto" w:fill="auto"/>
                  <w:vAlign w:val="center"/>
                </w:tcPr>
                <w:p w14:paraId="114A1CB0">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zh-CN" w:bidi="ar-SA"/>
                    </w:rPr>
                  </w:pPr>
                  <w:r>
                    <w:rPr>
                      <w:rFonts w:hint="eastAsia" w:ascii="Times New Roman" w:hAnsi="Times New Roman" w:cs="Times New Roman"/>
                      <w:color w:val="auto"/>
                      <w:spacing w:val="0"/>
                      <w:sz w:val="21"/>
                      <w:szCs w:val="21"/>
                      <w:lang w:val="en-US" w:eastAsia="zh-CN"/>
                    </w:rPr>
                    <w:t>液态</w:t>
                  </w:r>
                </w:p>
              </w:tc>
              <w:tc>
                <w:tcPr>
                  <w:tcW w:w="1170" w:type="dxa"/>
                  <w:tcBorders>
                    <w:tl2br w:val="nil"/>
                    <w:tr2bl w:val="nil"/>
                  </w:tcBorders>
                  <w:shd w:val="clear" w:color="auto" w:fill="auto"/>
                  <w:vAlign w:val="center"/>
                </w:tcPr>
                <w:p w14:paraId="082297A2">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zh-CN" w:bidi="ar-SA"/>
                    </w:rPr>
                  </w:pPr>
                  <w:r>
                    <w:rPr>
                      <w:rFonts w:hint="eastAsia" w:ascii="Times New Roman" w:hAnsi="Times New Roman" w:cs="Times New Roman"/>
                      <w:color w:val="auto"/>
                      <w:spacing w:val="0"/>
                      <w:sz w:val="21"/>
                      <w:szCs w:val="21"/>
                      <w:lang w:val="en-US" w:eastAsia="zh-CN"/>
                    </w:rPr>
                    <w:t>桶装</w:t>
                  </w:r>
                </w:p>
              </w:tc>
            </w:tr>
            <w:tr w14:paraId="764F5456">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518726FD">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3EBEBA37">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6"/>
                      <w:sz w:val="21"/>
                      <w:szCs w:val="21"/>
                    </w:rPr>
                  </w:pPr>
                </w:p>
              </w:tc>
              <w:tc>
                <w:tcPr>
                  <w:tcW w:w="1233" w:type="dxa"/>
                  <w:tcBorders>
                    <w:tl2br w:val="nil"/>
                    <w:tr2bl w:val="nil"/>
                  </w:tcBorders>
                  <w:vAlign w:val="center"/>
                </w:tcPr>
                <w:p w14:paraId="3B3ACBF9">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900-200-08</w:t>
                  </w:r>
                </w:p>
              </w:tc>
              <w:tc>
                <w:tcPr>
                  <w:tcW w:w="6222" w:type="dxa"/>
                  <w:tcBorders>
                    <w:tl2br w:val="nil"/>
                    <w:tr2bl w:val="nil"/>
                  </w:tcBorders>
                  <w:vAlign w:val="center"/>
                </w:tcPr>
                <w:p w14:paraId="31048274">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珩磨、研磨、打磨过程产生的废矿物油及油泥</w:t>
                  </w:r>
                </w:p>
              </w:tc>
              <w:tc>
                <w:tcPr>
                  <w:tcW w:w="1005" w:type="dxa"/>
                  <w:tcBorders>
                    <w:tl2br w:val="nil"/>
                    <w:tr2bl w:val="nil"/>
                  </w:tcBorders>
                  <w:vAlign w:val="center"/>
                </w:tcPr>
                <w:p w14:paraId="24EF9D05">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T，I</w:t>
                  </w:r>
                </w:p>
              </w:tc>
              <w:tc>
                <w:tcPr>
                  <w:tcW w:w="1140" w:type="dxa"/>
                  <w:tcBorders>
                    <w:tl2br w:val="nil"/>
                    <w:tr2bl w:val="nil"/>
                  </w:tcBorders>
                  <w:shd w:val="clear" w:color="auto" w:fill="auto"/>
                  <w:vAlign w:val="center"/>
                </w:tcPr>
                <w:p w14:paraId="1C927181">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zh-CN" w:bidi="ar-SA"/>
                    </w:rPr>
                  </w:pPr>
                  <w:r>
                    <w:rPr>
                      <w:rFonts w:hint="eastAsia" w:ascii="Times New Roman" w:hAnsi="Times New Roman" w:cs="Times New Roman"/>
                      <w:color w:val="auto"/>
                      <w:spacing w:val="0"/>
                      <w:sz w:val="21"/>
                      <w:szCs w:val="21"/>
                      <w:lang w:val="en-US" w:eastAsia="zh-CN"/>
                    </w:rPr>
                    <w:t>液态</w:t>
                  </w:r>
                </w:p>
              </w:tc>
              <w:tc>
                <w:tcPr>
                  <w:tcW w:w="1170" w:type="dxa"/>
                  <w:tcBorders>
                    <w:tl2br w:val="nil"/>
                    <w:tr2bl w:val="nil"/>
                  </w:tcBorders>
                  <w:shd w:val="clear" w:color="auto" w:fill="auto"/>
                  <w:vAlign w:val="center"/>
                </w:tcPr>
                <w:p w14:paraId="715991FC">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zh-CN" w:bidi="ar-SA"/>
                    </w:rPr>
                  </w:pPr>
                  <w:r>
                    <w:rPr>
                      <w:rFonts w:hint="eastAsia" w:ascii="Times New Roman" w:hAnsi="Times New Roman" w:cs="Times New Roman"/>
                      <w:color w:val="auto"/>
                      <w:spacing w:val="0"/>
                      <w:sz w:val="21"/>
                      <w:szCs w:val="21"/>
                      <w:lang w:val="en-US" w:eastAsia="zh-CN"/>
                    </w:rPr>
                    <w:t>桶装</w:t>
                  </w:r>
                </w:p>
              </w:tc>
            </w:tr>
            <w:tr w14:paraId="214CEE62">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129A803D">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39590DBA">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6"/>
                      <w:sz w:val="21"/>
                      <w:szCs w:val="21"/>
                    </w:rPr>
                  </w:pPr>
                </w:p>
              </w:tc>
              <w:tc>
                <w:tcPr>
                  <w:tcW w:w="1233" w:type="dxa"/>
                  <w:tcBorders>
                    <w:tl2br w:val="nil"/>
                    <w:tr2bl w:val="nil"/>
                  </w:tcBorders>
                  <w:vAlign w:val="center"/>
                </w:tcPr>
                <w:p w14:paraId="714ED93C">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900-201-08</w:t>
                  </w:r>
                </w:p>
              </w:tc>
              <w:tc>
                <w:tcPr>
                  <w:tcW w:w="6222" w:type="dxa"/>
                  <w:tcBorders>
                    <w:tl2br w:val="nil"/>
                    <w:tr2bl w:val="nil"/>
                  </w:tcBorders>
                  <w:vAlign w:val="center"/>
                </w:tcPr>
                <w:p w14:paraId="081A0FE7">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清洗金属零部件过程中产生的废弃煤油、柴油、汽油及其他由石油和煤炼制生产的溶剂油</w:t>
                  </w:r>
                </w:p>
              </w:tc>
              <w:tc>
                <w:tcPr>
                  <w:tcW w:w="1005" w:type="dxa"/>
                  <w:tcBorders>
                    <w:tl2br w:val="nil"/>
                    <w:tr2bl w:val="nil"/>
                  </w:tcBorders>
                  <w:vAlign w:val="center"/>
                </w:tcPr>
                <w:p w14:paraId="63BACB23">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T，I</w:t>
                  </w:r>
                </w:p>
              </w:tc>
              <w:tc>
                <w:tcPr>
                  <w:tcW w:w="1140" w:type="dxa"/>
                  <w:tcBorders>
                    <w:tl2br w:val="nil"/>
                    <w:tr2bl w:val="nil"/>
                  </w:tcBorders>
                  <w:shd w:val="clear" w:color="auto" w:fill="auto"/>
                  <w:vAlign w:val="center"/>
                </w:tcPr>
                <w:p w14:paraId="52E48F64">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zh-CN" w:bidi="ar-SA"/>
                    </w:rPr>
                  </w:pPr>
                  <w:r>
                    <w:rPr>
                      <w:rFonts w:hint="eastAsia" w:ascii="Times New Roman" w:hAnsi="Times New Roman" w:cs="Times New Roman"/>
                      <w:color w:val="auto"/>
                      <w:spacing w:val="0"/>
                      <w:sz w:val="21"/>
                      <w:szCs w:val="21"/>
                      <w:lang w:val="en-US" w:eastAsia="zh-CN"/>
                    </w:rPr>
                    <w:t>液态</w:t>
                  </w:r>
                </w:p>
              </w:tc>
              <w:tc>
                <w:tcPr>
                  <w:tcW w:w="1170" w:type="dxa"/>
                  <w:tcBorders>
                    <w:tl2br w:val="nil"/>
                    <w:tr2bl w:val="nil"/>
                  </w:tcBorders>
                  <w:shd w:val="clear" w:color="auto" w:fill="auto"/>
                  <w:vAlign w:val="center"/>
                </w:tcPr>
                <w:p w14:paraId="67EE5499">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zh-CN" w:bidi="ar-SA"/>
                    </w:rPr>
                  </w:pPr>
                  <w:r>
                    <w:rPr>
                      <w:rFonts w:hint="eastAsia" w:ascii="Times New Roman" w:hAnsi="Times New Roman" w:cs="Times New Roman"/>
                      <w:color w:val="auto"/>
                      <w:spacing w:val="0"/>
                      <w:sz w:val="21"/>
                      <w:szCs w:val="21"/>
                      <w:lang w:val="en-US" w:eastAsia="zh-CN"/>
                    </w:rPr>
                    <w:t>桶装</w:t>
                  </w:r>
                </w:p>
              </w:tc>
            </w:tr>
            <w:tr w14:paraId="397B557A">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440E1F07">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4B62FE28">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6"/>
                      <w:sz w:val="21"/>
                      <w:szCs w:val="21"/>
                    </w:rPr>
                  </w:pPr>
                </w:p>
              </w:tc>
              <w:tc>
                <w:tcPr>
                  <w:tcW w:w="1233" w:type="dxa"/>
                  <w:tcBorders>
                    <w:tl2br w:val="nil"/>
                    <w:tr2bl w:val="nil"/>
                  </w:tcBorders>
                  <w:vAlign w:val="center"/>
                </w:tcPr>
                <w:p w14:paraId="3F4FA030">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900-203-08</w:t>
                  </w:r>
                </w:p>
              </w:tc>
              <w:tc>
                <w:tcPr>
                  <w:tcW w:w="6222" w:type="dxa"/>
                  <w:tcBorders>
                    <w:tl2br w:val="nil"/>
                    <w:tr2bl w:val="nil"/>
                  </w:tcBorders>
                  <w:vAlign w:val="center"/>
                </w:tcPr>
                <w:p w14:paraId="1F0F1842">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使用淬火油进行表面硬化处理产生的废矿物油</w:t>
                  </w:r>
                </w:p>
              </w:tc>
              <w:tc>
                <w:tcPr>
                  <w:tcW w:w="1005" w:type="dxa"/>
                  <w:tcBorders>
                    <w:tl2br w:val="nil"/>
                    <w:tr2bl w:val="nil"/>
                  </w:tcBorders>
                  <w:vAlign w:val="center"/>
                </w:tcPr>
                <w:p w14:paraId="4689F8D1">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w:t>
                  </w:r>
                </w:p>
              </w:tc>
              <w:tc>
                <w:tcPr>
                  <w:tcW w:w="1140" w:type="dxa"/>
                  <w:tcBorders>
                    <w:tl2br w:val="nil"/>
                    <w:tr2bl w:val="nil"/>
                  </w:tcBorders>
                  <w:shd w:val="clear" w:color="auto" w:fill="auto"/>
                  <w:vAlign w:val="center"/>
                </w:tcPr>
                <w:p w14:paraId="319AA73E">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zh-CN" w:bidi="ar-SA"/>
                    </w:rPr>
                  </w:pPr>
                  <w:r>
                    <w:rPr>
                      <w:rFonts w:hint="eastAsia" w:ascii="Times New Roman" w:hAnsi="Times New Roman" w:cs="Times New Roman"/>
                      <w:color w:val="auto"/>
                      <w:spacing w:val="0"/>
                      <w:sz w:val="21"/>
                      <w:szCs w:val="21"/>
                      <w:lang w:val="en-US" w:eastAsia="zh-CN"/>
                    </w:rPr>
                    <w:t>液态</w:t>
                  </w:r>
                </w:p>
              </w:tc>
              <w:tc>
                <w:tcPr>
                  <w:tcW w:w="1170" w:type="dxa"/>
                  <w:tcBorders>
                    <w:tl2br w:val="nil"/>
                    <w:tr2bl w:val="nil"/>
                  </w:tcBorders>
                  <w:shd w:val="clear" w:color="auto" w:fill="auto"/>
                  <w:vAlign w:val="center"/>
                </w:tcPr>
                <w:p w14:paraId="254E4015">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zh-CN" w:bidi="ar-SA"/>
                    </w:rPr>
                  </w:pPr>
                  <w:r>
                    <w:rPr>
                      <w:rFonts w:hint="eastAsia" w:ascii="Times New Roman" w:hAnsi="Times New Roman" w:cs="Times New Roman"/>
                      <w:color w:val="auto"/>
                      <w:spacing w:val="0"/>
                      <w:sz w:val="21"/>
                      <w:szCs w:val="21"/>
                      <w:lang w:val="en-US" w:eastAsia="zh-CN"/>
                    </w:rPr>
                    <w:t>桶装</w:t>
                  </w:r>
                </w:p>
              </w:tc>
            </w:tr>
            <w:tr w14:paraId="453EBA26">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587274A7">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504442F1">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233" w:type="dxa"/>
                  <w:tcBorders>
                    <w:tl2br w:val="nil"/>
                    <w:tr2bl w:val="nil"/>
                  </w:tcBorders>
                  <w:vAlign w:val="center"/>
                </w:tcPr>
                <w:p w14:paraId="27E6C6B8">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900-204-08</w:t>
                  </w:r>
                </w:p>
              </w:tc>
              <w:tc>
                <w:tcPr>
                  <w:tcW w:w="6222" w:type="dxa"/>
                  <w:tcBorders>
                    <w:tl2br w:val="nil"/>
                    <w:tr2bl w:val="nil"/>
                  </w:tcBorders>
                  <w:vAlign w:val="center"/>
                </w:tcPr>
                <w:p w14:paraId="59AF36AD">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使用轧制油、冷却剂及酸进行金属轧制产生的废矿物油</w:t>
                  </w:r>
                </w:p>
              </w:tc>
              <w:tc>
                <w:tcPr>
                  <w:tcW w:w="1005" w:type="dxa"/>
                  <w:tcBorders>
                    <w:tl2br w:val="nil"/>
                    <w:tr2bl w:val="nil"/>
                  </w:tcBorders>
                  <w:vAlign w:val="center"/>
                </w:tcPr>
                <w:p w14:paraId="21F217CF">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w:t>
                  </w:r>
                </w:p>
              </w:tc>
              <w:tc>
                <w:tcPr>
                  <w:tcW w:w="1140" w:type="dxa"/>
                  <w:tcBorders>
                    <w:tl2br w:val="nil"/>
                    <w:tr2bl w:val="nil"/>
                  </w:tcBorders>
                  <w:shd w:val="clear" w:color="auto" w:fill="auto"/>
                  <w:vAlign w:val="center"/>
                </w:tcPr>
                <w:p w14:paraId="43BEBC29">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zh-CN" w:bidi="ar-SA"/>
                    </w:rPr>
                  </w:pPr>
                  <w:r>
                    <w:rPr>
                      <w:rFonts w:hint="eastAsia" w:ascii="Times New Roman" w:hAnsi="Times New Roman" w:cs="Times New Roman"/>
                      <w:color w:val="auto"/>
                      <w:spacing w:val="0"/>
                      <w:sz w:val="21"/>
                      <w:szCs w:val="21"/>
                      <w:lang w:val="en-US" w:eastAsia="zh-CN"/>
                    </w:rPr>
                    <w:t>液态</w:t>
                  </w:r>
                </w:p>
              </w:tc>
              <w:tc>
                <w:tcPr>
                  <w:tcW w:w="1170" w:type="dxa"/>
                  <w:tcBorders>
                    <w:tl2br w:val="nil"/>
                    <w:tr2bl w:val="nil"/>
                  </w:tcBorders>
                  <w:shd w:val="clear" w:color="auto" w:fill="auto"/>
                  <w:vAlign w:val="center"/>
                </w:tcPr>
                <w:p w14:paraId="3372CCCE">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zh-CN" w:bidi="ar-SA"/>
                    </w:rPr>
                  </w:pPr>
                  <w:r>
                    <w:rPr>
                      <w:rFonts w:hint="eastAsia" w:ascii="Times New Roman" w:hAnsi="Times New Roman" w:cs="Times New Roman"/>
                      <w:color w:val="auto"/>
                      <w:spacing w:val="0"/>
                      <w:sz w:val="21"/>
                      <w:szCs w:val="21"/>
                      <w:lang w:val="en-US" w:eastAsia="zh-CN"/>
                    </w:rPr>
                    <w:t>桶装</w:t>
                  </w:r>
                </w:p>
              </w:tc>
            </w:tr>
            <w:tr w14:paraId="458D1E2F">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4A117F74">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74480C84">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233" w:type="dxa"/>
                  <w:tcBorders>
                    <w:tl2br w:val="nil"/>
                    <w:tr2bl w:val="nil"/>
                  </w:tcBorders>
                  <w:vAlign w:val="center"/>
                </w:tcPr>
                <w:p w14:paraId="5F26A280">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900-209-08</w:t>
                  </w:r>
                </w:p>
              </w:tc>
              <w:tc>
                <w:tcPr>
                  <w:tcW w:w="6222" w:type="dxa"/>
                  <w:tcBorders>
                    <w:tl2br w:val="nil"/>
                    <w:tr2bl w:val="nil"/>
                  </w:tcBorders>
                  <w:vAlign w:val="center"/>
                </w:tcPr>
                <w:p w14:paraId="53AC7736">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6"/>
                      <w:sz w:val="21"/>
                      <w:szCs w:val="21"/>
                    </w:rPr>
                    <w:t>金属、塑料的定型和物理机械表面处理过程中产生的废石蜡和润滑油</w:t>
                  </w:r>
                </w:p>
              </w:tc>
              <w:tc>
                <w:tcPr>
                  <w:tcW w:w="1005" w:type="dxa"/>
                  <w:tcBorders>
                    <w:tl2br w:val="nil"/>
                    <w:tr2bl w:val="nil"/>
                  </w:tcBorders>
                  <w:vAlign w:val="center"/>
                </w:tcPr>
                <w:p w14:paraId="5097DC50">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T，I</w:t>
                  </w:r>
                </w:p>
              </w:tc>
              <w:tc>
                <w:tcPr>
                  <w:tcW w:w="1140" w:type="dxa"/>
                  <w:tcBorders>
                    <w:tl2br w:val="nil"/>
                    <w:tr2bl w:val="nil"/>
                  </w:tcBorders>
                  <w:shd w:val="clear" w:color="auto" w:fill="auto"/>
                  <w:vAlign w:val="center"/>
                </w:tcPr>
                <w:p w14:paraId="3EBBBE32">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zh-CN" w:bidi="ar-SA"/>
                    </w:rPr>
                  </w:pPr>
                  <w:r>
                    <w:rPr>
                      <w:rFonts w:hint="eastAsia" w:ascii="Times New Roman" w:hAnsi="Times New Roman" w:cs="Times New Roman"/>
                      <w:color w:val="auto"/>
                      <w:spacing w:val="0"/>
                      <w:sz w:val="21"/>
                      <w:szCs w:val="21"/>
                      <w:lang w:val="en-US" w:eastAsia="zh-CN"/>
                    </w:rPr>
                    <w:t>液态</w:t>
                  </w:r>
                </w:p>
              </w:tc>
              <w:tc>
                <w:tcPr>
                  <w:tcW w:w="1170" w:type="dxa"/>
                  <w:tcBorders>
                    <w:tl2br w:val="nil"/>
                    <w:tr2bl w:val="nil"/>
                  </w:tcBorders>
                  <w:shd w:val="clear" w:color="auto" w:fill="auto"/>
                  <w:vAlign w:val="center"/>
                </w:tcPr>
                <w:p w14:paraId="21526A60">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zh-CN" w:bidi="ar-SA"/>
                    </w:rPr>
                  </w:pPr>
                  <w:r>
                    <w:rPr>
                      <w:rFonts w:hint="eastAsia" w:ascii="Times New Roman" w:hAnsi="Times New Roman" w:cs="Times New Roman"/>
                      <w:color w:val="auto"/>
                      <w:spacing w:val="0"/>
                      <w:sz w:val="21"/>
                      <w:szCs w:val="21"/>
                      <w:lang w:val="en-US" w:eastAsia="zh-CN"/>
                    </w:rPr>
                    <w:t>桶装</w:t>
                  </w:r>
                </w:p>
              </w:tc>
            </w:tr>
            <w:tr w14:paraId="0D9B8D93">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5" w:hRule="atLeast"/>
              </w:trPr>
              <w:tc>
                <w:tcPr>
                  <w:tcW w:w="1096" w:type="dxa"/>
                  <w:vMerge w:val="continue"/>
                  <w:tcBorders>
                    <w:tl2br w:val="nil"/>
                    <w:tr2bl w:val="nil"/>
                  </w:tcBorders>
                  <w:vAlign w:val="center"/>
                </w:tcPr>
                <w:p w14:paraId="7FFBB037">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2C7270F7">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233" w:type="dxa"/>
                  <w:tcBorders>
                    <w:tl2br w:val="nil"/>
                    <w:tr2bl w:val="nil"/>
                  </w:tcBorders>
                  <w:vAlign w:val="center"/>
                </w:tcPr>
                <w:p w14:paraId="51E5C9D2">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900-210-08</w:t>
                  </w:r>
                </w:p>
              </w:tc>
              <w:tc>
                <w:tcPr>
                  <w:tcW w:w="6222" w:type="dxa"/>
                  <w:tcBorders>
                    <w:tl2br w:val="nil"/>
                    <w:tr2bl w:val="nil"/>
                  </w:tcBorders>
                  <w:vAlign w:val="center"/>
                </w:tcPr>
                <w:p w14:paraId="719837C0">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含油废水处理中隔油、气浮、沉淀等处理过程中产生的浮油、浮渣和污泥（不包括废水生化处理污泥）</w:t>
                  </w:r>
                </w:p>
              </w:tc>
              <w:tc>
                <w:tcPr>
                  <w:tcW w:w="1005" w:type="dxa"/>
                  <w:tcBorders>
                    <w:tl2br w:val="nil"/>
                    <w:tr2bl w:val="nil"/>
                  </w:tcBorders>
                  <w:vAlign w:val="center"/>
                </w:tcPr>
                <w:p w14:paraId="1E0A44B2">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T，I</w:t>
                  </w:r>
                </w:p>
              </w:tc>
              <w:tc>
                <w:tcPr>
                  <w:tcW w:w="1140" w:type="dxa"/>
                  <w:tcBorders>
                    <w:tl2br w:val="nil"/>
                    <w:tr2bl w:val="nil"/>
                  </w:tcBorders>
                  <w:vAlign w:val="center"/>
                </w:tcPr>
                <w:p w14:paraId="0AEEAD3B">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lang w:val="en-US"/>
                    </w:rPr>
                  </w:pPr>
                  <w:r>
                    <w:rPr>
                      <w:rFonts w:hint="eastAsia" w:ascii="Times New Roman" w:hAnsi="Times New Roman" w:cs="Times New Roman"/>
                      <w:color w:val="auto"/>
                      <w:spacing w:val="0"/>
                      <w:sz w:val="21"/>
                      <w:szCs w:val="21"/>
                      <w:lang w:val="en-US" w:eastAsia="zh-CN"/>
                    </w:rPr>
                    <w:t>液态/固态</w:t>
                  </w:r>
                </w:p>
              </w:tc>
              <w:tc>
                <w:tcPr>
                  <w:tcW w:w="1170" w:type="dxa"/>
                  <w:tcBorders>
                    <w:tl2br w:val="nil"/>
                    <w:tr2bl w:val="nil"/>
                  </w:tcBorders>
                  <w:vAlign w:val="center"/>
                </w:tcPr>
                <w:p w14:paraId="21DE3BE7">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eastAsia" w:ascii="Times New Roman" w:hAnsi="Times New Roman" w:eastAsia="宋体" w:cs="Times New Roman"/>
                      <w:color w:val="auto"/>
                      <w:spacing w:val="0"/>
                      <w:sz w:val="21"/>
                      <w:szCs w:val="21"/>
                      <w:lang w:val="en-US" w:eastAsia="zh-CN"/>
                    </w:rPr>
                  </w:pPr>
                  <w:r>
                    <w:rPr>
                      <w:rFonts w:hint="eastAsia" w:ascii="Times New Roman" w:hAnsi="Times New Roman" w:cs="Times New Roman"/>
                      <w:color w:val="auto"/>
                      <w:spacing w:val="0"/>
                      <w:sz w:val="21"/>
                      <w:szCs w:val="21"/>
                      <w:lang w:val="en-US" w:eastAsia="zh-CN"/>
                    </w:rPr>
                    <w:t>桶装</w:t>
                  </w:r>
                </w:p>
              </w:tc>
            </w:tr>
            <w:tr w14:paraId="18123852">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1EDE533A">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57475D6A">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233" w:type="dxa"/>
                  <w:tcBorders>
                    <w:tl2br w:val="nil"/>
                    <w:tr2bl w:val="nil"/>
                  </w:tcBorders>
                  <w:vAlign w:val="center"/>
                </w:tcPr>
                <w:p w14:paraId="2ADEF8B6">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900-213-08</w:t>
                  </w:r>
                </w:p>
              </w:tc>
              <w:tc>
                <w:tcPr>
                  <w:tcW w:w="6222" w:type="dxa"/>
                  <w:tcBorders>
                    <w:tl2br w:val="nil"/>
                    <w:tr2bl w:val="nil"/>
                  </w:tcBorders>
                  <w:vAlign w:val="center"/>
                </w:tcPr>
                <w:p w14:paraId="5A351032">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6"/>
                      <w:sz w:val="21"/>
                      <w:szCs w:val="21"/>
                    </w:rPr>
                    <w:t>废矿物油再生净化过程中产生的沉淀残渣、过滤残渣、废过滤吸附介质</w:t>
                  </w:r>
                </w:p>
              </w:tc>
              <w:tc>
                <w:tcPr>
                  <w:tcW w:w="1005" w:type="dxa"/>
                  <w:tcBorders>
                    <w:tl2br w:val="nil"/>
                    <w:tr2bl w:val="nil"/>
                  </w:tcBorders>
                  <w:vAlign w:val="center"/>
                </w:tcPr>
                <w:p w14:paraId="3105CBB7">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T，I</w:t>
                  </w:r>
                </w:p>
              </w:tc>
              <w:tc>
                <w:tcPr>
                  <w:tcW w:w="1140" w:type="dxa"/>
                  <w:tcBorders>
                    <w:tl2br w:val="nil"/>
                    <w:tr2bl w:val="nil"/>
                  </w:tcBorders>
                  <w:shd w:val="clear" w:color="auto" w:fill="auto"/>
                  <w:vAlign w:val="center"/>
                </w:tcPr>
                <w:p w14:paraId="2E466F17">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zh-CN" w:bidi="ar-SA"/>
                    </w:rPr>
                  </w:pPr>
                  <w:r>
                    <w:rPr>
                      <w:rFonts w:hint="eastAsia" w:ascii="Times New Roman" w:hAnsi="Times New Roman" w:cs="Times New Roman"/>
                      <w:color w:val="auto"/>
                      <w:spacing w:val="0"/>
                      <w:sz w:val="21"/>
                      <w:szCs w:val="21"/>
                      <w:lang w:val="en-US" w:eastAsia="zh-CN"/>
                    </w:rPr>
                    <w:t>固态</w:t>
                  </w:r>
                </w:p>
              </w:tc>
              <w:tc>
                <w:tcPr>
                  <w:tcW w:w="1170" w:type="dxa"/>
                  <w:tcBorders>
                    <w:tl2br w:val="nil"/>
                    <w:tr2bl w:val="nil"/>
                  </w:tcBorders>
                  <w:shd w:val="clear" w:color="auto" w:fill="auto"/>
                  <w:vAlign w:val="center"/>
                </w:tcPr>
                <w:p w14:paraId="6E5D36BB">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zh-CN" w:bidi="ar-SA"/>
                    </w:rPr>
                  </w:pPr>
                  <w:r>
                    <w:rPr>
                      <w:rFonts w:hint="eastAsia" w:ascii="Times New Roman" w:hAnsi="Times New Roman" w:cs="Times New Roman"/>
                      <w:color w:val="auto"/>
                      <w:spacing w:val="0"/>
                      <w:sz w:val="21"/>
                      <w:szCs w:val="21"/>
                      <w:lang w:val="en-US" w:eastAsia="zh-CN"/>
                    </w:rPr>
                    <w:t>袋装</w:t>
                  </w:r>
                </w:p>
              </w:tc>
            </w:tr>
            <w:tr w14:paraId="45E91204">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2E586647">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3E211927">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233" w:type="dxa"/>
                  <w:tcBorders>
                    <w:tl2br w:val="nil"/>
                    <w:tr2bl w:val="nil"/>
                  </w:tcBorders>
                  <w:vAlign w:val="center"/>
                </w:tcPr>
                <w:p w14:paraId="334A7809">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900-214-08</w:t>
                  </w:r>
                </w:p>
              </w:tc>
              <w:tc>
                <w:tcPr>
                  <w:tcW w:w="6222" w:type="dxa"/>
                  <w:tcBorders>
                    <w:tl2br w:val="nil"/>
                    <w:tr2bl w:val="nil"/>
                  </w:tcBorders>
                  <w:vAlign w:val="center"/>
                </w:tcPr>
                <w:p w14:paraId="19909EF9">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车辆、轮船及其它机械维修过程中产生的废发动机油、制动器油、自动变速器油、齿轮油等废润滑油</w:t>
                  </w:r>
                </w:p>
              </w:tc>
              <w:tc>
                <w:tcPr>
                  <w:tcW w:w="1005" w:type="dxa"/>
                  <w:tcBorders>
                    <w:tl2br w:val="nil"/>
                    <w:tr2bl w:val="nil"/>
                  </w:tcBorders>
                  <w:vAlign w:val="center"/>
                </w:tcPr>
                <w:p w14:paraId="0FCC4D6A">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T，I</w:t>
                  </w:r>
                </w:p>
              </w:tc>
              <w:tc>
                <w:tcPr>
                  <w:tcW w:w="1140" w:type="dxa"/>
                  <w:tcBorders>
                    <w:tl2br w:val="nil"/>
                    <w:tr2bl w:val="nil"/>
                  </w:tcBorders>
                  <w:shd w:val="clear" w:color="auto" w:fill="auto"/>
                  <w:vAlign w:val="center"/>
                </w:tcPr>
                <w:p w14:paraId="2067F6A7">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zh-CN" w:bidi="ar-SA"/>
                    </w:rPr>
                  </w:pPr>
                  <w:r>
                    <w:rPr>
                      <w:rFonts w:hint="eastAsia" w:ascii="Times New Roman" w:hAnsi="Times New Roman" w:cs="Times New Roman"/>
                      <w:color w:val="auto"/>
                      <w:spacing w:val="0"/>
                      <w:sz w:val="21"/>
                      <w:szCs w:val="21"/>
                      <w:lang w:val="en-US" w:eastAsia="zh-CN"/>
                    </w:rPr>
                    <w:t>液态</w:t>
                  </w:r>
                </w:p>
              </w:tc>
              <w:tc>
                <w:tcPr>
                  <w:tcW w:w="1170" w:type="dxa"/>
                  <w:tcBorders>
                    <w:tl2br w:val="nil"/>
                    <w:tr2bl w:val="nil"/>
                  </w:tcBorders>
                  <w:shd w:val="clear" w:color="auto" w:fill="auto"/>
                  <w:vAlign w:val="center"/>
                </w:tcPr>
                <w:p w14:paraId="1C174A01">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zh-CN" w:bidi="ar-SA"/>
                    </w:rPr>
                  </w:pPr>
                  <w:r>
                    <w:rPr>
                      <w:rFonts w:hint="eastAsia" w:ascii="Times New Roman" w:hAnsi="Times New Roman" w:cs="Times New Roman"/>
                      <w:color w:val="auto"/>
                      <w:spacing w:val="0"/>
                      <w:sz w:val="21"/>
                      <w:szCs w:val="21"/>
                      <w:lang w:val="en-US" w:eastAsia="zh-CN"/>
                    </w:rPr>
                    <w:t>桶装</w:t>
                  </w:r>
                </w:p>
              </w:tc>
            </w:tr>
            <w:tr w14:paraId="4994FC51">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2BF819E2">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0B9C48E5">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233" w:type="dxa"/>
                  <w:tcBorders>
                    <w:tl2br w:val="nil"/>
                    <w:tr2bl w:val="nil"/>
                  </w:tcBorders>
                  <w:vAlign w:val="center"/>
                </w:tcPr>
                <w:p w14:paraId="1BD481D1">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900-216-08</w:t>
                  </w:r>
                </w:p>
              </w:tc>
              <w:tc>
                <w:tcPr>
                  <w:tcW w:w="6222" w:type="dxa"/>
                  <w:tcBorders>
                    <w:tl2br w:val="nil"/>
                    <w:tr2bl w:val="nil"/>
                  </w:tcBorders>
                  <w:vAlign w:val="center"/>
                </w:tcPr>
                <w:p w14:paraId="49E301A5">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使用防锈油进行铸件表面防锈处理过程中产生的废防锈油</w:t>
                  </w:r>
                </w:p>
              </w:tc>
              <w:tc>
                <w:tcPr>
                  <w:tcW w:w="1005" w:type="dxa"/>
                  <w:tcBorders>
                    <w:tl2br w:val="nil"/>
                    <w:tr2bl w:val="nil"/>
                  </w:tcBorders>
                  <w:vAlign w:val="center"/>
                </w:tcPr>
                <w:p w14:paraId="19FF337D">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T，I</w:t>
                  </w:r>
                </w:p>
              </w:tc>
              <w:tc>
                <w:tcPr>
                  <w:tcW w:w="1140" w:type="dxa"/>
                  <w:tcBorders>
                    <w:tl2br w:val="nil"/>
                    <w:tr2bl w:val="nil"/>
                  </w:tcBorders>
                  <w:vAlign w:val="center"/>
                </w:tcPr>
                <w:p w14:paraId="38921B42">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液态</w:t>
                  </w:r>
                </w:p>
              </w:tc>
              <w:tc>
                <w:tcPr>
                  <w:tcW w:w="1170" w:type="dxa"/>
                  <w:tcBorders>
                    <w:tl2br w:val="nil"/>
                    <w:tr2bl w:val="nil"/>
                  </w:tcBorders>
                  <w:vAlign w:val="center"/>
                </w:tcPr>
                <w:p w14:paraId="65D6E920">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桶装</w:t>
                  </w:r>
                </w:p>
              </w:tc>
            </w:tr>
            <w:tr w14:paraId="35DFDE7B">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64545903">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1D7C06EB">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233" w:type="dxa"/>
                  <w:tcBorders>
                    <w:tl2br w:val="nil"/>
                    <w:tr2bl w:val="nil"/>
                  </w:tcBorders>
                  <w:vAlign w:val="center"/>
                </w:tcPr>
                <w:p w14:paraId="01F0E5B6">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900-217-08</w:t>
                  </w:r>
                </w:p>
              </w:tc>
              <w:tc>
                <w:tcPr>
                  <w:tcW w:w="6222" w:type="dxa"/>
                  <w:tcBorders>
                    <w:tl2br w:val="nil"/>
                    <w:tr2bl w:val="nil"/>
                  </w:tcBorders>
                  <w:vAlign w:val="center"/>
                </w:tcPr>
                <w:p w14:paraId="35328CCC">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使用工业齿轮油进行机械设备润滑过程中产生的废润滑油</w:t>
                  </w:r>
                </w:p>
              </w:tc>
              <w:tc>
                <w:tcPr>
                  <w:tcW w:w="1005" w:type="dxa"/>
                  <w:tcBorders>
                    <w:tl2br w:val="nil"/>
                    <w:tr2bl w:val="nil"/>
                  </w:tcBorders>
                  <w:vAlign w:val="center"/>
                </w:tcPr>
                <w:p w14:paraId="2927FDE4">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T，I</w:t>
                  </w:r>
                </w:p>
              </w:tc>
              <w:tc>
                <w:tcPr>
                  <w:tcW w:w="1140" w:type="dxa"/>
                  <w:tcBorders>
                    <w:tl2br w:val="nil"/>
                    <w:tr2bl w:val="nil"/>
                  </w:tcBorders>
                  <w:vAlign w:val="center"/>
                </w:tcPr>
                <w:p w14:paraId="5447D667">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液态</w:t>
                  </w:r>
                </w:p>
              </w:tc>
              <w:tc>
                <w:tcPr>
                  <w:tcW w:w="1170" w:type="dxa"/>
                  <w:tcBorders>
                    <w:tl2br w:val="nil"/>
                    <w:tr2bl w:val="nil"/>
                  </w:tcBorders>
                  <w:vAlign w:val="center"/>
                </w:tcPr>
                <w:p w14:paraId="1811E759">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桶装</w:t>
                  </w:r>
                </w:p>
              </w:tc>
            </w:tr>
            <w:tr w14:paraId="4E0B71C9">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3685C266">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78325DB8">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233" w:type="dxa"/>
                  <w:tcBorders>
                    <w:tl2br w:val="nil"/>
                    <w:tr2bl w:val="nil"/>
                  </w:tcBorders>
                  <w:vAlign w:val="center"/>
                </w:tcPr>
                <w:p w14:paraId="41F4F9EE">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900-218-08</w:t>
                  </w:r>
                </w:p>
              </w:tc>
              <w:tc>
                <w:tcPr>
                  <w:tcW w:w="6222" w:type="dxa"/>
                  <w:tcBorders>
                    <w:tl2br w:val="nil"/>
                    <w:tr2bl w:val="nil"/>
                  </w:tcBorders>
                  <w:vAlign w:val="center"/>
                </w:tcPr>
                <w:p w14:paraId="1E4F684A">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液压设备维护、更换和拆解过程中产生的废液压油</w:t>
                  </w:r>
                </w:p>
              </w:tc>
              <w:tc>
                <w:tcPr>
                  <w:tcW w:w="1005" w:type="dxa"/>
                  <w:tcBorders>
                    <w:tl2br w:val="nil"/>
                    <w:tr2bl w:val="nil"/>
                  </w:tcBorders>
                  <w:vAlign w:val="center"/>
                </w:tcPr>
                <w:p w14:paraId="691AF0E3">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T，I</w:t>
                  </w:r>
                </w:p>
              </w:tc>
              <w:tc>
                <w:tcPr>
                  <w:tcW w:w="1140" w:type="dxa"/>
                  <w:tcBorders>
                    <w:tl2br w:val="nil"/>
                    <w:tr2bl w:val="nil"/>
                  </w:tcBorders>
                  <w:vAlign w:val="center"/>
                </w:tcPr>
                <w:p w14:paraId="4E331E04">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液态</w:t>
                  </w:r>
                </w:p>
              </w:tc>
              <w:tc>
                <w:tcPr>
                  <w:tcW w:w="1170" w:type="dxa"/>
                  <w:tcBorders>
                    <w:tl2br w:val="nil"/>
                    <w:tr2bl w:val="nil"/>
                  </w:tcBorders>
                  <w:vAlign w:val="center"/>
                </w:tcPr>
                <w:p w14:paraId="4D87254E">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桶装</w:t>
                  </w:r>
                </w:p>
              </w:tc>
            </w:tr>
            <w:tr w14:paraId="5255E16E">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2BEB6F3C">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79B768B0">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233" w:type="dxa"/>
                  <w:tcBorders>
                    <w:tl2br w:val="nil"/>
                    <w:tr2bl w:val="nil"/>
                  </w:tcBorders>
                  <w:vAlign w:val="center"/>
                </w:tcPr>
                <w:p w14:paraId="03B0FA29">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900-219-08</w:t>
                  </w:r>
                </w:p>
              </w:tc>
              <w:tc>
                <w:tcPr>
                  <w:tcW w:w="6222" w:type="dxa"/>
                  <w:tcBorders>
                    <w:tl2br w:val="nil"/>
                    <w:tr2bl w:val="nil"/>
                  </w:tcBorders>
                  <w:vAlign w:val="center"/>
                </w:tcPr>
                <w:p w14:paraId="5336DA9A">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冷冻压缩设备维护、更换和拆解过程中产生的废冷冻机油</w:t>
                  </w:r>
                </w:p>
              </w:tc>
              <w:tc>
                <w:tcPr>
                  <w:tcW w:w="1005" w:type="dxa"/>
                  <w:tcBorders>
                    <w:tl2br w:val="nil"/>
                    <w:tr2bl w:val="nil"/>
                  </w:tcBorders>
                  <w:vAlign w:val="center"/>
                </w:tcPr>
                <w:p w14:paraId="4EB8253E">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T，I</w:t>
                  </w:r>
                </w:p>
              </w:tc>
              <w:tc>
                <w:tcPr>
                  <w:tcW w:w="1140" w:type="dxa"/>
                  <w:tcBorders>
                    <w:tl2br w:val="nil"/>
                    <w:tr2bl w:val="nil"/>
                  </w:tcBorders>
                  <w:vAlign w:val="center"/>
                </w:tcPr>
                <w:p w14:paraId="3A9FCABC">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液态</w:t>
                  </w:r>
                </w:p>
              </w:tc>
              <w:tc>
                <w:tcPr>
                  <w:tcW w:w="1170" w:type="dxa"/>
                  <w:tcBorders>
                    <w:tl2br w:val="nil"/>
                    <w:tr2bl w:val="nil"/>
                  </w:tcBorders>
                  <w:vAlign w:val="center"/>
                </w:tcPr>
                <w:p w14:paraId="13D38433">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桶装</w:t>
                  </w:r>
                </w:p>
              </w:tc>
            </w:tr>
            <w:tr w14:paraId="41666079">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3271D42F">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4F49FCF7">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233" w:type="dxa"/>
                  <w:tcBorders>
                    <w:tl2br w:val="nil"/>
                    <w:tr2bl w:val="nil"/>
                  </w:tcBorders>
                  <w:vAlign w:val="center"/>
                </w:tcPr>
                <w:p w14:paraId="19F37D2C">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900-220-08</w:t>
                  </w:r>
                </w:p>
              </w:tc>
              <w:tc>
                <w:tcPr>
                  <w:tcW w:w="6222" w:type="dxa"/>
                  <w:tcBorders>
                    <w:tl2br w:val="nil"/>
                    <w:tr2bl w:val="nil"/>
                  </w:tcBorders>
                  <w:vAlign w:val="center"/>
                </w:tcPr>
                <w:p w14:paraId="43CFB1F6">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变压器维护、更换和拆解过程中产生的废变压器油</w:t>
                  </w:r>
                </w:p>
              </w:tc>
              <w:tc>
                <w:tcPr>
                  <w:tcW w:w="1005" w:type="dxa"/>
                  <w:tcBorders>
                    <w:tl2br w:val="nil"/>
                    <w:tr2bl w:val="nil"/>
                  </w:tcBorders>
                  <w:vAlign w:val="center"/>
                </w:tcPr>
                <w:p w14:paraId="4682DEF5">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T，I</w:t>
                  </w:r>
                </w:p>
              </w:tc>
              <w:tc>
                <w:tcPr>
                  <w:tcW w:w="1140" w:type="dxa"/>
                  <w:tcBorders>
                    <w:tl2br w:val="nil"/>
                    <w:tr2bl w:val="nil"/>
                  </w:tcBorders>
                  <w:vAlign w:val="center"/>
                </w:tcPr>
                <w:p w14:paraId="0DF9A993">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液态</w:t>
                  </w:r>
                </w:p>
              </w:tc>
              <w:tc>
                <w:tcPr>
                  <w:tcW w:w="1170" w:type="dxa"/>
                  <w:tcBorders>
                    <w:tl2br w:val="nil"/>
                    <w:tr2bl w:val="nil"/>
                  </w:tcBorders>
                  <w:vAlign w:val="center"/>
                </w:tcPr>
                <w:p w14:paraId="05E2EC7D">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桶装</w:t>
                  </w:r>
                </w:p>
              </w:tc>
            </w:tr>
            <w:tr w14:paraId="403D5C5C">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457" w:hRule="atLeast"/>
              </w:trPr>
              <w:tc>
                <w:tcPr>
                  <w:tcW w:w="1096" w:type="dxa"/>
                  <w:vMerge w:val="continue"/>
                  <w:tcBorders>
                    <w:tl2br w:val="nil"/>
                    <w:tr2bl w:val="nil"/>
                  </w:tcBorders>
                  <w:vAlign w:val="center"/>
                </w:tcPr>
                <w:p w14:paraId="795217AA">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3113CE51">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233" w:type="dxa"/>
                  <w:tcBorders>
                    <w:tl2br w:val="nil"/>
                    <w:tr2bl w:val="nil"/>
                  </w:tcBorders>
                  <w:vAlign w:val="center"/>
                </w:tcPr>
                <w:p w14:paraId="1B7CA9D3">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900-221-08</w:t>
                  </w:r>
                </w:p>
              </w:tc>
              <w:tc>
                <w:tcPr>
                  <w:tcW w:w="6222" w:type="dxa"/>
                  <w:tcBorders>
                    <w:tl2br w:val="nil"/>
                    <w:tr2bl w:val="nil"/>
                  </w:tcBorders>
                  <w:vAlign w:val="center"/>
                </w:tcPr>
                <w:p w14:paraId="0C87522E">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废燃料油及燃料油储存过程中产生的油泥</w:t>
                  </w:r>
                </w:p>
              </w:tc>
              <w:tc>
                <w:tcPr>
                  <w:tcW w:w="1005" w:type="dxa"/>
                  <w:tcBorders>
                    <w:tl2br w:val="nil"/>
                    <w:tr2bl w:val="nil"/>
                  </w:tcBorders>
                  <w:vAlign w:val="center"/>
                </w:tcPr>
                <w:p w14:paraId="1453C9D4">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T，I</w:t>
                  </w:r>
                </w:p>
              </w:tc>
              <w:tc>
                <w:tcPr>
                  <w:tcW w:w="1140" w:type="dxa"/>
                  <w:tcBorders>
                    <w:tl2br w:val="nil"/>
                    <w:tr2bl w:val="nil"/>
                  </w:tcBorders>
                  <w:shd w:val="clear" w:color="auto" w:fill="auto"/>
                  <w:vAlign w:val="center"/>
                </w:tcPr>
                <w:p w14:paraId="56C6C44F">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固态</w:t>
                  </w:r>
                </w:p>
              </w:tc>
              <w:tc>
                <w:tcPr>
                  <w:tcW w:w="1170" w:type="dxa"/>
                  <w:tcBorders>
                    <w:tl2br w:val="nil"/>
                    <w:tr2bl w:val="nil"/>
                  </w:tcBorders>
                  <w:shd w:val="clear" w:color="auto" w:fill="auto"/>
                  <w:vAlign w:val="center"/>
                </w:tcPr>
                <w:p w14:paraId="26E9AD0F">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桶装</w:t>
                  </w:r>
                </w:p>
              </w:tc>
            </w:tr>
            <w:tr w14:paraId="41DE7EA9">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67291CC5">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56B7E206">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233" w:type="dxa"/>
                  <w:tcBorders>
                    <w:tl2br w:val="nil"/>
                    <w:tr2bl w:val="nil"/>
                  </w:tcBorders>
                  <w:vAlign w:val="center"/>
                </w:tcPr>
                <w:p w14:paraId="0083A37A">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900-249-08</w:t>
                  </w:r>
                </w:p>
              </w:tc>
              <w:tc>
                <w:tcPr>
                  <w:tcW w:w="6222" w:type="dxa"/>
                  <w:tcBorders>
                    <w:tl2br w:val="nil"/>
                    <w:tr2bl w:val="nil"/>
                  </w:tcBorders>
                  <w:vAlign w:val="center"/>
                </w:tcPr>
                <w:p w14:paraId="7755E2E5">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其他生产、销售、使用过程中产生的废矿物油及沾染矿物油的废弃包装物</w:t>
                  </w:r>
                </w:p>
              </w:tc>
              <w:tc>
                <w:tcPr>
                  <w:tcW w:w="1005" w:type="dxa"/>
                  <w:tcBorders>
                    <w:tl2br w:val="nil"/>
                    <w:tr2bl w:val="nil"/>
                  </w:tcBorders>
                  <w:vAlign w:val="center"/>
                </w:tcPr>
                <w:p w14:paraId="0E6EC02D">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T，I</w:t>
                  </w:r>
                </w:p>
              </w:tc>
              <w:tc>
                <w:tcPr>
                  <w:tcW w:w="1140" w:type="dxa"/>
                  <w:tcBorders>
                    <w:tl2br w:val="nil"/>
                    <w:tr2bl w:val="nil"/>
                  </w:tcBorders>
                  <w:vAlign w:val="center"/>
                </w:tcPr>
                <w:p w14:paraId="7D1FAE18">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lang w:val="en-US" w:eastAsia="zh-CN"/>
                    </w:rPr>
                  </w:pPr>
                  <w:r>
                    <w:rPr>
                      <w:rFonts w:hint="eastAsia" w:ascii="Times New Roman" w:hAnsi="Times New Roman" w:cs="Times New Roman"/>
                      <w:color w:val="auto"/>
                      <w:spacing w:val="0"/>
                      <w:sz w:val="21"/>
                      <w:szCs w:val="21"/>
                      <w:lang w:val="en-US" w:eastAsia="zh-CN"/>
                    </w:rPr>
                    <w:t>液态/固态</w:t>
                  </w:r>
                </w:p>
              </w:tc>
              <w:tc>
                <w:tcPr>
                  <w:tcW w:w="1170" w:type="dxa"/>
                  <w:tcBorders>
                    <w:tl2br w:val="nil"/>
                    <w:tr2bl w:val="nil"/>
                  </w:tcBorders>
                  <w:vAlign w:val="center"/>
                </w:tcPr>
                <w:p w14:paraId="0C999426">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lang w:val="en-US" w:eastAsia="zh-CN"/>
                    </w:rPr>
                  </w:pPr>
                  <w:r>
                    <w:rPr>
                      <w:rFonts w:hint="eastAsia" w:ascii="Times New Roman" w:hAnsi="Times New Roman" w:cs="Times New Roman"/>
                      <w:color w:val="auto"/>
                      <w:spacing w:val="0"/>
                      <w:sz w:val="21"/>
                      <w:szCs w:val="21"/>
                      <w:lang w:val="en-US" w:eastAsia="zh-CN"/>
                    </w:rPr>
                    <w:t>桶装/袋装</w:t>
                  </w:r>
                </w:p>
              </w:tc>
            </w:tr>
            <w:tr w14:paraId="267FB2EA">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restart"/>
                  <w:tcBorders>
                    <w:tl2br w:val="nil"/>
                    <w:tr2bl w:val="nil"/>
                  </w:tcBorders>
                  <w:vAlign w:val="center"/>
                </w:tcPr>
                <w:p w14:paraId="06D79582">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HW09</w:t>
                  </w:r>
                </w:p>
                <w:p w14:paraId="5AC1AE7D">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油/水、烃/水混合物或乳化液</w:t>
                  </w:r>
                </w:p>
              </w:tc>
              <w:tc>
                <w:tcPr>
                  <w:tcW w:w="1134" w:type="dxa"/>
                  <w:vMerge w:val="restart"/>
                  <w:tcBorders>
                    <w:tl2br w:val="nil"/>
                    <w:tr2bl w:val="nil"/>
                  </w:tcBorders>
                  <w:vAlign w:val="center"/>
                </w:tcPr>
                <w:p w14:paraId="6EFAD0F8">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6"/>
                      <w:sz w:val="21"/>
                      <w:szCs w:val="21"/>
                    </w:rPr>
                    <w:t>非特定行业</w:t>
                  </w:r>
                </w:p>
              </w:tc>
              <w:tc>
                <w:tcPr>
                  <w:tcW w:w="1233" w:type="dxa"/>
                  <w:tcBorders>
                    <w:tl2br w:val="nil"/>
                    <w:tr2bl w:val="nil"/>
                  </w:tcBorders>
                  <w:vAlign w:val="center"/>
                </w:tcPr>
                <w:p w14:paraId="7545EC4D">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900-005-09</w:t>
                  </w:r>
                </w:p>
              </w:tc>
              <w:tc>
                <w:tcPr>
                  <w:tcW w:w="6222" w:type="dxa"/>
                  <w:tcBorders>
                    <w:tl2br w:val="nil"/>
                    <w:tr2bl w:val="nil"/>
                  </w:tcBorders>
                  <w:vAlign w:val="center"/>
                </w:tcPr>
                <w:p w14:paraId="67584521">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6"/>
                      <w:sz w:val="21"/>
                      <w:szCs w:val="21"/>
                    </w:rPr>
                    <w:t>水压机维护、更换和拆解过程中产生的油/水、烃/水混合物或乳化液</w:t>
                  </w:r>
                </w:p>
              </w:tc>
              <w:tc>
                <w:tcPr>
                  <w:tcW w:w="1005" w:type="dxa"/>
                  <w:tcBorders>
                    <w:tl2br w:val="nil"/>
                    <w:tr2bl w:val="nil"/>
                  </w:tcBorders>
                  <w:vAlign w:val="center"/>
                </w:tcPr>
                <w:p w14:paraId="78CCEFCE">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w:t>
                  </w:r>
                </w:p>
              </w:tc>
              <w:tc>
                <w:tcPr>
                  <w:tcW w:w="1140" w:type="dxa"/>
                  <w:tcBorders>
                    <w:tl2br w:val="nil"/>
                    <w:tr2bl w:val="nil"/>
                  </w:tcBorders>
                  <w:shd w:val="clear" w:color="auto" w:fill="auto"/>
                  <w:vAlign w:val="center"/>
                </w:tcPr>
                <w:p w14:paraId="6EE252A3">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液态</w:t>
                  </w:r>
                </w:p>
              </w:tc>
              <w:tc>
                <w:tcPr>
                  <w:tcW w:w="1170" w:type="dxa"/>
                  <w:tcBorders>
                    <w:tl2br w:val="nil"/>
                    <w:tr2bl w:val="nil"/>
                  </w:tcBorders>
                  <w:shd w:val="clear" w:color="auto" w:fill="auto"/>
                  <w:vAlign w:val="center"/>
                </w:tcPr>
                <w:p w14:paraId="121FFF8D">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桶装</w:t>
                  </w:r>
                </w:p>
              </w:tc>
            </w:tr>
            <w:tr w14:paraId="7594664A">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0DA036C9">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1952FDD4">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233" w:type="dxa"/>
                  <w:tcBorders>
                    <w:tl2br w:val="nil"/>
                    <w:tr2bl w:val="nil"/>
                  </w:tcBorders>
                  <w:vAlign w:val="center"/>
                </w:tcPr>
                <w:p w14:paraId="2E9A3562">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900-006-09</w:t>
                  </w:r>
                </w:p>
              </w:tc>
              <w:tc>
                <w:tcPr>
                  <w:tcW w:w="6222" w:type="dxa"/>
                  <w:tcBorders>
                    <w:tl2br w:val="nil"/>
                    <w:tr2bl w:val="nil"/>
                  </w:tcBorders>
                  <w:vAlign w:val="center"/>
                </w:tcPr>
                <w:p w14:paraId="4A84D16E">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6"/>
                      <w:sz w:val="21"/>
                      <w:szCs w:val="21"/>
                    </w:rPr>
                    <w:t>使用切削油或切削液进行机械加工过程中产生的油/水、烃/水混合物或乳化液</w:t>
                  </w:r>
                </w:p>
              </w:tc>
              <w:tc>
                <w:tcPr>
                  <w:tcW w:w="1005" w:type="dxa"/>
                  <w:tcBorders>
                    <w:tl2br w:val="nil"/>
                    <w:tr2bl w:val="nil"/>
                  </w:tcBorders>
                  <w:vAlign w:val="center"/>
                </w:tcPr>
                <w:p w14:paraId="7D684365">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w:t>
                  </w:r>
                </w:p>
              </w:tc>
              <w:tc>
                <w:tcPr>
                  <w:tcW w:w="1140" w:type="dxa"/>
                  <w:tcBorders>
                    <w:tl2br w:val="nil"/>
                    <w:tr2bl w:val="nil"/>
                  </w:tcBorders>
                  <w:vAlign w:val="center"/>
                </w:tcPr>
                <w:p w14:paraId="6E43911B">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液态</w:t>
                  </w:r>
                </w:p>
              </w:tc>
              <w:tc>
                <w:tcPr>
                  <w:tcW w:w="1170" w:type="dxa"/>
                  <w:tcBorders>
                    <w:tl2br w:val="nil"/>
                    <w:tr2bl w:val="nil"/>
                  </w:tcBorders>
                  <w:vAlign w:val="center"/>
                </w:tcPr>
                <w:p w14:paraId="4AD90E72">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桶装</w:t>
                  </w:r>
                </w:p>
              </w:tc>
            </w:tr>
            <w:tr w14:paraId="2B81BEA4">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6E944EB9">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4C0FC7C5">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233" w:type="dxa"/>
                  <w:tcBorders>
                    <w:tl2br w:val="nil"/>
                    <w:tr2bl w:val="nil"/>
                  </w:tcBorders>
                  <w:vAlign w:val="center"/>
                </w:tcPr>
                <w:p w14:paraId="4E61C52B">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900-007-09</w:t>
                  </w:r>
                </w:p>
              </w:tc>
              <w:tc>
                <w:tcPr>
                  <w:tcW w:w="6222" w:type="dxa"/>
                  <w:tcBorders>
                    <w:tl2br w:val="nil"/>
                    <w:tr2bl w:val="nil"/>
                  </w:tcBorders>
                  <w:vAlign w:val="center"/>
                </w:tcPr>
                <w:p w14:paraId="5BC7959F">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其他工艺过程中产生的油/水、烃/水混合物或乳化液</w:t>
                  </w:r>
                </w:p>
              </w:tc>
              <w:tc>
                <w:tcPr>
                  <w:tcW w:w="1005" w:type="dxa"/>
                  <w:tcBorders>
                    <w:tl2br w:val="nil"/>
                    <w:tr2bl w:val="nil"/>
                  </w:tcBorders>
                  <w:vAlign w:val="center"/>
                </w:tcPr>
                <w:p w14:paraId="3074526B">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w:t>
                  </w:r>
                </w:p>
              </w:tc>
              <w:tc>
                <w:tcPr>
                  <w:tcW w:w="1140" w:type="dxa"/>
                  <w:tcBorders>
                    <w:tl2br w:val="nil"/>
                    <w:tr2bl w:val="nil"/>
                  </w:tcBorders>
                  <w:vAlign w:val="center"/>
                </w:tcPr>
                <w:p w14:paraId="35788655">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液态</w:t>
                  </w:r>
                </w:p>
              </w:tc>
              <w:tc>
                <w:tcPr>
                  <w:tcW w:w="1170" w:type="dxa"/>
                  <w:tcBorders>
                    <w:tl2br w:val="nil"/>
                    <w:tr2bl w:val="nil"/>
                  </w:tcBorders>
                  <w:vAlign w:val="center"/>
                </w:tcPr>
                <w:p w14:paraId="38CF1AA1">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桶装</w:t>
                  </w:r>
                </w:p>
              </w:tc>
            </w:tr>
            <w:tr w14:paraId="4B336BC8">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399" w:hRule="atLeast"/>
              </w:trPr>
              <w:tc>
                <w:tcPr>
                  <w:tcW w:w="1096" w:type="dxa"/>
                  <w:vMerge w:val="restart"/>
                  <w:tcBorders>
                    <w:tl2br w:val="nil"/>
                    <w:tr2bl w:val="nil"/>
                  </w:tcBorders>
                  <w:vAlign w:val="center"/>
                </w:tcPr>
                <w:p w14:paraId="419CF15E">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HW11</w:t>
                  </w:r>
                </w:p>
                <w:p w14:paraId="3C50013A">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精（蒸）馏残渣</w:t>
                  </w:r>
                </w:p>
              </w:tc>
              <w:tc>
                <w:tcPr>
                  <w:tcW w:w="1134" w:type="dxa"/>
                  <w:tcBorders>
                    <w:tl2br w:val="nil"/>
                    <w:tr2bl w:val="nil"/>
                  </w:tcBorders>
                  <w:vAlign w:val="center"/>
                </w:tcPr>
                <w:p w14:paraId="4B00F22A">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精炼石油产品制造</w:t>
                  </w:r>
                </w:p>
              </w:tc>
              <w:tc>
                <w:tcPr>
                  <w:tcW w:w="1233" w:type="dxa"/>
                  <w:tcBorders>
                    <w:tl2br w:val="nil"/>
                    <w:tr2bl w:val="nil"/>
                  </w:tcBorders>
                  <w:vAlign w:val="center"/>
                </w:tcPr>
                <w:p w14:paraId="754DCC02">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251-013-11</w:t>
                  </w:r>
                </w:p>
              </w:tc>
              <w:tc>
                <w:tcPr>
                  <w:tcW w:w="6222" w:type="dxa"/>
                  <w:tcBorders>
                    <w:tl2br w:val="nil"/>
                    <w:tr2bl w:val="nil"/>
                  </w:tcBorders>
                  <w:vAlign w:val="center"/>
                </w:tcPr>
                <w:p w14:paraId="734184C6">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石油精炼过程中产生的酸焦油和其他焦油</w:t>
                  </w:r>
                </w:p>
              </w:tc>
              <w:tc>
                <w:tcPr>
                  <w:tcW w:w="1005" w:type="dxa"/>
                  <w:tcBorders>
                    <w:tl2br w:val="nil"/>
                    <w:tr2bl w:val="nil"/>
                  </w:tcBorders>
                  <w:vAlign w:val="center"/>
                </w:tcPr>
                <w:p w14:paraId="17194D3A">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w:t>
                  </w:r>
                </w:p>
              </w:tc>
              <w:tc>
                <w:tcPr>
                  <w:tcW w:w="1140" w:type="dxa"/>
                  <w:tcBorders>
                    <w:tl2br w:val="nil"/>
                    <w:tr2bl w:val="nil"/>
                  </w:tcBorders>
                  <w:vAlign w:val="center"/>
                </w:tcPr>
                <w:p w14:paraId="07319901">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液态</w:t>
                  </w:r>
                </w:p>
              </w:tc>
              <w:tc>
                <w:tcPr>
                  <w:tcW w:w="1170" w:type="dxa"/>
                  <w:tcBorders>
                    <w:tl2br w:val="nil"/>
                    <w:tr2bl w:val="nil"/>
                  </w:tcBorders>
                  <w:vAlign w:val="center"/>
                </w:tcPr>
                <w:p w14:paraId="46610574">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桶装</w:t>
                  </w:r>
                </w:p>
              </w:tc>
            </w:tr>
            <w:tr w14:paraId="65A93A7B">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6A978D3C">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tcBorders>
                    <w:tl2br w:val="nil"/>
                    <w:tr2bl w:val="nil"/>
                  </w:tcBorders>
                  <w:vAlign w:val="center"/>
                </w:tcPr>
                <w:p w14:paraId="4C20231D">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煤炭加工</w:t>
                  </w:r>
                </w:p>
              </w:tc>
              <w:tc>
                <w:tcPr>
                  <w:tcW w:w="1233" w:type="dxa"/>
                  <w:tcBorders>
                    <w:tl2br w:val="nil"/>
                    <w:tr2bl w:val="nil"/>
                  </w:tcBorders>
                  <w:shd w:val="clear" w:color="auto" w:fill="auto"/>
                  <w:vAlign w:val="center"/>
                </w:tcPr>
                <w:p w14:paraId="295259CD">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color w:val="auto"/>
                      <w:spacing w:val="0"/>
                      <w:sz w:val="21"/>
                      <w:szCs w:val="21"/>
                    </w:rPr>
                    <w:t>252-005-11</w:t>
                  </w:r>
                </w:p>
              </w:tc>
              <w:tc>
                <w:tcPr>
                  <w:tcW w:w="6222" w:type="dxa"/>
                  <w:tcBorders>
                    <w:tl2br w:val="nil"/>
                    <w:tr2bl w:val="nil"/>
                  </w:tcBorders>
                  <w:shd w:val="clear" w:color="auto" w:fill="auto"/>
                  <w:vAlign w:val="center"/>
                </w:tcPr>
                <w:p w14:paraId="5FF6F429">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color w:val="auto"/>
                      <w:spacing w:val="0"/>
                      <w:sz w:val="21"/>
                      <w:szCs w:val="21"/>
                    </w:rPr>
                    <w:t>煤焦油加工过程中焦油储存设施中的焦油渣</w:t>
                  </w:r>
                </w:p>
              </w:tc>
              <w:tc>
                <w:tcPr>
                  <w:tcW w:w="1005" w:type="dxa"/>
                  <w:tcBorders>
                    <w:tl2br w:val="nil"/>
                    <w:tr2bl w:val="nil"/>
                  </w:tcBorders>
                  <w:shd w:val="clear" w:color="auto" w:fill="auto"/>
                  <w:vAlign w:val="center"/>
                </w:tcPr>
                <w:p w14:paraId="6245839A">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color w:val="auto"/>
                      <w:spacing w:val="0"/>
                      <w:sz w:val="21"/>
                      <w:szCs w:val="21"/>
                    </w:rPr>
                    <w:t>T</w:t>
                  </w:r>
                </w:p>
              </w:tc>
              <w:tc>
                <w:tcPr>
                  <w:tcW w:w="1140" w:type="dxa"/>
                  <w:tcBorders>
                    <w:tl2br w:val="nil"/>
                    <w:tr2bl w:val="nil"/>
                  </w:tcBorders>
                  <w:shd w:val="clear" w:color="auto" w:fill="auto"/>
                  <w:vAlign w:val="center"/>
                </w:tcPr>
                <w:p w14:paraId="327991B3">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液态/固态</w:t>
                  </w:r>
                </w:p>
              </w:tc>
              <w:tc>
                <w:tcPr>
                  <w:tcW w:w="1170" w:type="dxa"/>
                  <w:tcBorders>
                    <w:tl2br w:val="nil"/>
                    <w:tr2bl w:val="nil"/>
                  </w:tcBorders>
                  <w:shd w:val="clear" w:color="auto" w:fill="auto"/>
                  <w:vAlign w:val="center"/>
                </w:tcPr>
                <w:p w14:paraId="6616B36D">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桶装/袋装</w:t>
                  </w:r>
                </w:p>
              </w:tc>
            </w:tr>
            <w:tr w14:paraId="61DBDECE">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6890EEB6">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restart"/>
                  <w:tcBorders>
                    <w:tl2br w:val="nil"/>
                    <w:tr2bl w:val="nil"/>
                  </w:tcBorders>
                  <w:vAlign w:val="center"/>
                </w:tcPr>
                <w:p w14:paraId="5877710E">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基础化学原料制造</w:t>
                  </w:r>
                </w:p>
              </w:tc>
              <w:tc>
                <w:tcPr>
                  <w:tcW w:w="1233" w:type="dxa"/>
                  <w:tcBorders>
                    <w:tl2br w:val="nil"/>
                    <w:tr2bl w:val="nil"/>
                  </w:tcBorders>
                  <w:shd w:val="clear" w:color="auto" w:fill="auto"/>
                  <w:vAlign w:val="center"/>
                </w:tcPr>
                <w:p w14:paraId="7545C126">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color w:val="auto"/>
                      <w:spacing w:val="0"/>
                      <w:sz w:val="21"/>
                      <w:szCs w:val="21"/>
                    </w:rPr>
                    <w:t>261-013-11</w:t>
                  </w:r>
                </w:p>
              </w:tc>
              <w:tc>
                <w:tcPr>
                  <w:tcW w:w="6222" w:type="dxa"/>
                  <w:tcBorders>
                    <w:tl2br w:val="nil"/>
                    <w:tr2bl w:val="nil"/>
                  </w:tcBorders>
                  <w:shd w:val="clear" w:color="auto" w:fill="auto"/>
                  <w:vAlign w:val="center"/>
                </w:tcPr>
                <w:p w14:paraId="2366FA76">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color w:val="auto"/>
                      <w:spacing w:val="0"/>
                      <w:sz w:val="21"/>
                      <w:szCs w:val="21"/>
                    </w:rPr>
                    <w:t>萘法生产邻苯二甲酸酐过程中产生的蒸馏残渣和轻馏分</w:t>
                  </w:r>
                </w:p>
              </w:tc>
              <w:tc>
                <w:tcPr>
                  <w:tcW w:w="1005" w:type="dxa"/>
                  <w:tcBorders>
                    <w:tl2br w:val="nil"/>
                    <w:tr2bl w:val="nil"/>
                  </w:tcBorders>
                  <w:shd w:val="clear" w:color="auto" w:fill="auto"/>
                  <w:vAlign w:val="center"/>
                </w:tcPr>
                <w:p w14:paraId="797C586C">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color w:val="auto"/>
                      <w:spacing w:val="0"/>
                      <w:sz w:val="21"/>
                      <w:szCs w:val="21"/>
                    </w:rPr>
                    <w:t>T</w:t>
                  </w:r>
                </w:p>
              </w:tc>
              <w:tc>
                <w:tcPr>
                  <w:tcW w:w="1140" w:type="dxa"/>
                  <w:tcBorders>
                    <w:tl2br w:val="nil"/>
                    <w:tr2bl w:val="nil"/>
                  </w:tcBorders>
                  <w:shd w:val="clear" w:color="auto" w:fill="auto"/>
                  <w:vAlign w:val="center"/>
                </w:tcPr>
                <w:p w14:paraId="38755BD1">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液态/固态</w:t>
                  </w:r>
                </w:p>
              </w:tc>
              <w:tc>
                <w:tcPr>
                  <w:tcW w:w="1170" w:type="dxa"/>
                  <w:tcBorders>
                    <w:tl2br w:val="nil"/>
                    <w:tr2bl w:val="nil"/>
                  </w:tcBorders>
                  <w:shd w:val="clear" w:color="auto" w:fill="auto"/>
                  <w:vAlign w:val="center"/>
                </w:tcPr>
                <w:p w14:paraId="1CE03D12">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桶装/袋装</w:t>
                  </w:r>
                </w:p>
              </w:tc>
            </w:tr>
            <w:tr w14:paraId="02A539AD">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45B2FF1A">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65AEF44C">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233" w:type="dxa"/>
                  <w:tcBorders>
                    <w:tl2br w:val="nil"/>
                    <w:tr2bl w:val="nil"/>
                  </w:tcBorders>
                  <w:shd w:val="clear" w:color="auto" w:fill="auto"/>
                  <w:vAlign w:val="center"/>
                </w:tcPr>
                <w:p w14:paraId="1D57D23E">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color w:val="auto"/>
                      <w:spacing w:val="0"/>
                      <w:sz w:val="21"/>
                      <w:szCs w:val="21"/>
                    </w:rPr>
                    <w:t>261-014-11</w:t>
                  </w:r>
                </w:p>
              </w:tc>
              <w:tc>
                <w:tcPr>
                  <w:tcW w:w="6222" w:type="dxa"/>
                  <w:tcBorders>
                    <w:tl2br w:val="nil"/>
                    <w:tr2bl w:val="nil"/>
                  </w:tcBorders>
                  <w:shd w:val="clear" w:color="auto" w:fill="auto"/>
                  <w:vAlign w:val="center"/>
                </w:tcPr>
                <w:p w14:paraId="1152F9A4">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color w:val="auto"/>
                      <w:spacing w:val="0"/>
                      <w:sz w:val="21"/>
                      <w:szCs w:val="21"/>
                    </w:rPr>
                    <w:t>邻二甲苯法生产邻苯二甲酸酐过程中产生的蒸馏残渣和轻馏分</w:t>
                  </w:r>
                </w:p>
              </w:tc>
              <w:tc>
                <w:tcPr>
                  <w:tcW w:w="1005" w:type="dxa"/>
                  <w:tcBorders>
                    <w:tl2br w:val="nil"/>
                    <w:tr2bl w:val="nil"/>
                  </w:tcBorders>
                  <w:shd w:val="clear" w:color="auto" w:fill="auto"/>
                  <w:vAlign w:val="center"/>
                </w:tcPr>
                <w:p w14:paraId="21760C91">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color w:val="auto"/>
                      <w:spacing w:val="0"/>
                      <w:sz w:val="21"/>
                      <w:szCs w:val="21"/>
                    </w:rPr>
                    <w:t>T</w:t>
                  </w:r>
                </w:p>
              </w:tc>
              <w:tc>
                <w:tcPr>
                  <w:tcW w:w="1140" w:type="dxa"/>
                  <w:tcBorders>
                    <w:tl2br w:val="nil"/>
                    <w:tr2bl w:val="nil"/>
                  </w:tcBorders>
                  <w:shd w:val="clear" w:color="auto" w:fill="auto"/>
                  <w:vAlign w:val="center"/>
                </w:tcPr>
                <w:p w14:paraId="740B80A2">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液态/固态</w:t>
                  </w:r>
                </w:p>
              </w:tc>
              <w:tc>
                <w:tcPr>
                  <w:tcW w:w="1170" w:type="dxa"/>
                  <w:tcBorders>
                    <w:tl2br w:val="nil"/>
                    <w:tr2bl w:val="nil"/>
                  </w:tcBorders>
                  <w:shd w:val="clear" w:color="auto" w:fill="auto"/>
                  <w:vAlign w:val="center"/>
                </w:tcPr>
                <w:p w14:paraId="7205F89C">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桶装/袋装</w:t>
                  </w:r>
                </w:p>
              </w:tc>
            </w:tr>
            <w:tr w14:paraId="08ADB2EF">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026517E3">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21AFD72C">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233" w:type="dxa"/>
                  <w:tcBorders>
                    <w:tl2br w:val="nil"/>
                    <w:tr2bl w:val="nil"/>
                  </w:tcBorders>
                  <w:vAlign w:val="center"/>
                </w:tcPr>
                <w:p w14:paraId="56C3E5A0">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261-032-11</w:t>
                  </w:r>
                </w:p>
              </w:tc>
              <w:tc>
                <w:tcPr>
                  <w:tcW w:w="6222" w:type="dxa"/>
                  <w:tcBorders>
                    <w:tl2br w:val="nil"/>
                    <w:tr2bl w:val="nil"/>
                  </w:tcBorders>
                  <w:vAlign w:val="center"/>
                </w:tcPr>
                <w:p w14:paraId="53075107">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氯乙烯单体生产过程中蒸馏产生的重馏分</w:t>
                  </w:r>
                </w:p>
              </w:tc>
              <w:tc>
                <w:tcPr>
                  <w:tcW w:w="1005" w:type="dxa"/>
                  <w:tcBorders>
                    <w:tl2br w:val="nil"/>
                    <w:tr2bl w:val="nil"/>
                  </w:tcBorders>
                  <w:vAlign w:val="center"/>
                </w:tcPr>
                <w:p w14:paraId="77625570">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w:t>
                  </w:r>
                </w:p>
              </w:tc>
              <w:tc>
                <w:tcPr>
                  <w:tcW w:w="1140" w:type="dxa"/>
                  <w:tcBorders>
                    <w:tl2br w:val="nil"/>
                    <w:tr2bl w:val="nil"/>
                  </w:tcBorders>
                  <w:vAlign w:val="center"/>
                </w:tcPr>
                <w:p w14:paraId="01D8222F">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液态/固态</w:t>
                  </w:r>
                </w:p>
              </w:tc>
              <w:tc>
                <w:tcPr>
                  <w:tcW w:w="1170" w:type="dxa"/>
                  <w:tcBorders>
                    <w:tl2br w:val="nil"/>
                    <w:tr2bl w:val="nil"/>
                  </w:tcBorders>
                  <w:vAlign w:val="center"/>
                </w:tcPr>
                <w:p w14:paraId="53EA9085">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桶装/袋装</w:t>
                  </w:r>
                </w:p>
              </w:tc>
            </w:tr>
            <w:tr w14:paraId="7D131478">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2FA3AF87">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30A4860B">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233" w:type="dxa"/>
                  <w:tcBorders>
                    <w:tl2br w:val="nil"/>
                    <w:tr2bl w:val="nil"/>
                  </w:tcBorders>
                  <w:shd w:val="clear" w:color="auto" w:fill="auto"/>
                  <w:vAlign w:val="center"/>
                </w:tcPr>
                <w:p w14:paraId="50C35D2B">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color w:val="auto"/>
                      <w:spacing w:val="0"/>
                      <w:sz w:val="21"/>
                      <w:szCs w:val="21"/>
                    </w:rPr>
                    <w:t>261-034-11</w:t>
                  </w:r>
                </w:p>
              </w:tc>
              <w:tc>
                <w:tcPr>
                  <w:tcW w:w="6222" w:type="dxa"/>
                  <w:tcBorders>
                    <w:tl2br w:val="nil"/>
                    <w:tr2bl w:val="nil"/>
                  </w:tcBorders>
                  <w:shd w:val="clear" w:color="auto" w:fill="auto"/>
                  <w:vAlign w:val="center"/>
                </w:tcPr>
                <w:p w14:paraId="68E240DB">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color w:val="auto"/>
                      <w:spacing w:val="0"/>
                      <w:sz w:val="21"/>
                      <w:szCs w:val="21"/>
                    </w:rPr>
                    <w:t>1,1,1-三氯乙烷生产过程中蒸馏产生的重馏分</w:t>
                  </w:r>
                </w:p>
              </w:tc>
              <w:tc>
                <w:tcPr>
                  <w:tcW w:w="1005" w:type="dxa"/>
                  <w:tcBorders>
                    <w:tl2br w:val="nil"/>
                    <w:tr2bl w:val="nil"/>
                  </w:tcBorders>
                  <w:shd w:val="clear" w:color="auto" w:fill="auto"/>
                  <w:vAlign w:val="center"/>
                </w:tcPr>
                <w:p w14:paraId="02DF834F">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color w:val="auto"/>
                      <w:spacing w:val="0"/>
                      <w:sz w:val="21"/>
                      <w:szCs w:val="21"/>
                    </w:rPr>
                    <w:t>T</w:t>
                  </w:r>
                </w:p>
              </w:tc>
              <w:tc>
                <w:tcPr>
                  <w:tcW w:w="1140" w:type="dxa"/>
                  <w:tcBorders>
                    <w:tl2br w:val="nil"/>
                    <w:tr2bl w:val="nil"/>
                  </w:tcBorders>
                  <w:shd w:val="clear" w:color="auto" w:fill="auto"/>
                  <w:vAlign w:val="center"/>
                </w:tcPr>
                <w:p w14:paraId="4092C245">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液态/固态</w:t>
                  </w:r>
                </w:p>
              </w:tc>
              <w:tc>
                <w:tcPr>
                  <w:tcW w:w="1170" w:type="dxa"/>
                  <w:tcBorders>
                    <w:tl2br w:val="nil"/>
                    <w:tr2bl w:val="nil"/>
                  </w:tcBorders>
                  <w:shd w:val="clear" w:color="auto" w:fill="auto"/>
                  <w:vAlign w:val="center"/>
                </w:tcPr>
                <w:p w14:paraId="230BFF46">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桶装/袋装</w:t>
                  </w:r>
                </w:p>
              </w:tc>
            </w:tr>
            <w:tr w14:paraId="715A9C9D">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62B06935">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564C8BD3">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233" w:type="dxa"/>
                  <w:tcBorders>
                    <w:tl2br w:val="nil"/>
                    <w:tr2bl w:val="nil"/>
                  </w:tcBorders>
                  <w:vAlign w:val="center"/>
                </w:tcPr>
                <w:p w14:paraId="7D594A08">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261-113-11</w:t>
                  </w:r>
                </w:p>
              </w:tc>
              <w:tc>
                <w:tcPr>
                  <w:tcW w:w="6222" w:type="dxa"/>
                  <w:tcBorders>
                    <w:tl2br w:val="nil"/>
                    <w:tr2bl w:val="nil"/>
                  </w:tcBorders>
                  <w:vAlign w:val="center"/>
                </w:tcPr>
                <w:p w14:paraId="4D5077BC">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乙烯直接氯化生产二氯乙烷过程中产生的重馏分</w:t>
                  </w:r>
                </w:p>
              </w:tc>
              <w:tc>
                <w:tcPr>
                  <w:tcW w:w="1005" w:type="dxa"/>
                  <w:tcBorders>
                    <w:tl2br w:val="nil"/>
                    <w:tr2bl w:val="nil"/>
                  </w:tcBorders>
                  <w:vAlign w:val="center"/>
                </w:tcPr>
                <w:p w14:paraId="3BA7E6BD">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w:t>
                  </w:r>
                </w:p>
              </w:tc>
              <w:tc>
                <w:tcPr>
                  <w:tcW w:w="1140" w:type="dxa"/>
                  <w:tcBorders>
                    <w:tl2br w:val="nil"/>
                    <w:tr2bl w:val="nil"/>
                  </w:tcBorders>
                  <w:vAlign w:val="center"/>
                </w:tcPr>
                <w:p w14:paraId="69BCD05E">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液态/固态</w:t>
                  </w:r>
                </w:p>
              </w:tc>
              <w:tc>
                <w:tcPr>
                  <w:tcW w:w="1170" w:type="dxa"/>
                  <w:tcBorders>
                    <w:tl2br w:val="nil"/>
                    <w:tr2bl w:val="nil"/>
                  </w:tcBorders>
                  <w:vAlign w:val="center"/>
                </w:tcPr>
                <w:p w14:paraId="7B219FD4">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桶装/袋装</w:t>
                  </w:r>
                </w:p>
              </w:tc>
            </w:tr>
            <w:tr w14:paraId="6815AD6D">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11200ABB">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3083D80A">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233" w:type="dxa"/>
                  <w:tcBorders>
                    <w:tl2br w:val="nil"/>
                    <w:tr2bl w:val="nil"/>
                  </w:tcBorders>
                  <w:vAlign w:val="center"/>
                </w:tcPr>
                <w:p w14:paraId="1C2CA598">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261-117-11</w:t>
                  </w:r>
                </w:p>
              </w:tc>
              <w:tc>
                <w:tcPr>
                  <w:tcW w:w="6222" w:type="dxa"/>
                  <w:tcBorders>
                    <w:tl2br w:val="nil"/>
                    <w:tr2bl w:val="nil"/>
                  </w:tcBorders>
                  <w:vAlign w:val="center"/>
                </w:tcPr>
                <w:p w14:paraId="7572661C">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乙炔气相合成、氧氯化生产氯乙烯过程中产生的重馏分</w:t>
                  </w:r>
                </w:p>
              </w:tc>
              <w:tc>
                <w:tcPr>
                  <w:tcW w:w="1005" w:type="dxa"/>
                  <w:tcBorders>
                    <w:tl2br w:val="nil"/>
                    <w:tr2bl w:val="nil"/>
                  </w:tcBorders>
                  <w:vAlign w:val="center"/>
                </w:tcPr>
                <w:p w14:paraId="12304178">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w:t>
                  </w:r>
                </w:p>
              </w:tc>
              <w:tc>
                <w:tcPr>
                  <w:tcW w:w="1140" w:type="dxa"/>
                  <w:tcBorders>
                    <w:tl2br w:val="nil"/>
                    <w:tr2bl w:val="nil"/>
                  </w:tcBorders>
                  <w:vAlign w:val="center"/>
                </w:tcPr>
                <w:p w14:paraId="1B1735F2">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液态/固态</w:t>
                  </w:r>
                </w:p>
              </w:tc>
              <w:tc>
                <w:tcPr>
                  <w:tcW w:w="1170" w:type="dxa"/>
                  <w:tcBorders>
                    <w:tl2br w:val="nil"/>
                    <w:tr2bl w:val="nil"/>
                  </w:tcBorders>
                  <w:vAlign w:val="center"/>
                </w:tcPr>
                <w:p w14:paraId="5343AACB">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桶装/袋装</w:t>
                  </w:r>
                </w:p>
              </w:tc>
            </w:tr>
            <w:tr w14:paraId="183ED4FC">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39884DB9">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706FBF11">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233" w:type="dxa"/>
                  <w:tcBorders>
                    <w:tl2br w:val="nil"/>
                    <w:tr2bl w:val="nil"/>
                  </w:tcBorders>
                  <w:vAlign w:val="center"/>
                </w:tcPr>
                <w:p w14:paraId="5E62BEBB">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261-126-11</w:t>
                  </w:r>
                </w:p>
              </w:tc>
              <w:tc>
                <w:tcPr>
                  <w:tcW w:w="6222" w:type="dxa"/>
                  <w:tcBorders>
                    <w:tl2br w:val="nil"/>
                    <w:tr2bl w:val="nil"/>
                  </w:tcBorders>
                  <w:vAlign w:val="center"/>
                </w:tcPr>
                <w:p w14:paraId="27DFCD75">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化学合成法生产异戊二烯过程中产生的重馏分</w:t>
                  </w:r>
                </w:p>
              </w:tc>
              <w:tc>
                <w:tcPr>
                  <w:tcW w:w="1005" w:type="dxa"/>
                  <w:tcBorders>
                    <w:tl2br w:val="nil"/>
                    <w:tr2bl w:val="nil"/>
                  </w:tcBorders>
                  <w:vAlign w:val="center"/>
                </w:tcPr>
                <w:p w14:paraId="3476BB74">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w:t>
                  </w:r>
                </w:p>
              </w:tc>
              <w:tc>
                <w:tcPr>
                  <w:tcW w:w="1140" w:type="dxa"/>
                  <w:tcBorders>
                    <w:tl2br w:val="nil"/>
                    <w:tr2bl w:val="nil"/>
                  </w:tcBorders>
                  <w:vAlign w:val="center"/>
                </w:tcPr>
                <w:p w14:paraId="5ECF32DF">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液态/固态</w:t>
                  </w:r>
                </w:p>
              </w:tc>
              <w:tc>
                <w:tcPr>
                  <w:tcW w:w="1170" w:type="dxa"/>
                  <w:tcBorders>
                    <w:tl2br w:val="nil"/>
                    <w:tr2bl w:val="nil"/>
                  </w:tcBorders>
                  <w:vAlign w:val="center"/>
                </w:tcPr>
                <w:p w14:paraId="577F1AD0">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桶装/袋装</w:t>
                  </w:r>
                </w:p>
              </w:tc>
            </w:tr>
            <w:tr w14:paraId="088B71E0">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05CB1A51">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76E43D45">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233" w:type="dxa"/>
                  <w:tcBorders>
                    <w:tl2br w:val="nil"/>
                    <w:tr2bl w:val="nil"/>
                  </w:tcBorders>
                  <w:vAlign w:val="center"/>
                </w:tcPr>
                <w:p w14:paraId="3483B15E">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261-127-11</w:t>
                  </w:r>
                </w:p>
              </w:tc>
              <w:tc>
                <w:tcPr>
                  <w:tcW w:w="6222" w:type="dxa"/>
                  <w:tcBorders>
                    <w:tl2br w:val="nil"/>
                    <w:tr2bl w:val="nil"/>
                  </w:tcBorders>
                  <w:vAlign w:val="center"/>
                </w:tcPr>
                <w:p w14:paraId="41C13F66">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碳五馏分分离生产异戊二烯过程中产生的重馏分</w:t>
                  </w:r>
                </w:p>
              </w:tc>
              <w:tc>
                <w:tcPr>
                  <w:tcW w:w="1005" w:type="dxa"/>
                  <w:tcBorders>
                    <w:tl2br w:val="nil"/>
                    <w:tr2bl w:val="nil"/>
                  </w:tcBorders>
                  <w:vAlign w:val="center"/>
                </w:tcPr>
                <w:p w14:paraId="0E6DCAFC">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w:t>
                  </w:r>
                </w:p>
              </w:tc>
              <w:tc>
                <w:tcPr>
                  <w:tcW w:w="1140" w:type="dxa"/>
                  <w:tcBorders>
                    <w:tl2br w:val="nil"/>
                    <w:tr2bl w:val="nil"/>
                  </w:tcBorders>
                  <w:vAlign w:val="center"/>
                </w:tcPr>
                <w:p w14:paraId="525B6BFA">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液态/固态</w:t>
                  </w:r>
                </w:p>
              </w:tc>
              <w:tc>
                <w:tcPr>
                  <w:tcW w:w="1170" w:type="dxa"/>
                  <w:tcBorders>
                    <w:tl2br w:val="nil"/>
                    <w:tr2bl w:val="nil"/>
                  </w:tcBorders>
                  <w:vAlign w:val="center"/>
                </w:tcPr>
                <w:p w14:paraId="2C6550D7">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桶装/袋装</w:t>
                  </w:r>
                </w:p>
              </w:tc>
            </w:tr>
            <w:tr w14:paraId="6B569474">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103" w:hRule="atLeast"/>
              </w:trPr>
              <w:tc>
                <w:tcPr>
                  <w:tcW w:w="1096" w:type="dxa"/>
                  <w:vMerge w:val="continue"/>
                  <w:tcBorders>
                    <w:tl2br w:val="nil"/>
                    <w:tr2bl w:val="nil"/>
                  </w:tcBorders>
                  <w:vAlign w:val="center"/>
                </w:tcPr>
                <w:p w14:paraId="7EA4E03E">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tcBorders>
                    <w:tl2br w:val="nil"/>
                    <w:tr2bl w:val="nil"/>
                  </w:tcBorders>
                  <w:vAlign w:val="center"/>
                </w:tcPr>
                <w:p w14:paraId="28D8E536">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6"/>
                      <w:sz w:val="21"/>
                      <w:szCs w:val="21"/>
                    </w:rPr>
                  </w:pPr>
                  <w:r>
                    <w:rPr>
                      <w:rFonts w:hint="default" w:ascii="Times New Roman" w:hAnsi="Times New Roman" w:eastAsia="宋体" w:cs="Times New Roman"/>
                      <w:color w:val="auto"/>
                      <w:spacing w:val="-6"/>
                      <w:sz w:val="21"/>
                      <w:szCs w:val="21"/>
                    </w:rPr>
                    <w:t>环境治理业</w:t>
                  </w:r>
                </w:p>
              </w:tc>
              <w:tc>
                <w:tcPr>
                  <w:tcW w:w="1233" w:type="dxa"/>
                  <w:tcBorders>
                    <w:tl2br w:val="nil"/>
                    <w:tr2bl w:val="nil"/>
                  </w:tcBorders>
                  <w:vAlign w:val="center"/>
                </w:tcPr>
                <w:p w14:paraId="792DEEA1">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772-001-11</w:t>
                  </w:r>
                </w:p>
              </w:tc>
              <w:tc>
                <w:tcPr>
                  <w:tcW w:w="6222" w:type="dxa"/>
                  <w:tcBorders>
                    <w:tl2br w:val="nil"/>
                    <w:tr2bl w:val="nil"/>
                  </w:tcBorders>
                  <w:vAlign w:val="center"/>
                </w:tcPr>
                <w:p w14:paraId="6D09CE08">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废矿物油再生过程中产生的酸焦油</w:t>
                  </w:r>
                </w:p>
              </w:tc>
              <w:tc>
                <w:tcPr>
                  <w:tcW w:w="1005" w:type="dxa"/>
                  <w:tcBorders>
                    <w:tl2br w:val="nil"/>
                    <w:tr2bl w:val="nil"/>
                  </w:tcBorders>
                  <w:vAlign w:val="center"/>
                </w:tcPr>
                <w:p w14:paraId="5062D853">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w:t>
                  </w:r>
                </w:p>
              </w:tc>
              <w:tc>
                <w:tcPr>
                  <w:tcW w:w="1140" w:type="dxa"/>
                  <w:tcBorders>
                    <w:tl2br w:val="nil"/>
                    <w:tr2bl w:val="nil"/>
                  </w:tcBorders>
                  <w:shd w:val="clear" w:color="auto" w:fill="auto"/>
                  <w:vAlign w:val="center"/>
                </w:tcPr>
                <w:p w14:paraId="6F6E2A77">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液态</w:t>
                  </w:r>
                </w:p>
              </w:tc>
              <w:tc>
                <w:tcPr>
                  <w:tcW w:w="1170" w:type="dxa"/>
                  <w:tcBorders>
                    <w:tl2br w:val="nil"/>
                    <w:tr2bl w:val="nil"/>
                  </w:tcBorders>
                  <w:shd w:val="clear" w:color="auto" w:fill="auto"/>
                  <w:vAlign w:val="center"/>
                </w:tcPr>
                <w:p w14:paraId="6EDE85F9">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桶装</w:t>
                  </w:r>
                </w:p>
              </w:tc>
            </w:tr>
            <w:tr w14:paraId="43C8285C">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5CACB146">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tcBorders>
                    <w:tl2br w:val="nil"/>
                    <w:tr2bl w:val="nil"/>
                  </w:tcBorders>
                  <w:vAlign w:val="center"/>
                </w:tcPr>
                <w:p w14:paraId="0C4D5527">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6"/>
                      <w:sz w:val="21"/>
                      <w:szCs w:val="21"/>
                    </w:rPr>
                  </w:pPr>
                  <w:r>
                    <w:rPr>
                      <w:rFonts w:hint="default" w:ascii="Times New Roman" w:hAnsi="Times New Roman" w:eastAsia="宋体" w:cs="Times New Roman"/>
                      <w:color w:val="auto"/>
                      <w:spacing w:val="-6"/>
                      <w:sz w:val="21"/>
                      <w:szCs w:val="21"/>
                    </w:rPr>
                    <w:t>非特定行业</w:t>
                  </w:r>
                </w:p>
              </w:tc>
              <w:tc>
                <w:tcPr>
                  <w:tcW w:w="1233" w:type="dxa"/>
                  <w:tcBorders>
                    <w:tl2br w:val="nil"/>
                    <w:tr2bl w:val="nil"/>
                  </w:tcBorders>
                  <w:vAlign w:val="center"/>
                </w:tcPr>
                <w:p w14:paraId="3041CB4B">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900-013-11</w:t>
                  </w:r>
                </w:p>
              </w:tc>
              <w:tc>
                <w:tcPr>
                  <w:tcW w:w="6222" w:type="dxa"/>
                  <w:tcBorders>
                    <w:tl2br w:val="nil"/>
                    <w:tr2bl w:val="nil"/>
                  </w:tcBorders>
                  <w:vAlign w:val="center"/>
                </w:tcPr>
                <w:p w14:paraId="1045E6FA">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其他化工生产过程（不包括以生物质为主要原料的加工过程）中精馏、蒸馏和热解工艺产生的高沸点釜底残余物</w:t>
                  </w:r>
                </w:p>
              </w:tc>
              <w:tc>
                <w:tcPr>
                  <w:tcW w:w="1005" w:type="dxa"/>
                  <w:tcBorders>
                    <w:tl2br w:val="nil"/>
                    <w:tr2bl w:val="nil"/>
                  </w:tcBorders>
                  <w:vAlign w:val="center"/>
                </w:tcPr>
                <w:p w14:paraId="4968E317">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w:t>
                  </w:r>
                </w:p>
              </w:tc>
              <w:tc>
                <w:tcPr>
                  <w:tcW w:w="1140" w:type="dxa"/>
                  <w:tcBorders>
                    <w:tl2br w:val="nil"/>
                    <w:tr2bl w:val="nil"/>
                  </w:tcBorders>
                  <w:vAlign w:val="center"/>
                </w:tcPr>
                <w:p w14:paraId="6CE8D1A8">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eastAsia" w:ascii="Times New Roman" w:hAnsi="Times New Roman" w:eastAsia="宋体" w:cs="Times New Roman"/>
                      <w:color w:val="auto"/>
                      <w:spacing w:val="0"/>
                      <w:sz w:val="21"/>
                      <w:szCs w:val="21"/>
                      <w:lang w:val="en-US" w:eastAsia="zh-CN"/>
                    </w:rPr>
                  </w:pPr>
                  <w:r>
                    <w:rPr>
                      <w:rFonts w:hint="eastAsia" w:ascii="Times New Roman" w:hAnsi="Times New Roman" w:cs="Times New Roman"/>
                      <w:color w:val="auto"/>
                      <w:spacing w:val="0"/>
                      <w:sz w:val="21"/>
                      <w:szCs w:val="21"/>
                      <w:lang w:val="en-US" w:eastAsia="zh-CN"/>
                    </w:rPr>
                    <w:t>固态</w:t>
                  </w:r>
                </w:p>
              </w:tc>
              <w:tc>
                <w:tcPr>
                  <w:tcW w:w="1170" w:type="dxa"/>
                  <w:tcBorders>
                    <w:tl2br w:val="nil"/>
                    <w:tr2bl w:val="nil"/>
                  </w:tcBorders>
                  <w:vAlign w:val="center"/>
                </w:tcPr>
                <w:p w14:paraId="55F5385F">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eastAsia" w:ascii="Times New Roman" w:hAnsi="Times New Roman" w:eastAsia="宋体" w:cs="Times New Roman"/>
                      <w:color w:val="auto"/>
                      <w:spacing w:val="0"/>
                      <w:sz w:val="21"/>
                      <w:szCs w:val="21"/>
                      <w:lang w:val="en-US" w:eastAsia="zh-CN"/>
                    </w:rPr>
                  </w:pPr>
                  <w:r>
                    <w:rPr>
                      <w:rFonts w:hint="eastAsia" w:ascii="Times New Roman" w:hAnsi="Times New Roman" w:cs="Times New Roman"/>
                      <w:color w:val="auto"/>
                      <w:spacing w:val="0"/>
                      <w:sz w:val="21"/>
                      <w:szCs w:val="21"/>
                      <w:lang w:val="en-US" w:eastAsia="zh-CN"/>
                    </w:rPr>
                    <w:t>袋装</w:t>
                  </w:r>
                </w:p>
              </w:tc>
            </w:tr>
            <w:tr w14:paraId="7D0686E1">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restart"/>
                  <w:tcBorders>
                    <w:tl2br w:val="nil"/>
                    <w:tr2bl w:val="nil"/>
                  </w:tcBorders>
                  <w:vAlign w:val="center"/>
                </w:tcPr>
                <w:p w14:paraId="43B3240D">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HW12</w:t>
                  </w:r>
                </w:p>
                <w:p w14:paraId="482BA465">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染料、涂料废物</w:t>
                  </w:r>
                </w:p>
              </w:tc>
              <w:tc>
                <w:tcPr>
                  <w:tcW w:w="1134" w:type="dxa"/>
                  <w:vMerge w:val="restart"/>
                  <w:tcBorders>
                    <w:tl2br w:val="nil"/>
                    <w:tr2bl w:val="nil"/>
                  </w:tcBorders>
                  <w:vAlign w:val="center"/>
                </w:tcPr>
                <w:p w14:paraId="014C51C5">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涂料、油墨、颜料及类似产品制造</w:t>
                  </w:r>
                </w:p>
              </w:tc>
              <w:tc>
                <w:tcPr>
                  <w:tcW w:w="1233" w:type="dxa"/>
                  <w:tcBorders>
                    <w:tl2br w:val="nil"/>
                    <w:tr2bl w:val="nil"/>
                  </w:tcBorders>
                  <w:vAlign w:val="center"/>
                </w:tcPr>
                <w:p w14:paraId="52522F7B">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264-002-12</w:t>
                  </w:r>
                </w:p>
              </w:tc>
              <w:tc>
                <w:tcPr>
                  <w:tcW w:w="6222" w:type="dxa"/>
                  <w:tcBorders>
                    <w:tl2br w:val="nil"/>
                    <w:tr2bl w:val="nil"/>
                  </w:tcBorders>
                  <w:vAlign w:val="center"/>
                </w:tcPr>
                <w:p w14:paraId="5F284912">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铬黄和铬橙颜料生产过程中产生的废水处理污泥</w:t>
                  </w:r>
                </w:p>
              </w:tc>
              <w:tc>
                <w:tcPr>
                  <w:tcW w:w="1005" w:type="dxa"/>
                  <w:tcBorders>
                    <w:tl2br w:val="nil"/>
                    <w:tr2bl w:val="nil"/>
                  </w:tcBorders>
                  <w:vAlign w:val="center"/>
                </w:tcPr>
                <w:p w14:paraId="6F7B5617">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w:t>
                  </w:r>
                </w:p>
              </w:tc>
              <w:tc>
                <w:tcPr>
                  <w:tcW w:w="1140" w:type="dxa"/>
                  <w:tcBorders>
                    <w:tl2br w:val="nil"/>
                    <w:tr2bl w:val="nil"/>
                  </w:tcBorders>
                  <w:vAlign w:val="center"/>
                </w:tcPr>
                <w:p w14:paraId="45E754A3">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固态</w:t>
                  </w:r>
                </w:p>
              </w:tc>
              <w:tc>
                <w:tcPr>
                  <w:tcW w:w="1170" w:type="dxa"/>
                  <w:tcBorders>
                    <w:tl2br w:val="nil"/>
                    <w:tr2bl w:val="nil"/>
                  </w:tcBorders>
                  <w:vAlign w:val="center"/>
                </w:tcPr>
                <w:p w14:paraId="3746BF9E">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桶装</w:t>
                  </w:r>
                </w:p>
              </w:tc>
            </w:tr>
            <w:tr w14:paraId="5F2CC703">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0E7CA9FB">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60AE06E6">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233" w:type="dxa"/>
                  <w:tcBorders>
                    <w:tl2br w:val="nil"/>
                    <w:tr2bl w:val="nil"/>
                  </w:tcBorders>
                  <w:vAlign w:val="center"/>
                </w:tcPr>
                <w:p w14:paraId="52B38972">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264-003-12</w:t>
                  </w:r>
                </w:p>
              </w:tc>
              <w:tc>
                <w:tcPr>
                  <w:tcW w:w="6222" w:type="dxa"/>
                  <w:tcBorders>
                    <w:tl2br w:val="nil"/>
                    <w:tr2bl w:val="nil"/>
                  </w:tcBorders>
                  <w:vAlign w:val="center"/>
                </w:tcPr>
                <w:p w14:paraId="78960DFC">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钼酸橙颜料生产过程中产生的废水处理污泥</w:t>
                  </w:r>
                </w:p>
              </w:tc>
              <w:tc>
                <w:tcPr>
                  <w:tcW w:w="1005" w:type="dxa"/>
                  <w:tcBorders>
                    <w:tl2br w:val="nil"/>
                    <w:tr2bl w:val="nil"/>
                  </w:tcBorders>
                  <w:vAlign w:val="center"/>
                </w:tcPr>
                <w:p w14:paraId="3BA1D7E3">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w:t>
                  </w:r>
                </w:p>
              </w:tc>
              <w:tc>
                <w:tcPr>
                  <w:tcW w:w="1140" w:type="dxa"/>
                  <w:tcBorders>
                    <w:tl2br w:val="nil"/>
                    <w:tr2bl w:val="nil"/>
                  </w:tcBorders>
                  <w:vAlign w:val="center"/>
                </w:tcPr>
                <w:p w14:paraId="7F9FD204">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固态</w:t>
                  </w:r>
                </w:p>
              </w:tc>
              <w:tc>
                <w:tcPr>
                  <w:tcW w:w="1170" w:type="dxa"/>
                  <w:tcBorders>
                    <w:tl2br w:val="nil"/>
                    <w:tr2bl w:val="nil"/>
                  </w:tcBorders>
                  <w:vAlign w:val="center"/>
                </w:tcPr>
                <w:p w14:paraId="2E08EB6F">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桶装</w:t>
                  </w:r>
                </w:p>
              </w:tc>
            </w:tr>
            <w:tr w14:paraId="28F39898">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115BF57A">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332C6DC0">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233" w:type="dxa"/>
                  <w:tcBorders>
                    <w:tl2br w:val="nil"/>
                    <w:tr2bl w:val="nil"/>
                  </w:tcBorders>
                  <w:vAlign w:val="center"/>
                </w:tcPr>
                <w:p w14:paraId="149ADF76">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264-004-12</w:t>
                  </w:r>
                </w:p>
              </w:tc>
              <w:tc>
                <w:tcPr>
                  <w:tcW w:w="6222" w:type="dxa"/>
                  <w:tcBorders>
                    <w:tl2br w:val="nil"/>
                    <w:tr2bl w:val="nil"/>
                  </w:tcBorders>
                  <w:vAlign w:val="center"/>
                </w:tcPr>
                <w:p w14:paraId="2B5243FC">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锌黄颜料生产过程中产生的废水处理污泥</w:t>
                  </w:r>
                </w:p>
              </w:tc>
              <w:tc>
                <w:tcPr>
                  <w:tcW w:w="1005" w:type="dxa"/>
                  <w:tcBorders>
                    <w:tl2br w:val="nil"/>
                    <w:tr2bl w:val="nil"/>
                  </w:tcBorders>
                  <w:vAlign w:val="center"/>
                </w:tcPr>
                <w:p w14:paraId="1AADD140">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w:t>
                  </w:r>
                </w:p>
              </w:tc>
              <w:tc>
                <w:tcPr>
                  <w:tcW w:w="1140" w:type="dxa"/>
                  <w:tcBorders>
                    <w:tl2br w:val="nil"/>
                    <w:tr2bl w:val="nil"/>
                  </w:tcBorders>
                  <w:vAlign w:val="center"/>
                </w:tcPr>
                <w:p w14:paraId="6F390A7C">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固态</w:t>
                  </w:r>
                </w:p>
              </w:tc>
              <w:tc>
                <w:tcPr>
                  <w:tcW w:w="1170" w:type="dxa"/>
                  <w:tcBorders>
                    <w:tl2br w:val="nil"/>
                    <w:tr2bl w:val="nil"/>
                  </w:tcBorders>
                  <w:vAlign w:val="center"/>
                </w:tcPr>
                <w:p w14:paraId="099558C4">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桶装</w:t>
                  </w:r>
                </w:p>
              </w:tc>
            </w:tr>
            <w:tr w14:paraId="7CDB963C">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01E9077E">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385CB6D9">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233" w:type="dxa"/>
                  <w:tcBorders>
                    <w:tl2br w:val="nil"/>
                    <w:tr2bl w:val="nil"/>
                  </w:tcBorders>
                  <w:vAlign w:val="center"/>
                </w:tcPr>
                <w:p w14:paraId="18606D60">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264-005-12</w:t>
                  </w:r>
                </w:p>
              </w:tc>
              <w:tc>
                <w:tcPr>
                  <w:tcW w:w="6222" w:type="dxa"/>
                  <w:tcBorders>
                    <w:tl2br w:val="nil"/>
                    <w:tr2bl w:val="nil"/>
                  </w:tcBorders>
                  <w:vAlign w:val="center"/>
                </w:tcPr>
                <w:p w14:paraId="165FD87A">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铬绿颜料生产过程中产生的废水处理污泥</w:t>
                  </w:r>
                </w:p>
              </w:tc>
              <w:tc>
                <w:tcPr>
                  <w:tcW w:w="1005" w:type="dxa"/>
                  <w:tcBorders>
                    <w:tl2br w:val="nil"/>
                    <w:tr2bl w:val="nil"/>
                  </w:tcBorders>
                  <w:vAlign w:val="center"/>
                </w:tcPr>
                <w:p w14:paraId="1CA5D652">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w:t>
                  </w:r>
                </w:p>
              </w:tc>
              <w:tc>
                <w:tcPr>
                  <w:tcW w:w="1140" w:type="dxa"/>
                  <w:tcBorders>
                    <w:tl2br w:val="nil"/>
                    <w:tr2bl w:val="nil"/>
                  </w:tcBorders>
                  <w:vAlign w:val="center"/>
                </w:tcPr>
                <w:p w14:paraId="7EDFF9C3">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固态</w:t>
                  </w:r>
                </w:p>
              </w:tc>
              <w:tc>
                <w:tcPr>
                  <w:tcW w:w="1170" w:type="dxa"/>
                  <w:tcBorders>
                    <w:tl2br w:val="nil"/>
                    <w:tr2bl w:val="nil"/>
                  </w:tcBorders>
                  <w:vAlign w:val="center"/>
                </w:tcPr>
                <w:p w14:paraId="5251C7E2">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桶装</w:t>
                  </w:r>
                </w:p>
              </w:tc>
            </w:tr>
            <w:tr w14:paraId="6A6E1CC5">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7702A26B">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7FFF2808">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233" w:type="dxa"/>
                  <w:tcBorders>
                    <w:tl2br w:val="nil"/>
                    <w:tr2bl w:val="nil"/>
                  </w:tcBorders>
                  <w:vAlign w:val="center"/>
                </w:tcPr>
                <w:p w14:paraId="1B4B1CA7">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264-006-12</w:t>
                  </w:r>
                </w:p>
              </w:tc>
              <w:tc>
                <w:tcPr>
                  <w:tcW w:w="6222" w:type="dxa"/>
                  <w:tcBorders>
                    <w:tl2br w:val="nil"/>
                    <w:tr2bl w:val="nil"/>
                  </w:tcBorders>
                  <w:vAlign w:val="center"/>
                </w:tcPr>
                <w:p w14:paraId="6BD886D9">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氧化铬绿颜料生产过程中产生的废水处理污泥</w:t>
                  </w:r>
                </w:p>
              </w:tc>
              <w:tc>
                <w:tcPr>
                  <w:tcW w:w="1005" w:type="dxa"/>
                  <w:tcBorders>
                    <w:tl2br w:val="nil"/>
                    <w:tr2bl w:val="nil"/>
                  </w:tcBorders>
                  <w:vAlign w:val="center"/>
                </w:tcPr>
                <w:p w14:paraId="02C43637">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w:t>
                  </w:r>
                </w:p>
              </w:tc>
              <w:tc>
                <w:tcPr>
                  <w:tcW w:w="1140" w:type="dxa"/>
                  <w:tcBorders>
                    <w:tl2br w:val="nil"/>
                    <w:tr2bl w:val="nil"/>
                  </w:tcBorders>
                  <w:vAlign w:val="center"/>
                </w:tcPr>
                <w:p w14:paraId="4EDCCA2B">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固态</w:t>
                  </w:r>
                </w:p>
              </w:tc>
              <w:tc>
                <w:tcPr>
                  <w:tcW w:w="1170" w:type="dxa"/>
                  <w:tcBorders>
                    <w:tl2br w:val="nil"/>
                    <w:tr2bl w:val="nil"/>
                  </w:tcBorders>
                  <w:vAlign w:val="center"/>
                </w:tcPr>
                <w:p w14:paraId="33BF8F3E">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桶装</w:t>
                  </w:r>
                </w:p>
              </w:tc>
            </w:tr>
            <w:tr w14:paraId="2DECFFAD">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24153BBD">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1810FDC5">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233" w:type="dxa"/>
                  <w:tcBorders>
                    <w:tl2br w:val="nil"/>
                    <w:tr2bl w:val="nil"/>
                  </w:tcBorders>
                  <w:vAlign w:val="center"/>
                </w:tcPr>
                <w:p w14:paraId="73FD9849">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264-007-12</w:t>
                  </w:r>
                </w:p>
              </w:tc>
              <w:tc>
                <w:tcPr>
                  <w:tcW w:w="6222" w:type="dxa"/>
                  <w:tcBorders>
                    <w:tl2br w:val="nil"/>
                    <w:tr2bl w:val="nil"/>
                  </w:tcBorders>
                  <w:vAlign w:val="center"/>
                </w:tcPr>
                <w:p w14:paraId="3E9C3531">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氧化铬绿颜料生产过程中烘干产生的残渣</w:t>
                  </w:r>
                </w:p>
              </w:tc>
              <w:tc>
                <w:tcPr>
                  <w:tcW w:w="1005" w:type="dxa"/>
                  <w:tcBorders>
                    <w:tl2br w:val="nil"/>
                    <w:tr2bl w:val="nil"/>
                  </w:tcBorders>
                  <w:vAlign w:val="center"/>
                </w:tcPr>
                <w:p w14:paraId="7CED16B9">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w:t>
                  </w:r>
                </w:p>
              </w:tc>
              <w:tc>
                <w:tcPr>
                  <w:tcW w:w="1140" w:type="dxa"/>
                  <w:tcBorders>
                    <w:tl2br w:val="nil"/>
                    <w:tr2bl w:val="nil"/>
                  </w:tcBorders>
                  <w:vAlign w:val="center"/>
                </w:tcPr>
                <w:p w14:paraId="33BDFF30">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固态</w:t>
                  </w:r>
                </w:p>
              </w:tc>
              <w:tc>
                <w:tcPr>
                  <w:tcW w:w="1170" w:type="dxa"/>
                  <w:tcBorders>
                    <w:tl2br w:val="nil"/>
                    <w:tr2bl w:val="nil"/>
                  </w:tcBorders>
                  <w:vAlign w:val="center"/>
                </w:tcPr>
                <w:p w14:paraId="52BF3BAF">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袋装</w:t>
                  </w:r>
                </w:p>
              </w:tc>
            </w:tr>
            <w:tr w14:paraId="5DD9905A">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49E26F61">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2CF69643">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233" w:type="dxa"/>
                  <w:tcBorders>
                    <w:tl2br w:val="nil"/>
                    <w:tr2bl w:val="nil"/>
                  </w:tcBorders>
                  <w:vAlign w:val="center"/>
                </w:tcPr>
                <w:p w14:paraId="40432122">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264-008-12</w:t>
                  </w:r>
                </w:p>
              </w:tc>
              <w:tc>
                <w:tcPr>
                  <w:tcW w:w="6222" w:type="dxa"/>
                  <w:tcBorders>
                    <w:tl2br w:val="nil"/>
                    <w:tr2bl w:val="nil"/>
                  </w:tcBorders>
                  <w:vAlign w:val="center"/>
                </w:tcPr>
                <w:p w14:paraId="049C075E">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铁蓝颜料生产过程中产生的废水处理污泥</w:t>
                  </w:r>
                </w:p>
              </w:tc>
              <w:tc>
                <w:tcPr>
                  <w:tcW w:w="1005" w:type="dxa"/>
                  <w:tcBorders>
                    <w:tl2br w:val="nil"/>
                    <w:tr2bl w:val="nil"/>
                  </w:tcBorders>
                  <w:vAlign w:val="center"/>
                </w:tcPr>
                <w:p w14:paraId="6E7A58FD">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w:t>
                  </w:r>
                </w:p>
              </w:tc>
              <w:tc>
                <w:tcPr>
                  <w:tcW w:w="1140" w:type="dxa"/>
                  <w:tcBorders>
                    <w:tl2br w:val="nil"/>
                    <w:tr2bl w:val="nil"/>
                  </w:tcBorders>
                  <w:vAlign w:val="center"/>
                </w:tcPr>
                <w:p w14:paraId="6E106D16">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固态</w:t>
                  </w:r>
                </w:p>
              </w:tc>
              <w:tc>
                <w:tcPr>
                  <w:tcW w:w="1170" w:type="dxa"/>
                  <w:tcBorders>
                    <w:tl2br w:val="nil"/>
                    <w:tr2bl w:val="nil"/>
                  </w:tcBorders>
                  <w:vAlign w:val="center"/>
                </w:tcPr>
                <w:p w14:paraId="71A4F269">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桶装</w:t>
                  </w:r>
                </w:p>
              </w:tc>
            </w:tr>
            <w:tr w14:paraId="5E708EA6">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716785DA">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45BD3777">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233" w:type="dxa"/>
                  <w:tcBorders>
                    <w:tl2br w:val="nil"/>
                    <w:tr2bl w:val="nil"/>
                  </w:tcBorders>
                  <w:vAlign w:val="center"/>
                </w:tcPr>
                <w:p w14:paraId="6725AABA">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264-009-12</w:t>
                  </w:r>
                </w:p>
              </w:tc>
              <w:tc>
                <w:tcPr>
                  <w:tcW w:w="6222" w:type="dxa"/>
                  <w:tcBorders>
                    <w:tl2br w:val="nil"/>
                    <w:tr2bl w:val="nil"/>
                  </w:tcBorders>
                  <w:vAlign w:val="center"/>
                </w:tcPr>
                <w:p w14:paraId="61BB53C3">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使用含铬、铅的稳定剂配制油墨过程中，设备清洗产生的洗涤废液和废水处理污泥</w:t>
                  </w:r>
                </w:p>
              </w:tc>
              <w:tc>
                <w:tcPr>
                  <w:tcW w:w="1005" w:type="dxa"/>
                  <w:tcBorders>
                    <w:tl2br w:val="nil"/>
                    <w:tr2bl w:val="nil"/>
                  </w:tcBorders>
                  <w:vAlign w:val="center"/>
                </w:tcPr>
                <w:p w14:paraId="23B4ED34">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w:t>
                  </w:r>
                </w:p>
              </w:tc>
              <w:tc>
                <w:tcPr>
                  <w:tcW w:w="1140" w:type="dxa"/>
                  <w:tcBorders>
                    <w:tl2br w:val="nil"/>
                    <w:tr2bl w:val="nil"/>
                  </w:tcBorders>
                  <w:vAlign w:val="center"/>
                </w:tcPr>
                <w:p w14:paraId="74829E73">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固态</w:t>
                  </w:r>
                </w:p>
              </w:tc>
              <w:tc>
                <w:tcPr>
                  <w:tcW w:w="1170" w:type="dxa"/>
                  <w:tcBorders>
                    <w:tl2br w:val="nil"/>
                    <w:tr2bl w:val="nil"/>
                  </w:tcBorders>
                  <w:vAlign w:val="center"/>
                </w:tcPr>
                <w:p w14:paraId="42189F71">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桶装</w:t>
                  </w:r>
                </w:p>
              </w:tc>
            </w:tr>
            <w:tr w14:paraId="527710AB">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5588DEFD">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5DCC34AD">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233" w:type="dxa"/>
                  <w:tcBorders>
                    <w:tl2br w:val="nil"/>
                    <w:tr2bl w:val="nil"/>
                  </w:tcBorders>
                  <w:vAlign w:val="center"/>
                </w:tcPr>
                <w:p w14:paraId="3A199727">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264-010-12</w:t>
                  </w:r>
                </w:p>
              </w:tc>
              <w:tc>
                <w:tcPr>
                  <w:tcW w:w="6222" w:type="dxa"/>
                  <w:tcBorders>
                    <w:tl2br w:val="nil"/>
                    <w:tr2bl w:val="nil"/>
                  </w:tcBorders>
                  <w:vAlign w:val="center"/>
                </w:tcPr>
                <w:p w14:paraId="687CB373">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油墨生产、配制过程中产生的废蚀刻液</w:t>
                  </w:r>
                </w:p>
              </w:tc>
              <w:tc>
                <w:tcPr>
                  <w:tcW w:w="1005" w:type="dxa"/>
                  <w:tcBorders>
                    <w:tl2br w:val="nil"/>
                    <w:tr2bl w:val="nil"/>
                  </w:tcBorders>
                  <w:vAlign w:val="center"/>
                </w:tcPr>
                <w:p w14:paraId="20E94FA1">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w:t>
                  </w:r>
                </w:p>
              </w:tc>
              <w:tc>
                <w:tcPr>
                  <w:tcW w:w="1140" w:type="dxa"/>
                  <w:tcBorders>
                    <w:tl2br w:val="nil"/>
                    <w:tr2bl w:val="nil"/>
                  </w:tcBorders>
                  <w:shd w:val="clear" w:color="auto" w:fill="auto"/>
                  <w:vAlign w:val="center"/>
                </w:tcPr>
                <w:p w14:paraId="29296E56">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液态</w:t>
                  </w:r>
                </w:p>
              </w:tc>
              <w:tc>
                <w:tcPr>
                  <w:tcW w:w="1170" w:type="dxa"/>
                  <w:tcBorders>
                    <w:tl2br w:val="nil"/>
                    <w:tr2bl w:val="nil"/>
                  </w:tcBorders>
                  <w:shd w:val="clear" w:color="auto" w:fill="auto"/>
                  <w:vAlign w:val="center"/>
                </w:tcPr>
                <w:p w14:paraId="4A98D71D">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桶装</w:t>
                  </w:r>
                </w:p>
              </w:tc>
            </w:tr>
            <w:tr w14:paraId="101FDF12">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663A7DBC">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3C137842">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233" w:type="dxa"/>
                  <w:tcBorders>
                    <w:tl2br w:val="nil"/>
                    <w:tr2bl w:val="nil"/>
                  </w:tcBorders>
                  <w:vAlign w:val="center"/>
                </w:tcPr>
                <w:p w14:paraId="06A8B663">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264-011-12</w:t>
                  </w:r>
                </w:p>
              </w:tc>
              <w:tc>
                <w:tcPr>
                  <w:tcW w:w="6222" w:type="dxa"/>
                  <w:tcBorders>
                    <w:tl2br w:val="nil"/>
                    <w:tr2bl w:val="nil"/>
                  </w:tcBorders>
                  <w:vAlign w:val="center"/>
                </w:tcPr>
                <w:p w14:paraId="6EA08833">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染</w:t>
                  </w:r>
                  <w:r>
                    <w:rPr>
                      <w:rFonts w:hint="default" w:ascii="Times New Roman" w:hAnsi="Times New Roman" w:eastAsia="宋体" w:cs="Times New Roman"/>
                      <w:color w:val="auto"/>
                      <w:spacing w:val="-6"/>
                      <w:sz w:val="21"/>
                      <w:szCs w:val="21"/>
                    </w:rPr>
                    <w:t>料、颜料生产过程中产生的废母液、残渣、废吸附剂和中间体废物</w:t>
                  </w:r>
                </w:p>
              </w:tc>
              <w:tc>
                <w:tcPr>
                  <w:tcW w:w="1005" w:type="dxa"/>
                  <w:tcBorders>
                    <w:tl2br w:val="nil"/>
                    <w:tr2bl w:val="nil"/>
                  </w:tcBorders>
                  <w:vAlign w:val="center"/>
                </w:tcPr>
                <w:p w14:paraId="2B193A9D">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w:t>
                  </w:r>
                </w:p>
              </w:tc>
              <w:tc>
                <w:tcPr>
                  <w:tcW w:w="1140" w:type="dxa"/>
                  <w:tcBorders>
                    <w:tl2br w:val="nil"/>
                    <w:tr2bl w:val="nil"/>
                  </w:tcBorders>
                  <w:shd w:val="clear" w:color="auto" w:fill="auto"/>
                  <w:vAlign w:val="center"/>
                </w:tcPr>
                <w:p w14:paraId="6F3E07F3">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液态/固态</w:t>
                  </w:r>
                </w:p>
              </w:tc>
              <w:tc>
                <w:tcPr>
                  <w:tcW w:w="1170" w:type="dxa"/>
                  <w:tcBorders>
                    <w:tl2br w:val="nil"/>
                    <w:tr2bl w:val="nil"/>
                  </w:tcBorders>
                  <w:shd w:val="clear" w:color="auto" w:fill="auto"/>
                  <w:vAlign w:val="center"/>
                </w:tcPr>
                <w:p w14:paraId="344D5429">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桶装/袋装</w:t>
                  </w:r>
                </w:p>
              </w:tc>
            </w:tr>
            <w:tr w14:paraId="44B1901E">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22131D3D">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5E528B0C">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233" w:type="dxa"/>
                  <w:tcBorders>
                    <w:tl2br w:val="nil"/>
                    <w:tr2bl w:val="nil"/>
                  </w:tcBorders>
                  <w:vAlign w:val="center"/>
                </w:tcPr>
                <w:p w14:paraId="56318840">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264-012-12</w:t>
                  </w:r>
                </w:p>
              </w:tc>
              <w:tc>
                <w:tcPr>
                  <w:tcW w:w="6222" w:type="dxa"/>
                  <w:tcBorders>
                    <w:tl2br w:val="nil"/>
                    <w:tr2bl w:val="nil"/>
                  </w:tcBorders>
                  <w:vAlign w:val="center"/>
                </w:tcPr>
                <w:p w14:paraId="575ABCF6">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其他油墨、染料、颜料、油漆（不包括水性漆）生产过程中产生的废水处理污泥</w:t>
                  </w:r>
                </w:p>
              </w:tc>
              <w:tc>
                <w:tcPr>
                  <w:tcW w:w="1005" w:type="dxa"/>
                  <w:tcBorders>
                    <w:tl2br w:val="nil"/>
                    <w:tr2bl w:val="nil"/>
                  </w:tcBorders>
                  <w:vAlign w:val="center"/>
                </w:tcPr>
                <w:p w14:paraId="1E42E876">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w:t>
                  </w:r>
                </w:p>
              </w:tc>
              <w:tc>
                <w:tcPr>
                  <w:tcW w:w="1140" w:type="dxa"/>
                  <w:tcBorders>
                    <w:tl2br w:val="nil"/>
                    <w:tr2bl w:val="nil"/>
                  </w:tcBorders>
                  <w:shd w:val="clear" w:color="auto" w:fill="auto"/>
                  <w:vAlign w:val="center"/>
                </w:tcPr>
                <w:p w14:paraId="668CA545">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液态</w:t>
                  </w:r>
                </w:p>
              </w:tc>
              <w:tc>
                <w:tcPr>
                  <w:tcW w:w="1170" w:type="dxa"/>
                  <w:tcBorders>
                    <w:tl2br w:val="nil"/>
                    <w:tr2bl w:val="nil"/>
                  </w:tcBorders>
                  <w:shd w:val="clear" w:color="auto" w:fill="auto"/>
                  <w:vAlign w:val="center"/>
                </w:tcPr>
                <w:p w14:paraId="14087B0F">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桶装</w:t>
                  </w:r>
                </w:p>
              </w:tc>
            </w:tr>
            <w:tr w14:paraId="18D071CD">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214100F1">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029882FC">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233" w:type="dxa"/>
                  <w:tcBorders>
                    <w:tl2br w:val="nil"/>
                    <w:tr2bl w:val="nil"/>
                  </w:tcBorders>
                  <w:vAlign w:val="center"/>
                </w:tcPr>
                <w:p w14:paraId="28BAC1FE">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264-013-12</w:t>
                  </w:r>
                </w:p>
              </w:tc>
              <w:tc>
                <w:tcPr>
                  <w:tcW w:w="6222" w:type="dxa"/>
                  <w:tcBorders>
                    <w:tl2br w:val="nil"/>
                    <w:tr2bl w:val="nil"/>
                  </w:tcBorders>
                  <w:vAlign w:val="center"/>
                </w:tcPr>
                <w:p w14:paraId="017B5AEC">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6"/>
                      <w:sz w:val="21"/>
                      <w:szCs w:val="21"/>
                    </w:rPr>
                    <w:t>油漆、油墨生产、配制和使用过程中产生的含颜料、油墨的废有机溶剂</w:t>
                  </w:r>
                </w:p>
              </w:tc>
              <w:tc>
                <w:tcPr>
                  <w:tcW w:w="1005" w:type="dxa"/>
                  <w:tcBorders>
                    <w:tl2br w:val="nil"/>
                    <w:tr2bl w:val="nil"/>
                  </w:tcBorders>
                  <w:vAlign w:val="center"/>
                </w:tcPr>
                <w:p w14:paraId="0B254FF9">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w:t>
                  </w:r>
                </w:p>
              </w:tc>
              <w:tc>
                <w:tcPr>
                  <w:tcW w:w="1140" w:type="dxa"/>
                  <w:tcBorders>
                    <w:tl2br w:val="nil"/>
                    <w:tr2bl w:val="nil"/>
                  </w:tcBorders>
                  <w:shd w:val="clear" w:color="auto" w:fill="auto"/>
                  <w:vAlign w:val="center"/>
                </w:tcPr>
                <w:p w14:paraId="2E310265">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液态</w:t>
                  </w:r>
                </w:p>
              </w:tc>
              <w:tc>
                <w:tcPr>
                  <w:tcW w:w="1170" w:type="dxa"/>
                  <w:tcBorders>
                    <w:tl2br w:val="nil"/>
                    <w:tr2bl w:val="nil"/>
                  </w:tcBorders>
                  <w:shd w:val="clear" w:color="auto" w:fill="auto"/>
                  <w:vAlign w:val="center"/>
                </w:tcPr>
                <w:p w14:paraId="796905DE">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桶装</w:t>
                  </w:r>
                </w:p>
              </w:tc>
            </w:tr>
            <w:tr w14:paraId="7E93594B">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02AD2F9D">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restart"/>
                  <w:tcBorders>
                    <w:tl2br w:val="nil"/>
                    <w:tr2bl w:val="nil"/>
                  </w:tcBorders>
                  <w:vAlign w:val="center"/>
                </w:tcPr>
                <w:p w14:paraId="5DE32F21">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6"/>
                      <w:sz w:val="21"/>
                      <w:szCs w:val="21"/>
                    </w:rPr>
                    <w:t>非特定行业</w:t>
                  </w:r>
                </w:p>
              </w:tc>
              <w:tc>
                <w:tcPr>
                  <w:tcW w:w="1233" w:type="dxa"/>
                  <w:tcBorders>
                    <w:tl2br w:val="nil"/>
                    <w:tr2bl w:val="nil"/>
                  </w:tcBorders>
                  <w:vAlign w:val="center"/>
                </w:tcPr>
                <w:p w14:paraId="49AE1033">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900-250-12</w:t>
                  </w:r>
                </w:p>
              </w:tc>
              <w:tc>
                <w:tcPr>
                  <w:tcW w:w="6222" w:type="dxa"/>
                  <w:tcBorders>
                    <w:tl2br w:val="nil"/>
                    <w:tr2bl w:val="nil"/>
                  </w:tcBorders>
                  <w:vAlign w:val="center"/>
                </w:tcPr>
                <w:p w14:paraId="74E20E5D">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使用有机溶剂、光漆进行光漆涂布、喷漆工艺过程中产生的废物</w:t>
                  </w:r>
                </w:p>
              </w:tc>
              <w:tc>
                <w:tcPr>
                  <w:tcW w:w="1005" w:type="dxa"/>
                  <w:tcBorders>
                    <w:tl2br w:val="nil"/>
                    <w:tr2bl w:val="nil"/>
                  </w:tcBorders>
                  <w:vAlign w:val="center"/>
                </w:tcPr>
                <w:p w14:paraId="421ADAA2">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T，I</w:t>
                  </w:r>
                </w:p>
              </w:tc>
              <w:tc>
                <w:tcPr>
                  <w:tcW w:w="1140" w:type="dxa"/>
                  <w:tcBorders>
                    <w:tl2br w:val="nil"/>
                    <w:tr2bl w:val="nil"/>
                  </w:tcBorders>
                  <w:shd w:val="clear" w:color="auto" w:fill="auto"/>
                  <w:vAlign w:val="center"/>
                </w:tcPr>
                <w:p w14:paraId="46D63318">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液态/固态</w:t>
                  </w:r>
                </w:p>
              </w:tc>
              <w:tc>
                <w:tcPr>
                  <w:tcW w:w="1170" w:type="dxa"/>
                  <w:tcBorders>
                    <w:tl2br w:val="nil"/>
                    <w:tr2bl w:val="nil"/>
                  </w:tcBorders>
                  <w:shd w:val="clear" w:color="auto" w:fill="auto"/>
                  <w:vAlign w:val="center"/>
                </w:tcPr>
                <w:p w14:paraId="4E13236F">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桶装/袋装</w:t>
                  </w:r>
                </w:p>
              </w:tc>
            </w:tr>
            <w:tr w14:paraId="00814089">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1B46C6D6">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48158435">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233" w:type="dxa"/>
                  <w:tcBorders>
                    <w:tl2br w:val="nil"/>
                    <w:tr2bl w:val="nil"/>
                  </w:tcBorders>
                  <w:vAlign w:val="center"/>
                </w:tcPr>
                <w:p w14:paraId="180AEA4C">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900-251-12</w:t>
                  </w:r>
                </w:p>
              </w:tc>
              <w:tc>
                <w:tcPr>
                  <w:tcW w:w="6222" w:type="dxa"/>
                  <w:tcBorders>
                    <w:tl2br w:val="nil"/>
                    <w:tr2bl w:val="nil"/>
                  </w:tcBorders>
                  <w:vAlign w:val="center"/>
                </w:tcPr>
                <w:p w14:paraId="5311F545">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使用油漆（不包括水性漆）、有机溶剂进行阻挡层涂敷过程中产生的废物</w:t>
                  </w:r>
                </w:p>
              </w:tc>
              <w:tc>
                <w:tcPr>
                  <w:tcW w:w="1005" w:type="dxa"/>
                  <w:tcBorders>
                    <w:tl2br w:val="nil"/>
                    <w:tr2bl w:val="nil"/>
                  </w:tcBorders>
                  <w:vAlign w:val="center"/>
                </w:tcPr>
                <w:p w14:paraId="12DC19A7">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T，I</w:t>
                  </w:r>
                </w:p>
              </w:tc>
              <w:tc>
                <w:tcPr>
                  <w:tcW w:w="1140" w:type="dxa"/>
                  <w:tcBorders>
                    <w:tl2br w:val="nil"/>
                    <w:tr2bl w:val="nil"/>
                  </w:tcBorders>
                  <w:shd w:val="clear" w:color="auto" w:fill="auto"/>
                  <w:vAlign w:val="center"/>
                </w:tcPr>
                <w:p w14:paraId="381F9F4A">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液态</w:t>
                  </w:r>
                </w:p>
              </w:tc>
              <w:tc>
                <w:tcPr>
                  <w:tcW w:w="1170" w:type="dxa"/>
                  <w:tcBorders>
                    <w:tl2br w:val="nil"/>
                    <w:tr2bl w:val="nil"/>
                  </w:tcBorders>
                  <w:shd w:val="clear" w:color="auto" w:fill="auto"/>
                  <w:vAlign w:val="center"/>
                </w:tcPr>
                <w:p w14:paraId="3206858B">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桶装</w:t>
                  </w:r>
                </w:p>
              </w:tc>
            </w:tr>
            <w:tr w14:paraId="781B1A01">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246EF08B">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1A129511">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233" w:type="dxa"/>
                  <w:tcBorders>
                    <w:tl2br w:val="nil"/>
                    <w:tr2bl w:val="nil"/>
                  </w:tcBorders>
                  <w:vAlign w:val="center"/>
                </w:tcPr>
                <w:p w14:paraId="07954BED">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900-252-12</w:t>
                  </w:r>
                </w:p>
              </w:tc>
              <w:tc>
                <w:tcPr>
                  <w:tcW w:w="6222" w:type="dxa"/>
                  <w:tcBorders>
                    <w:tl2br w:val="nil"/>
                    <w:tr2bl w:val="nil"/>
                  </w:tcBorders>
                  <w:vAlign w:val="center"/>
                </w:tcPr>
                <w:p w14:paraId="1A8C2FFA">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使用油漆（不包括水性漆）、有机溶剂进行喷漆、上漆过程中产生的废物</w:t>
                  </w:r>
                </w:p>
              </w:tc>
              <w:tc>
                <w:tcPr>
                  <w:tcW w:w="1005" w:type="dxa"/>
                  <w:tcBorders>
                    <w:tl2br w:val="nil"/>
                    <w:tr2bl w:val="nil"/>
                  </w:tcBorders>
                  <w:vAlign w:val="center"/>
                </w:tcPr>
                <w:p w14:paraId="14B533FF">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T，I</w:t>
                  </w:r>
                </w:p>
              </w:tc>
              <w:tc>
                <w:tcPr>
                  <w:tcW w:w="1140" w:type="dxa"/>
                  <w:tcBorders>
                    <w:tl2br w:val="nil"/>
                    <w:tr2bl w:val="nil"/>
                  </w:tcBorders>
                  <w:shd w:val="clear" w:color="auto" w:fill="auto"/>
                  <w:vAlign w:val="center"/>
                </w:tcPr>
                <w:p w14:paraId="2B94F535">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液态</w:t>
                  </w:r>
                </w:p>
              </w:tc>
              <w:tc>
                <w:tcPr>
                  <w:tcW w:w="1170" w:type="dxa"/>
                  <w:tcBorders>
                    <w:tl2br w:val="nil"/>
                    <w:tr2bl w:val="nil"/>
                  </w:tcBorders>
                  <w:shd w:val="clear" w:color="auto" w:fill="auto"/>
                  <w:vAlign w:val="center"/>
                </w:tcPr>
                <w:p w14:paraId="06E84B89">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桶装</w:t>
                  </w:r>
                </w:p>
              </w:tc>
            </w:tr>
            <w:tr w14:paraId="6D129CE3">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385837B9">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2F9970CD">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233" w:type="dxa"/>
                  <w:tcBorders>
                    <w:tl2br w:val="nil"/>
                    <w:tr2bl w:val="nil"/>
                  </w:tcBorders>
                  <w:vAlign w:val="center"/>
                </w:tcPr>
                <w:p w14:paraId="4A8CBE73">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900-253-12</w:t>
                  </w:r>
                </w:p>
              </w:tc>
              <w:tc>
                <w:tcPr>
                  <w:tcW w:w="6222" w:type="dxa"/>
                  <w:tcBorders>
                    <w:tl2br w:val="nil"/>
                    <w:tr2bl w:val="nil"/>
                  </w:tcBorders>
                  <w:vAlign w:val="center"/>
                </w:tcPr>
                <w:p w14:paraId="6489E770">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使用油墨和有机溶剂进行丝网印刷过程中产生的废物</w:t>
                  </w:r>
                </w:p>
              </w:tc>
              <w:tc>
                <w:tcPr>
                  <w:tcW w:w="1005" w:type="dxa"/>
                  <w:tcBorders>
                    <w:tl2br w:val="nil"/>
                    <w:tr2bl w:val="nil"/>
                  </w:tcBorders>
                  <w:vAlign w:val="center"/>
                </w:tcPr>
                <w:p w14:paraId="58F37441">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T，I</w:t>
                  </w:r>
                </w:p>
              </w:tc>
              <w:tc>
                <w:tcPr>
                  <w:tcW w:w="1140" w:type="dxa"/>
                  <w:tcBorders>
                    <w:tl2br w:val="nil"/>
                    <w:tr2bl w:val="nil"/>
                  </w:tcBorders>
                  <w:shd w:val="clear" w:color="auto" w:fill="auto"/>
                  <w:vAlign w:val="center"/>
                </w:tcPr>
                <w:p w14:paraId="4EE87F81">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液态</w:t>
                  </w:r>
                </w:p>
              </w:tc>
              <w:tc>
                <w:tcPr>
                  <w:tcW w:w="1170" w:type="dxa"/>
                  <w:tcBorders>
                    <w:tl2br w:val="nil"/>
                    <w:tr2bl w:val="nil"/>
                  </w:tcBorders>
                  <w:shd w:val="clear" w:color="auto" w:fill="auto"/>
                  <w:vAlign w:val="center"/>
                </w:tcPr>
                <w:p w14:paraId="28A9F2CF">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桶装</w:t>
                  </w:r>
                </w:p>
              </w:tc>
            </w:tr>
            <w:tr w14:paraId="5BBFE2B3">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43D2DF8A">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6E51A97A">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233" w:type="dxa"/>
                  <w:tcBorders>
                    <w:tl2br w:val="nil"/>
                    <w:tr2bl w:val="nil"/>
                  </w:tcBorders>
                  <w:vAlign w:val="center"/>
                </w:tcPr>
                <w:p w14:paraId="5C066CE4">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900-255-12</w:t>
                  </w:r>
                </w:p>
              </w:tc>
              <w:tc>
                <w:tcPr>
                  <w:tcW w:w="6222" w:type="dxa"/>
                  <w:tcBorders>
                    <w:tl2br w:val="nil"/>
                    <w:tr2bl w:val="nil"/>
                  </w:tcBorders>
                  <w:vAlign w:val="center"/>
                </w:tcPr>
                <w:p w14:paraId="72C9C50A">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使用各种颜料进行着色过程中产生的废颜料</w:t>
                  </w:r>
                </w:p>
              </w:tc>
              <w:tc>
                <w:tcPr>
                  <w:tcW w:w="1005" w:type="dxa"/>
                  <w:tcBorders>
                    <w:tl2br w:val="nil"/>
                    <w:tr2bl w:val="nil"/>
                  </w:tcBorders>
                  <w:vAlign w:val="center"/>
                </w:tcPr>
                <w:p w14:paraId="2E8AC7DE">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w:t>
                  </w:r>
                </w:p>
              </w:tc>
              <w:tc>
                <w:tcPr>
                  <w:tcW w:w="1140" w:type="dxa"/>
                  <w:tcBorders>
                    <w:tl2br w:val="nil"/>
                    <w:tr2bl w:val="nil"/>
                  </w:tcBorders>
                  <w:shd w:val="clear" w:color="auto" w:fill="auto"/>
                  <w:vAlign w:val="center"/>
                </w:tcPr>
                <w:p w14:paraId="68AC9654">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液态</w:t>
                  </w:r>
                </w:p>
              </w:tc>
              <w:tc>
                <w:tcPr>
                  <w:tcW w:w="1170" w:type="dxa"/>
                  <w:tcBorders>
                    <w:tl2br w:val="nil"/>
                    <w:tr2bl w:val="nil"/>
                  </w:tcBorders>
                  <w:shd w:val="clear" w:color="auto" w:fill="auto"/>
                  <w:vAlign w:val="center"/>
                </w:tcPr>
                <w:p w14:paraId="49C5B927">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桶装</w:t>
                  </w:r>
                </w:p>
              </w:tc>
            </w:tr>
            <w:tr w14:paraId="0152A559">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2C58299D">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45BEFD4A">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233" w:type="dxa"/>
                  <w:tcBorders>
                    <w:tl2br w:val="nil"/>
                    <w:tr2bl w:val="nil"/>
                  </w:tcBorders>
                  <w:vAlign w:val="center"/>
                </w:tcPr>
                <w:p w14:paraId="69EB9C6A">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900-256-12</w:t>
                  </w:r>
                </w:p>
              </w:tc>
              <w:tc>
                <w:tcPr>
                  <w:tcW w:w="6222" w:type="dxa"/>
                  <w:tcBorders>
                    <w:tl2br w:val="nil"/>
                    <w:tr2bl w:val="nil"/>
                  </w:tcBorders>
                  <w:vAlign w:val="center"/>
                </w:tcPr>
                <w:p w14:paraId="15F99CDC">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使用酸、碱或有机溶剂清洗容器设备过程中剥离下的废油漆、废染料、废涂料</w:t>
                  </w:r>
                </w:p>
              </w:tc>
              <w:tc>
                <w:tcPr>
                  <w:tcW w:w="1005" w:type="dxa"/>
                  <w:tcBorders>
                    <w:tl2br w:val="nil"/>
                    <w:tr2bl w:val="nil"/>
                  </w:tcBorders>
                  <w:vAlign w:val="center"/>
                </w:tcPr>
                <w:p w14:paraId="1FBEE2A6">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T，I，C</w:t>
                  </w:r>
                </w:p>
              </w:tc>
              <w:tc>
                <w:tcPr>
                  <w:tcW w:w="1140" w:type="dxa"/>
                  <w:tcBorders>
                    <w:tl2br w:val="nil"/>
                    <w:tr2bl w:val="nil"/>
                  </w:tcBorders>
                  <w:shd w:val="clear" w:color="auto" w:fill="auto"/>
                  <w:vAlign w:val="center"/>
                </w:tcPr>
                <w:p w14:paraId="2E373F11">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液态</w:t>
                  </w:r>
                </w:p>
              </w:tc>
              <w:tc>
                <w:tcPr>
                  <w:tcW w:w="1170" w:type="dxa"/>
                  <w:tcBorders>
                    <w:tl2br w:val="nil"/>
                    <w:tr2bl w:val="nil"/>
                  </w:tcBorders>
                  <w:shd w:val="clear" w:color="auto" w:fill="auto"/>
                  <w:vAlign w:val="center"/>
                </w:tcPr>
                <w:p w14:paraId="27D984BC">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桶装</w:t>
                  </w:r>
                </w:p>
              </w:tc>
            </w:tr>
            <w:tr w14:paraId="08B6663B">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14534496">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0F44B716">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233" w:type="dxa"/>
                  <w:tcBorders>
                    <w:tl2br w:val="nil"/>
                    <w:tr2bl w:val="nil"/>
                  </w:tcBorders>
                  <w:vAlign w:val="center"/>
                </w:tcPr>
                <w:p w14:paraId="51A3B1A9">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900-299-12</w:t>
                  </w:r>
                </w:p>
              </w:tc>
              <w:tc>
                <w:tcPr>
                  <w:tcW w:w="6222" w:type="dxa"/>
                  <w:tcBorders>
                    <w:tl2br w:val="nil"/>
                    <w:tr2bl w:val="nil"/>
                  </w:tcBorders>
                  <w:vAlign w:val="center"/>
                </w:tcPr>
                <w:p w14:paraId="2EA38C21">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生产、销售及使用过程中产生的失效、变质、不合格、淘汰、伪劣的油墨、染料、颜料、油漆（不包括水性漆）</w:t>
                  </w:r>
                </w:p>
              </w:tc>
              <w:tc>
                <w:tcPr>
                  <w:tcW w:w="1005" w:type="dxa"/>
                  <w:tcBorders>
                    <w:tl2br w:val="nil"/>
                    <w:tr2bl w:val="nil"/>
                  </w:tcBorders>
                  <w:vAlign w:val="center"/>
                </w:tcPr>
                <w:p w14:paraId="12BE7DD7">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w:t>
                  </w:r>
                </w:p>
              </w:tc>
              <w:tc>
                <w:tcPr>
                  <w:tcW w:w="1140" w:type="dxa"/>
                  <w:tcBorders>
                    <w:tl2br w:val="nil"/>
                    <w:tr2bl w:val="nil"/>
                  </w:tcBorders>
                  <w:shd w:val="clear" w:color="auto" w:fill="auto"/>
                  <w:vAlign w:val="center"/>
                </w:tcPr>
                <w:p w14:paraId="3508E564">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液态</w:t>
                  </w:r>
                </w:p>
              </w:tc>
              <w:tc>
                <w:tcPr>
                  <w:tcW w:w="1170" w:type="dxa"/>
                  <w:tcBorders>
                    <w:tl2br w:val="nil"/>
                    <w:tr2bl w:val="nil"/>
                  </w:tcBorders>
                  <w:shd w:val="clear" w:color="auto" w:fill="auto"/>
                  <w:vAlign w:val="center"/>
                </w:tcPr>
                <w:p w14:paraId="63E83B83">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桶装</w:t>
                  </w:r>
                </w:p>
              </w:tc>
            </w:tr>
            <w:tr w14:paraId="3F0F5A1B">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restart"/>
                  <w:tcBorders>
                    <w:tl2br w:val="nil"/>
                    <w:tr2bl w:val="nil"/>
                  </w:tcBorders>
                  <w:vAlign w:val="center"/>
                </w:tcPr>
                <w:p w14:paraId="56A99B4C">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HW13</w:t>
                  </w:r>
                </w:p>
                <w:p w14:paraId="103FBB54">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有机树脂类废物</w:t>
                  </w:r>
                </w:p>
              </w:tc>
              <w:tc>
                <w:tcPr>
                  <w:tcW w:w="1134" w:type="dxa"/>
                  <w:vMerge w:val="restart"/>
                  <w:tcBorders>
                    <w:tl2br w:val="nil"/>
                    <w:tr2bl w:val="nil"/>
                  </w:tcBorders>
                  <w:vAlign w:val="center"/>
                </w:tcPr>
                <w:p w14:paraId="48A9E1BB">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合成材料制造</w:t>
                  </w:r>
                </w:p>
              </w:tc>
              <w:tc>
                <w:tcPr>
                  <w:tcW w:w="1233" w:type="dxa"/>
                  <w:tcBorders>
                    <w:tl2br w:val="nil"/>
                    <w:tr2bl w:val="nil"/>
                  </w:tcBorders>
                  <w:vAlign w:val="center"/>
                </w:tcPr>
                <w:p w14:paraId="5DBDBD87">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265-101-13</w:t>
                  </w:r>
                </w:p>
              </w:tc>
              <w:tc>
                <w:tcPr>
                  <w:tcW w:w="6222" w:type="dxa"/>
                  <w:tcBorders>
                    <w:tl2br w:val="nil"/>
                    <w:tr2bl w:val="nil"/>
                  </w:tcBorders>
                  <w:vAlign w:val="center"/>
                </w:tcPr>
                <w:p w14:paraId="29B5B450">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树脂、合成乳胶、增塑剂、胶水/胶合剂合成过程产生的不合格产品（不包括热塑型树脂生产过程中聚合产物经脱除单体、低聚物、溶剂及其他助剂后产生的废料，以及热固型树脂固化后的固化体）</w:t>
                  </w:r>
                </w:p>
              </w:tc>
              <w:tc>
                <w:tcPr>
                  <w:tcW w:w="1005" w:type="dxa"/>
                  <w:tcBorders>
                    <w:tl2br w:val="nil"/>
                    <w:tr2bl w:val="nil"/>
                  </w:tcBorders>
                  <w:vAlign w:val="center"/>
                </w:tcPr>
                <w:p w14:paraId="2A37E6AF">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w:t>
                  </w:r>
                </w:p>
              </w:tc>
              <w:tc>
                <w:tcPr>
                  <w:tcW w:w="1140" w:type="dxa"/>
                  <w:tcBorders>
                    <w:tl2br w:val="nil"/>
                    <w:tr2bl w:val="nil"/>
                  </w:tcBorders>
                  <w:shd w:val="clear" w:color="auto" w:fill="auto"/>
                  <w:vAlign w:val="center"/>
                </w:tcPr>
                <w:p w14:paraId="6795A4A1">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液态/固态</w:t>
                  </w:r>
                </w:p>
              </w:tc>
              <w:tc>
                <w:tcPr>
                  <w:tcW w:w="1170" w:type="dxa"/>
                  <w:tcBorders>
                    <w:tl2br w:val="nil"/>
                    <w:tr2bl w:val="nil"/>
                  </w:tcBorders>
                  <w:shd w:val="clear" w:color="auto" w:fill="auto"/>
                  <w:vAlign w:val="center"/>
                </w:tcPr>
                <w:p w14:paraId="357AD0ED">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桶装/袋装</w:t>
                  </w:r>
                </w:p>
              </w:tc>
            </w:tr>
            <w:tr w14:paraId="2B33261E">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549" w:hRule="atLeast"/>
              </w:trPr>
              <w:tc>
                <w:tcPr>
                  <w:tcW w:w="1096" w:type="dxa"/>
                  <w:vMerge w:val="continue"/>
                  <w:tcBorders>
                    <w:tl2br w:val="nil"/>
                    <w:tr2bl w:val="nil"/>
                  </w:tcBorders>
                  <w:vAlign w:val="center"/>
                </w:tcPr>
                <w:p w14:paraId="7ECF07B6">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0ECB90B6">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233" w:type="dxa"/>
                  <w:tcBorders>
                    <w:tl2br w:val="nil"/>
                    <w:tr2bl w:val="nil"/>
                  </w:tcBorders>
                  <w:vAlign w:val="center"/>
                </w:tcPr>
                <w:p w14:paraId="5AEEB41E">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265-102-13</w:t>
                  </w:r>
                </w:p>
              </w:tc>
              <w:tc>
                <w:tcPr>
                  <w:tcW w:w="6222" w:type="dxa"/>
                  <w:tcBorders>
                    <w:tl2br w:val="nil"/>
                    <w:tr2bl w:val="nil"/>
                  </w:tcBorders>
                  <w:vAlign w:val="center"/>
                </w:tcPr>
                <w:p w14:paraId="5CCEE4CB">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树脂、合成乳胶、增塑剂、胶水/胶合剂生产过程中合成、酯化、缩合等工序产生的废母液</w:t>
                  </w:r>
                </w:p>
              </w:tc>
              <w:tc>
                <w:tcPr>
                  <w:tcW w:w="1005" w:type="dxa"/>
                  <w:tcBorders>
                    <w:tl2br w:val="nil"/>
                    <w:tr2bl w:val="nil"/>
                  </w:tcBorders>
                  <w:vAlign w:val="center"/>
                </w:tcPr>
                <w:p w14:paraId="6B15C694">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w:t>
                  </w:r>
                </w:p>
              </w:tc>
              <w:tc>
                <w:tcPr>
                  <w:tcW w:w="1140" w:type="dxa"/>
                  <w:tcBorders>
                    <w:tl2br w:val="nil"/>
                    <w:tr2bl w:val="nil"/>
                  </w:tcBorders>
                  <w:shd w:val="clear" w:color="auto" w:fill="auto"/>
                  <w:vAlign w:val="center"/>
                </w:tcPr>
                <w:p w14:paraId="04CBE588">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液态</w:t>
                  </w:r>
                </w:p>
              </w:tc>
              <w:tc>
                <w:tcPr>
                  <w:tcW w:w="1170" w:type="dxa"/>
                  <w:tcBorders>
                    <w:tl2br w:val="nil"/>
                    <w:tr2bl w:val="nil"/>
                  </w:tcBorders>
                  <w:shd w:val="clear" w:color="auto" w:fill="auto"/>
                  <w:vAlign w:val="center"/>
                </w:tcPr>
                <w:p w14:paraId="5B2D3F65">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桶装</w:t>
                  </w:r>
                </w:p>
              </w:tc>
            </w:tr>
            <w:tr w14:paraId="15021265">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2AB701E7">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2222E808">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233" w:type="dxa"/>
                  <w:tcBorders>
                    <w:tl2br w:val="nil"/>
                    <w:tr2bl w:val="nil"/>
                  </w:tcBorders>
                  <w:vAlign w:val="center"/>
                </w:tcPr>
                <w:p w14:paraId="2B3F1AF4">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265-103-13</w:t>
                  </w:r>
                </w:p>
              </w:tc>
              <w:tc>
                <w:tcPr>
                  <w:tcW w:w="6222" w:type="dxa"/>
                  <w:tcBorders>
                    <w:tl2br w:val="nil"/>
                    <w:tr2bl w:val="nil"/>
                  </w:tcBorders>
                  <w:vAlign w:val="center"/>
                </w:tcPr>
                <w:p w14:paraId="3AA3DD05">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树脂（不包括水性聚氨酯乳液、水性丙烯酸乳液、水性聚氨酯丙烯酸复合乳液）、合成乳胶、增塑剂、胶水/胶合剂生产过程中精馏、分离、精制等工序产生的釜底残液、废过滤介质和残渣</w:t>
                  </w:r>
                </w:p>
              </w:tc>
              <w:tc>
                <w:tcPr>
                  <w:tcW w:w="1005" w:type="dxa"/>
                  <w:tcBorders>
                    <w:tl2br w:val="nil"/>
                    <w:tr2bl w:val="nil"/>
                  </w:tcBorders>
                  <w:vAlign w:val="center"/>
                </w:tcPr>
                <w:p w14:paraId="611EFA20">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w:t>
                  </w:r>
                </w:p>
              </w:tc>
              <w:tc>
                <w:tcPr>
                  <w:tcW w:w="1140" w:type="dxa"/>
                  <w:tcBorders>
                    <w:tl2br w:val="nil"/>
                    <w:tr2bl w:val="nil"/>
                  </w:tcBorders>
                  <w:shd w:val="clear" w:color="auto" w:fill="auto"/>
                  <w:vAlign w:val="center"/>
                </w:tcPr>
                <w:p w14:paraId="6D1F0029">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液态/固态</w:t>
                  </w:r>
                </w:p>
              </w:tc>
              <w:tc>
                <w:tcPr>
                  <w:tcW w:w="1170" w:type="dxa"/>
                  <w:tcBorders>
                    <w:tl2br w:val="nil"/>
                    <w:tr2bl w:val="nil"/>
                  </w:tcBorders>
                  <w:shd w:val="clear" w:color="auto" w:fill="auto"/>
                  <w:vAlign w:val="center"/>
                </w:tcPr>
                <w:p w14:paraId="1F76A94C">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桶装/袋装</w:t>
                  </w:r>
                </w:p>
              </w:tc>
            </w:tr>
            <w:tr w14:paraId="0A0F316F">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5D37C660">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758AACF8">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233" w:type="dxa"/>
                  <w:tcBorders>
                    <w:tl2br w:val="nil"/>
                    <w:tr2bl w:val="nil"/>
                  </w:tcBorders>
                  <w:vAlign w:val="center"/>
                </w:tcPr>
                <w:p w14:paraId="4E4D6763">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265-104-13</w:t>
                  </w:r>
                </w:p>
              </w:tc>
              <w:tc>
                <w:tcPr>
                  <w:tcW w:w="6222" w:type="dxa"/>
                  <w:tcBorders>
                    <w:tl2br w:val="nil"/>
                    <w:tr2bl w:val="nil"/>
                  </w:tcBorders>
                  <w:vAlign w:val="center"/>
                </w:tcPr>
                <w:p w14:paraId="79BA0666">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树脂（不包括水性聚氨酯乳液、水性丙烯酸乳液、水性聚氨酯丙烯酸复合乳液）、合成乳胶、增塑剂、胶水/胶合剂合成过程中产生的废水处理污泥（不包括废水生化处理污泥）</w:t>
                  </w:r>
                </w:p>
              </w:tc>
              <w:tc>
                <w:tcPr>
                  <w:tcW w:w="1005" w:type="dxa"/>
                  <w:tcBorders>
                    <w:tl2br w:val="nil"/>
                    <w:tr2bl w:val="nil"/>
                  </w:tcBorders>
                  <w:vAlign w:val="center"/>
                </w:tcPr>
                <w:p w14:paraId="7BC1631B">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w:t>
                  </w:r>
                </w:p>
              </w:tc>
              <w:tc>
                <w:tcPr>
                  <w:tcW w:w="1140" w:type="dxa"/>
                  <w:tcBorders>
                    <w:tl2br w:val="nil"/>
                    <w:tr2bl w:val="nil"/>
                  </w:tcBorders>
                  <w:shd w:val="clear" w:color="auto" w:fill="auto"/>
                  <w:vAlign w:val="center"/>
                </w:tcPr>
                <w:p w14:paraId="70B89916">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固态</w:t>
                  </w:r>
                </w:p>
              </w:tc>
              <w:tc>
                <w:tcPr>
                  <w:tcW w:w="1170" w:type="dxa"/>
                  <w:tcBorders>
                    <w:tl2br w:val="nil"/>
                    <w:tr2bl w:val="nil"/>
                  </w:tcBorders>
                  <w:shd w:val="clear" w:color="auto" w:fill="auto"/>
                  <w:vAlign w:val="center"/>
                </w:tcPr>
                <w:p w14:paraId="66278EB7">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桶装</w:t>
                  </w:r>
                </w:p>
              </w:tc>
            </w:tr>
            <w:tr w14:paraId="4102BF7F">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69181B71">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restart"/>
                  <w:tcBorders>
                    <w:tl2br w:val="nil"/>
                    <w:tr2bl w:val="nil"/>
                  </w:tcBorders>
                  <w:vAlign w:val="center"/>
                </w:tcPr>
                <w:p w14:paraId="527FFEE1">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6"/>
                      <w:sz w:val="21"/>
                      <w:szCs w:val="21"/>
                    </w:rPr>
                    <w:t>非特定行业</w:t>
                  </w:r>
                </w:p>
              </w:tc>
              <w:tc>
                <w:tcPr>
                  <w:tcW w:w="1233" w:type="dxa"/>
                  <w:tcBorders>
                    <w:tl2br w:val="nil"/>
                    <w:tr2bl w:val="nil"/>
                  </w:tcBorders>
                  <w:vAlign w:val="center"/>
                </w:tcPr>
                <w:p w14:paraId="59B02CC4">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900-014-13</w:t>
                  </w:r>
                </w:p>
              </w:tc>
              <w:tc>
                <w:tcPr>
                  <w:tcW w:w="6222" w:type="dxa"/>
                  <w:tcBorders>
                    <w:tl2br w:val="nil"/>
                    <w:tr2bl w:val="nil"/>
                  </w:tcBorders>
                  <w:vAlign w:val="center"/>
                </w:tcPr>
                <w:p w14:paraId="6A6976AE">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废弃的粘合剂和密封剂（不包括水基型和热熔型粘合剂和密封剂）</w:t>
                  </w:r>
                </w:p>
              </w:tc>
              <w:tc>
                <w:tcPr>
                  <w:tcW w:w="1005" w:type="dxa"/>
                  <w:tcBorders>
                    <w:tl2br w:val="nil"/>
                    <w:tr2bl w:val="nil"/>
                  </w:tcBorders>
                  <w:vAlign w:val="center"/>
                </w:tcPr>
                <w:p w14:paraId="04F4D505">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w:t>
                  </w:r>
                </w:p>
              </w:tc>
              <w:tc>
                <w:tcPr>
                  <w:tcW w:w="1140" w:type="dxa"/>
                  <w:tcBorders>
                    <w:tl2br w:val="nil"/>
                    <w:tr2bl w:val="nil"/>
                  </w:tcBorders>
                  <w:shd w:val="clear" w:color="auto" w:fill="auto"/>
                  <w:vAlign w:val="center"/>
                </w:tcPr>
                <w:p w14:paraId="1FE29615">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液态</w:t>
                  </w:r>
                </w:p>
              </w:tc>
              <w:tc>
                <w:tcPr>
                  <w:tcW w:w="1170" w:type="dxa"/>
                  <w:tcBorders>
                    <w:tl2br w:val="nil"/>
                    <w:tr2bl w:val="nil"/>
                  </w:tcBorders>
                  <w:shd w:val="clear" w:color="auto" w:fill="auto"/>
                  <w:vAlign w:val="center"/>
                </w:tcPr>
                <w:p w14:paraId="21E1412F">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桶装</w:t>
                  </w:r>
                </w:p>
              </w:tc>
            </w:tr>
            <w:tr w14:paraId="10918D66">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21F5A34E">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1A3DA0C8">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233" w:type="dxa"/>
                  <w:tcBorders>
                    <w:tl2br w:val="nil"/>
                    <w:tr2bl w:val="nil"/>
                  </w:tcBorders>
                  <w:vAlign w:val="center"/>
                </w:tcPr>
                <w:p w14:paraId="0B2B81C2">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900-015-13</w:t>
                  </w:r>
                </w:p>
              </w:tc>
              <w:tc>
                <w:tcPr>
                  <w:tcW w:w="6222" w:type="dxa"/>
                  <w:tcBorders>
                    <w:tl2br w:val="nil"/>
                    <w:tr2bl w:val="nil"/>
                  </w:tcBorders>
                  <w:vAlign w:val="center"/>
                </w:tcPr>
                <w:p w14:paraId="081F9613">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湿法冶金、表面处理和制药行业重金属、抗生素提取、分离过程产生的废弃离子交换树脂，以及工业废水处理过程产生的废弃离子交</w:t>
                  </w:r>
                  <w:r>
                    <w:rPr>
                      <w:rFonts w:hint="eastAsia" w:ascii="Times New Roman" w:hAnsi="Times New Roman" w:cs="Times New Roman"/>
                      <w:color w:val="auto"/>
                      <w:spacing w:val="0"/>
                      <w:sz w:val="21"/>
                      <w:szCs w:val="21"/>
                      <w:lang w:val="en-US" w:eastAsia="zh-CN"/>
                    </w:rPr>
                    <w:t>固态</w:t>
                  </w:r>
                  <w:r>
                    <w:rPr>
                      <w:rFonts w:hint="default" w:ascii="Times New Roman" w:hAnsi="Times New Roman" w:eastAsia="宋体" w:cs="Times New Roman"/>
                      <w:color w:val="auto"/>
                      <w:spacing w:val="0"/>
                      <w:sz w:val="21"/>
                      <w:szCs w:val="21"/>
                    </w:rPr>
                    <w:t>换树脂</w:t>
                  </w:r>
                </w:p>
              </w:tc>
              <w:tc>
                <w:tcPr>
                  <w:tcW w:w="1005" w:type="dxa"/>
                  <w:tcBorders>
                    <w:tl2br w:val="nil"/>
                    <w:tr2bl w:val="nil"/>
                  </w:tcBorders>
                  <w:vAlign w:val="center"/>
                </w:tcPr>
                <w:p w14:paraId="16B4D8E0">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w:t>
                  </w:r>
                </w:p>
              </w:tc>
              <w:tc>
                <w:tcPr>
                  <w:tcW w:w="1140" w:type="dxa"/>
                  <w:tcBorders>
                    <w:tl2br w:val="nil"/>
                    <w:tr2bl w:val="nil"/>
                  </w:tcBorders>
                  <w:vAlign w:val="center"/>
                </w:tcPr>
                <w:p w14:paraId="5AA7C6DF">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固态</w:t>
                  </w:r>
                </w:p>
              </w:tc>
              <w:tc>
                <w:tcPr>
                  <w:tcW w:w="1170" w:type="dxa"/>
                  <w:tcBorders>
                    <w:tl2br w:val="nil"/>
                    <w:tr2bl w:val="nil"/>
                  </w:tcBorders>
                  <w:vAlign w:val="center"/>
                </w:tcPr>
                <w:p w14:paraId="351F8FC4">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eastAsia" w:ascii="Times New Roman" w:hAnsi="Times New Roman" w:eastAsia="宋体" w:cs="Times New Roman"/>
                      <w:color w:val="auto"/>
                      <w:spacing w:val="0"/>
                      <w:sz w:val="21"/>
                      <w:szCs w:val="21"/>
                      <w:lang w:val="en-US" w:eastAsia="zh-CN"/>
                    </w:rPr>
                  </w:pPr>
                  <w:r>
                    <w:rPr>
                      <w:rFonts w:hint="eastAsia" w:ascii="Times New Roman" w:hAnsi="Times New Roman" w:cs="Times New Roman"/>
                      <w:color w:val="auto"/>
                      <w:spacing w:val="0"/>
                      <w:sz w:val="21"/>
                      <w:szCs w:val="21"/>
                      <w:lang w:val="en-US" w:eastAsia="zh-CN"/>
                    </w:rPr>
                    <w:t>袋装</w:t>
                  </w:r>
                </w:p>
              </w:tc>
            </w:tr>
            <w:tr w14:paraId="71A70E0F">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40DE28FA">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690B45EC">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233" w:type="dxa"/>
                  <w:tcBorders>
                    <w:tl2br w:val="nil"/>
                    <w:tr2bl w:val="nil"/>
                  </w:tcBorders>
                  <w:vAlign w:val="center"/>
                </w:tcPr>
                <w:p w14:paraId="2730065B">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900-016-13</w:t>
                  </w:r>
                </w:p>
              </w:tc>
              <w:tc>
                <w:tcPr>
                  <w:tcW w:w="6222" w:type="dxa"/>
                  <w:tcBorders>
                    <w:tl2br w:val="nil"/>
                    <w:tr2bl w:val="nil"/>
                  </w:tcBorders>
                  <w:vAlign w:val="center"/>
                </w:tcPr>
                <w:p w14:paraId="445672F4">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使用酸、碱或有机溶剂清洗容器设备剥离下的树脂状、粘稠杂物</w:t>
                  </w:r>
                </w:p>
              </w:tc>
              <w:tc>
                <w:tcPr>
                  <w:tcW w:w="1005" w:type="dxa"/>
                  <w:tcBorders>
                    <w:tl2br w:val="nil"/>
                    <w:tr2bl w:val="nil"/>
                  </w:tcBorders>
                  <w:vAlign w:val="center"/>
                </w:tcPr>
                <w:p w14:paraId="3C4EBE4C">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w:t>
                  </w:r>
                </w:p>
              </w:tc>
              <w:tc>
                <w:tcPr>
                  <w:tcW w:w="1140" w:type="dxa"/>
                  <w:tcBorders>
                    <w:tl2br w:val="nil"/>
                    <w:tr2bl w:val="nil"/>
                  </w:tcBorders>
                  <w:shd w:val="clear" w:color="auto" w:fill="auto"/>
                  <w:vAlign w:val="center"/>
                </w:tcPr>
                <w:p w14:paraId="48394CC0">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液态</w:t>
                  </w:r>
                </w:p>
              </w:tc>
              <w:tc>
                <w:tcPr>
                  <w:tcW w:w="1170" w:type="dxa"/>
                  <w:tcBorders>
                    <w:tl2br w:val="nil"/>
                    <w:tr2bl w:val="nil"/>
                  </w:tcBorders>
                  <w:shd w:val="clear" w:color="auto" w:fill="auto"/>
                  <w:vAlign w:val="center"/>
                </w:tcPr>
                <w:p w14:paraId="3FDB5D47">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桶装</w:t>
                  </w:r>
                </w:p>
              </w:tc>
            </w:tr>
            <w:tr w14:paraId="566F813E">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550" w:hRule="atLeast"/>
              </w:trPr>
              <w:tc>
                <w:tcPr>
                  <w:tcW w:w="1096" w:type="dxa"/>
                  <w:vMerge w:val="restart"/>
                  <w:tcBorders>
                    <w:tl2br w:val="nil"/>
                    <w:tr2bl w:val="nil"/>
                  </w:tcBorders>
                  <w:vAlign w:val="center"/>
                </w:tcPr>
                <w:p w14:paraId="6337FF59">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HW16</w:t>
                  </w:r>
                </w:p>
                <w:p w14:paraId="3B3B7620">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感光材料废物</w:t>
                  </w:r>
                </w:p>
              </w:tc>
              <w:tc>
                <w:tcPr>
                  <w:tcW w:w="1134" w:type="dxa"/>
                  <w:vMerge w:val="restart"/>
                  <w:tcBorders>
                    <w:tl2br w:val="nil"/>
                    <w:tr2bl w:val="nil"/>
                  </w:tcBorders>
                  <w:vAlign w:val="center"/>
                </w:tcPr>
                <w:p w14:paraId="6578CA45">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专用化学产品制造</w:t>
                  </w:r>
                </w:p>
              </w:tc>
              <w:tc>
                <w:tcPr>
                  <w:tcW w:w="1233" w:type="dxa"/>
                  <w:tcBorders>
                    <w:tl2br w:val="nil"/>
                    <w:tr2bl w:val="nil"/>
                  </w:tcBorders>
                  <w:vAlign w:val="center"/>
                </w:tcPr>
                <w:p w14:paraId="45A7A84F">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266-009-16</w:t>
                  </w:r>
                </w:p>
              </w:tc>
              <w:tc>
                <w:tcPr>
                  <w:tcW w:w="6222" w:type="dxa"/>
                  <w:tcBorders>
                    <w:tl2br w:val="nil"/>
                    <w:tr2bl w:val="nil"/>
                  </w:tcBorders>
                  <w:vAlign w:val="center"/>
                </w:tcPr>
                <w:p w14:paraId="2A836BC1">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显（定）影剂、正负胶片、像纸、感光材料生产过程中产生的不合格产品和过期产品</w:t>
                  </w:r>
                </w:p>
              </w:tc>
              <w:tc>
                <w:tcPr>
                  <w:tcW w:w="1005" w:type="dxa"/>
                  <w:tcBorders>
                    <w:tl2br w:val="nil"/>
                    <w:tr2bl w:val="nil"/>
                  </w:tcBorders>
                  <w:vAlign w:val="center"/>
                </w:tcPr>
                <w:p w14:paraId="59E6038A">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w:t>
                  </w:r>
                </w:p>
              </w:tc>
              <w:tc>
                <w:tcPr>
                  <w:tcW w:w="1140" w:type="dxa"/>
                  <w:tcBorders>
                    <w:tl2br w:val="nil"/>
                    <w:tr2bl w:val="nil"/>
                  </w:tcBorders>
                  <w:shd w:val="clear" w:color="auto" w:fill="auto"/>
                  <w:vAlign w:val="center"/>
                </w:tcPr>
                <w:p w14:paraId="4539D7B3">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液态/固态</w:t>
                  </w:r>
                </w:p>
              </w:tc>
              <w:tc>
                <w:tcPr>
                  <w:tcW w:w="1170" w:type="dxa"/>
                  <w:tcBorders>
                    <w:tl2br w:val="nil"/>
                    <w:tr2bl w:val="nil"/>
                  </w:tcBorders>
                  <w:shd w:val="clear" w:color="auto" w:fill="auto"/>
                  <w:vAlign w:val="center"/>
                </w:tcPr>
                <w:p w14:paraId="40F698CF">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桶装/袋装</w:t>
                  </w:r>
                </w:p>
              </w:tc>
            </w:tr>
            <w:tr w14:paraId="647437BE">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548" w:hRule="atLeast"/>
              </w:trPr>
              <w:tc>
                <w:tcPr>
                  <w:tcW w:w="1096" w:type="dxa"/>
                  <w:vMerge w:val="continue"/>
                  <w:tcBorders>
                    <w:tl2br w:val="nil"/>
                    <w:tr2bl w:val="nil"/>
                  </w:tcBorders>
                  <w:vAlign w:val="center"/>
                </w:tcPr>
                <w:p w14:paraId="2FBADFE6">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2B329905">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233" w:type="dxa"/>
                  <w:tcBorders>
                    <w:tl2br w:val="nil"/>
                    <w:tr2bl w:val="nil"/>
                  </w:tcBorders>
                  <w:vAlign w:val="center"/>
                </w:tcPr>
                <w:p w14:paraId="65422857">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266-010-16</w:t>
                  </w:r>
                </w:p>
              </w:tc>
              <w:tc>
                <w:tcPr>
                  <w:tcW w:w="6222" w:type="dxa"/>
                  <w:tcBorders>
                    <w:tl2br w:val="nil"/>
                    <w:tr2bl w:val="nil"/>
                  </w:tcBorders>
                  <w:vAlign w:val="center"/>
                </w:tcPr>
                <w:p w14:paraId="3F293639">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显（定）影剂、正负胶片、像纸、感光材料生产过程中产生的残渣和废水处理污泥</w:t>
                  </w:r>
                </w:p>
              </w:tc>
              <w:tc>
                <w:tcPr>
                  <w:tcW w:w="1005" w:type="dxa"/>
                  <w:tcBorders>
                    <w:tl2br w:val="nil"/>
                    <w:tr2bl w:val="nil"/>
                  </w:tcBorders>
                  <w:vAlign w:val="center"/>
                </w:tcPr>
                <w:p w14:paraId="6C03D4D8">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w:t>
                  </w:r>
                </w:p>
              </w:tc>
              <w:tc>
                <w:tcPr>
                  <w:tcW w:w="1140" w:type="dxa"/>
                  <w:tcBorders>
                    <w:tl2br w:val="nil"/>
                    <w:tr2bl w:val="nil"/>
                  </w:tcBorders>
                  <w:shd w:val="clear" w:color="auto" w:fill="auto"/>
                  <w:vAlign w:val="center"/>
                </w:tcPr>
                <w:p w14:paraId="4B698834">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固态</w:t>
                  </w:r>
                </w:p>
              </w:tc>
              <w:tc>
                <w:tcPr>
                  <w:tcW w:w="1170" w:type="dxa"/>
                  <w:tcBorders>
                    <w:tl2br w:val="nil"/>
                    <w:tr2bl w:val="nil"/>
                  </w:tcBorders>
                  <w:shd w:val="clear" w:color="auto" w:fill="auto"/>
                  <w:vAlign w:val="center"/>
                </w:tcPr>
                <w:p w14:paraId="75C1BD4E">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桶装</w:t>
                  </w:r>
                </w:p>
              </w:tc>
            </w:tr>
            <w:tr w14:paraId="222D3C59">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6" w:hRule="atLeast"/>
              </w:trPr>
              <w:tc>
                <w:tcPr>
                  <w:tcW w:w="1096" w:type="dxa"/>
                  <w:vMerge w:val="continue"/>
                  <w:tcBorders>
                    <w:tl2br w:val="nil"/>
                    <w:tr2bl w:val="nil"/>
                  </w:tcBorders>
                  <w:vAlign w:val="center"/>
                </w:tcPr>
                <w:p w14:paraId="245DE5E4">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tcBorders>
                    <w:tl2br w:val="nil"/>
                    <w:tr2bl w:val="nil"/>
                  </w:tcBorders>
                  <w:vAlign w:val="center"/>
                </w:tcPr>
                <w:p w14:paraId="6CA214E4">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印刷</w:t>
                  </w:r>
                </w:p>
              </w:tc>
              <w:tc>
                <w:tcPr>
                  <w:tcW w:w="1233" w:type="dxa"/>
                  <w:tcBorders>
                    <w:tl2br w:val="nil"/>
                    <w:tr2bl w:val="nil"/>
                  </w:tcBorders>
                  <w:shd w:val="clear" w:color="auto" w:fill="auto"/>
                  <w:vAlign w:val="center"/>
                </w:tcPr>
                <w:p w14:paraId="14CA5085">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color w:val="auto"/>
                      <w:spacing w:val="0"/>
                      <w:sz w:val="21"/>
                      <w:szCs w:val="21"/>
                    </w:rPr>
                    <w:t>231-002-16</w:t>
                  </w:r>
                </w:p>
              </w:tc>
              <w:tc>
                <w:tcPr>
                  <w:tcW w:w="6222" w:type="dxa"/>
                  <w:tcBorders>
                    <w:tl2br w:val="nil"/>
                    <w:tr2bl w:val="nil"/>
                  </w:tcBorders>
                  <w:shd w:val="clear" w:color="auto" w:fill="auto"/>
                  <w:vAlign w:val="center"/>
                </w:tcPr>
                <w:p w14:paraId="528F68F9">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color w:val="auto"/>
                      <w:spacing w:val="0"/>
                      <w:sz w:val="21"/>
                      <w:szCs w:val="21"/>
                    </w:rPr>
                    <w:t>使用显影剂进行印刷显影、抗蚀图形显影，以及凸版印刷产生的废显（定）影剂、胶片和废像纸</w:t>
                  </w:r>
                </w:p>
              </w:tc>
              <w:tc>
                <w:tcPr>
                  <w:tcW w:w="1005" w:type="dxa"/>
                  <w:tcBorders>
                    <w:tl2br w:val="nil"/>
                    <w:tr2bl w:val="nil"/>
                  </w:tcBorders>
                  <w:shd w:val="clear" w:color="auto" w:fill="auto"/>
                  <w:vAlign w:val="center"/>
                </w:tcPr>
                <w:p w14:paraId="680EE1B4">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color w:val="auto"/>
                      <w:spacing w:val="0"/>
                      <w:sz w:val="21"/>
                      <w:szCs w:val="21"/>
                    </w:rPr>
                    <w:t>T</w:t>
                  </w:r>
                </w:p>
              </w:tc>
              <w:tc>
                <w:tcPr>
                  <w:tcW w:w="1140" w:type="dxa"/>
                  <w:tcBorders>
                    <w:tl2br w:val="nil"/>
                    <w:tr2bl w:val="nil"/>
                  </w:tcBorders>
                  <w:shd w:val="clear" w:color="auto" w:fill="auto"/>
                  <w:vAlign w:val="center"/>
                </w:tcPr>
                <w:p w14:paraId="50F84BD6">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液态/固态</w:t>
                  </w:r>
                </w:p>
              </w:tc>
              <w:tc>
                <w:tcPr>
                  <w:tcW w:w="1170" w:type="dxa"/>
                  <w:tcBorders>
                    <w:tl2br w:val="nil"/>
                    <w:tr2bl w:val="nil"/>
                  </w:tcBorders>
                  <w:shd w:val="clear" w:color="auto" w:fill="auto"/>
                  <w:vAlign w:val="center"/>
                </w:tcPr>
                <w:p w14:paraId="0930F167">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桶装/袋装</w:t>
                  </w:r>
                </w:p>
              </w:tc>
            </w:tr>
            <w:tr w14:paraId="0C595F62">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109" w:hRule="atLeast"/>
              </w:trPr>
              <w:tc>
                <w:tcPr>
                  <w:tcW w:w="1096" w:type="dxa"/>
                  <w:vMerge w:val="continue"/>
                  <w:tcBorders>
                    <w:tl2br w:val="nil"/>
                    <w:tr2bl w:val="nil"/>
                  </w:tcBorders>
                  <w:vAlign w:val="center"/>
                </w:tcPr>
                <w:p w14:paraId="4B83DB5F">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tcBorders>
                    <w:tl2br w:val="nil"/>
                    <w:tr2bl w:val="nil"/>
                  </w:tcBorders>
                  <w:vAlign w:val="center"/>
                </w:tcPr>
                <w:p w14:paraId="6FC919A2">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6"/>
                      <w:sz w:val="21"/>
                      <w:szCs w:val="21"/>
                    </w:rPr>
                    <w:t>电子元件及电子专用材料制造</w:t>
                  </w:r>
                </w:p>
              </w:tc>
              <w:tc>
                <w:tcPr>
                  <w:tcW w:w="1233" w:type="dxa"/>
                  <w:tcBorders>
                    <w:tl2br w:val="nil"/>
                    <w:tr2bl w:val="nil"/>
                  </w:tcBorders>
                  <w:vAlign w:val="center"/>
                </w:tcPr>
                <w:p w14:paraId="55699726">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398-001-16</w:t>
                  </w:r>
                </w:p>
              </w:tc>
              <w:tc>
                <w:tcPr>
                  <w:tcW w:w="6222" w:type="dxa"/>
                  <w:tcBorders>
                    <w:tl2br w:val="nil"/>
                    <w:tr2bl w:val="nil"/>
                  </w:tcBorders>
                  <w:vAlign w:val="center"/>
                </w:tcPr>
                <w:p w14:paraId="02A611A1">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使用显影剂、氢氧化物、偏亚硫酸氢盐、醋酸进行胶卷显影产生的废显（定）影剂、胶片和废像纸</w:t>
                  </w:r>
                </w:p>
              </w:tc>
              <w:tc>
                <w:tcPr>
                  <w:tcW w:w="1005" w:type="dxa"/>
                  <w:tcBorders>
                    <w:tl2br w:val="nil"/>
                    <w:tr2bl w:val="nil"/>
                  </w:tcBorders>
                  <w:vAlign w:val="center"/>
                </w:tcPr>
                <w:p w14:paraId="35A58E37">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w:t>
                  </w:r>
                </w:p>
              </w:tc>
              <w:tc>
                <w:tcPr>
                  <w:tcW w:w="1140" w:type="dxa"/>
                  <w:tcBorders>
                    <w:tl2br w:val="nil"/>
                    <w:tr2bl w:val="nil"/>
                  </w:tcBorders>
                  <w:shd w:val="clear" w:color="auto" w:fill="auto"/>
                  <w:vAlign w:val="center"/>
                </w:tcPr>
                <w:p w14:paraId="066904AD">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液态/固态</w:t>
                  </w:r>
                </w:p>
              </w:tc>
              <w:tc>
                <w:tcPr>
                  <w:tcW w:w="1170" w:type="dxa"/>
                  <w:tcBorders>
                    <w:tl2br w:val="nil"/>
                    <w:tr2bl w:val="nil"/>
                  </w:tcBorders>
                  <w:shd w:val="clear" w:color="auto" w:fill="auto"/>
                  <w:vAlign w:val="center"/>
                </w:tcPr>
                <w:p w14:paraId="6D41D3E2">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桶装/袋装</w:t>
                  </w:r>
                </w:p>
              </w:tc>
            </w:tr>
            <w:tr w14:paraId="6D99AF7C">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31D00C17">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tcBorders>
                    <w:tl2br w:val="nil"/>
                    <w:tr2bl w:val="nil"/>
                  </w:tcBorders>
                  <w:vAlign w:val="center"/>
                </w:tcPr>
                <w:p w14:paraId="6192BB3C">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摄影扩印服务</w:t>
                  </w:r>
                </w:p>
              </w:tc>
              <w:tc>
                <w:tcPr>
                  <w:tcW w:w="1233" w:type="dxa"/>
                  <w:tcBorders>
                    <w:tl2br w:val="nil"/>
                    <w:tr2bl w:val="nil"/>
                  </w:tcBorders>
                  <w:vAlign w:val="center"/>
                </w:tcPr>
                <w:p w14:paraId="1D323F9E">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806-001-16</w:t>
                  </w:r>
                </w:p>
              </w:tc>
              <w:tc>
                <w:tcPr>
                  <w:tcW w:w="6222" w:type="dxa"/>
                  <w:tcBorders>
                    <w:tl2br w:val="nil"/>
                    <w:tr2bl w:val="nil"/>
                  </w:tcBorders>
                  <w:vAlign w:val="center"/>
                </w:tcPr>
                <w:p w14:paraId="1887B18E">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摄影扩印服务行业产生的废显（定）影剂、胶片和废像纸</w:t>
                  </w:r>
                </w:p>
              </w:tc>
              <w:tc>
                <w:tcPr>
                  <w:tcW w:w="1005" w:type="dxa"/>
                  <w:tcBorders>
                    <w:tl2br w:val="nil"/>
                    <w:tr2bl w:val="nil"/>
                  </w:tcBorders>
                  <w:vAlign w:val="center"/>
                </w:tcPr>
                <w:p w14:paraId="3A7285FC">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w:t>
                  </w:r>
                </w:p>
              </w:tc>
              <w:tc>
                <w:tcPr>
                  <w:tcW w:w="1140" w:type="dxa"/>
                  <w:tcBorders>
                    <w:tl2br w:val="nil"/>
                    <w:tr2bl w:val="nil"/>
                  </w:tcBorders>
                  <w:shd w:val="clear" w:color="auto" w:fill="auto"/>
                  <w:vAlign w:val="center"/>
                </w:tcPr>
                <w:p w14:paraId="4EF8DA7B">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液态/固态</w:t>
                  </w:r>
                </w:p>
              </w:tc>
              <w:tc>
                <w:tcPr>
                  <w:tcW w:w="1170" w:type="dxa"/>
                  <w:tcBorders>
                    <w:tl2br w:val="nil"/>
                    <w:tr2bl w:val="nil"/>
                  </w:tcBorders>
                  <w:shd w:val="clear" w:color="auto" w:fill="auto"/>
                  <w:vAlign w:val="center"/>
                </w:tcPr>
                <w:p w14:paraId="34B94F4A">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桶装/袋装</w:t>
                  </w:r>
                </w:p>
              </w:tc>
            </w:tr>
            <w:tr w14:paraId="11F448AE">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0B58F9C5">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tcBorders>
                    <w:tl2br w:val="nil"/>
                    <w:tr2bl w:val="nil"/>
                  </w:tcBorders>
                  <w:vAlign w:val="center"/>
                </w:tcPr>
                <w:p w14:paraId="4408E4C7">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6"/>
                      <w:sz w:val="21"/>
                      <w:szCs w:val="21"/>
                    </w:rPr>
                    <w:t>非特定行业</w:t>
                  </w:r>
                </w:p>
              </w:tc>
              <w:tc>
                <w:tcPr>
                  <w:tcW w:w="1233" w:type="dxa"/>
                  <w:tcBorders>
                    <w:tl2br w:val="nil"/>
                    <w:tr2bl w:val="nil"/>
                  </w:tcBorders>
                  <w:vAlign w:val="center"/>
                </w:tcPr>
                <w:p w14:paraId="3B1DA080">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900-019-16</w:t>
                  </w:r>
                </w:p>
              </w:tc>
              <w:tc>
                <w:tcPr>
                  <w:tcW w:w="6222" w:type="dxa"/>
                  <w:tcBorders>
                    <w:tl2br w:val="nil"/>
                    <w:tr2bl w:val="nil"/>
                  </w:tcBorders>
                  <w:vAlign w:val="center"/>
                </w:tcPr>
                <w:p w14:paraId="27EEF410">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其他行业产生的废显（定）影剂、胶片和废像纸</w:t>
                  </w:r>
                </w:p>
              </w:tc>
              <w:tc>
                <w:tcPr>
                  <w:tcW w:w="1005" w:type="dxa"/>
                  <w:tcBorders>
                    <w:tl2br w:val="nil"/>
                    <w:tr2bl w:val="nil"/>
                  </w:tcBorders>
                  <w:vAlign w:val="center"/>
                </w:tcPr>
                <w:p w14:paraId="26E4BB70">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w:t>
                  </w:r>
                </w:p>
              </w:tc>
              <w:tc>
                <w:tcPr>
                  <w:tcW w:w="1140" w:type="dxa"/>
                  <w:tcBorders>
                    <w:tl2br w:val="nil"/>
                    <w:tr2bl w:val="nil"/>
                  </w:tcBorders>
                  <w:shd w:val="clear" w:color="auto" w:fill="auto"/>
                  <w:vAlign w:val="center"/>
                </w:tcPr>
                <w:p w14:paraId="7B17C6C4">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液态/固态</w:t>
                  </w:r>
                </w:p>
              </w:tc>
              <w:tc>
                <w:tcPr>
                  <w:tcW w:w="1170" w:type="dxa"/>
                  <w:tcBorders>
                    <w:tl2br w:val="nil"/>
                    <w:tr2bl w:val="nil"/>
                  </w:tcBorders>
                  <w:shd w:val="clear" w:color="auto" w:fill="auto"/>
                  <w:vAlign w:val="center"/>
                </w:tcPr>
                <w:p w14:paraId="3C67FB9A">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桶装/袋装</w:t>
                  </w:r>
                </w:p>
              </w:tc>
            </w:tr>
            <w:tr w14:paraId="7103C089">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1096" w:type="dxa"/>
                  <w:vMerge w:val="restart"/>
                  <w:tcBorders>
                    <w:tl2br w:val="nil"/>
                    <w:tr2bl w:val="nil"/>
                  </w:tcBorders>
                  <w:vAlign w:val="center"/>
                </w:tcPr>
                <w:p w14:paraId="7887403F">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HW17</w:t>
                  </w:r>
                </w:p>
                <w:p w14:paraId="25489FA0">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表面处理废物</w:t>
                  </w:r>
                </w:p>
              </w:tc>
              <w:tc>
                <w:tcPr>
                  <w:tcW w:w="1134" w:type="dxa"/>
                  <w:vMerge w:val="restart"/>
                  <w:tcBorders>
                    <w:tl2br w:val="nil"/>
                    <w:tr2bl w:val="nil"/>
                  </w:tcBorders>
                  <w:vAlign w:val="center"/>
                </w:tcPr>
                <w:p w14:paraId="7C95ACC3">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金属表面处理及热处理加工</w:t>
                  </w:r>
                </w:p>
              </w:tc>
              <w:tc>
                <w:tcPr>
                  <w:tcW w:w="1233" w:type="dxa"/>
                  <w:tcBorders>
                    <w:tl2br w:val="nil"/>
                    <w:tr2bl w:val="nil"/>
                  </w:tcBorders>
                  <w:shd w:val="clear" w:color="auto" w:fill="auto"/>
                  <w:vAlign w:val="center"/>
                </w:tcPr>
                <w:p w14:paraId="03F2E75B">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color w:val="auto"/>
                      <w:spacing w:val="0"/>
                      <w:sz w:val="21"/>
                      <w:szCs w:val="21"/>
                    </w:rPr>
                    <w:t>336-054-17</w:t>
                  </w:r>
                </w:p>
              </w:tc>
              <w:tc>
                <w:tcPr>
                  <w:tcW w:w="6222" w:type="dxa"/>
                  <w:tcBorders>
                    <w:tl2br w:val="nil"/>
                    <w:tr2bl w:val="nil"/>
                  </w:tcBorders>
                  <w:shd w:val="clear" w:color="auto" w:fill="auto"/>
                  <w:vAlign w:val="center"/>
                </w:tcPr>
                <w:p w14:paraId="3905773C">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color w:val="auto"/>
                      <w:spacing w:val="0"/>
                      <w:sz w:val="21"/>
                      <w:szCs w:val="21"/>
                    </w:rPr>
                    <w:t>使用镍和电镀化学品进行镀镍产生的废槽液、槽渣和废水处理污泥</w:t>
                  </w:r>
                </w:p>
              </w:tc>
              <w:tc>
                <w:tcPr>
                  <w:tcW w:w="1005" w:type="dxa"/>
                  <w:tcBorders>
                    <w:tl2br w:val="nil"/>
                    <w:tr2bl w:val="nil"/>
                  </w:tcBorders>
                  <w:shd w:val="clear" w:color="auto" w:fill="auto"/>
                  <w:vAlign w:val="center"/>
                </w:tcPr>
                <w:p w14:paraId="00DC9DCC">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color w:val="auto"/>
                      <w:spacing w:val="0"/>
                      <w:sz w:val="21"/>
                      <w:szCs w:val="21"/>
                    </w:rPr>
                    <w:t>T</w:t>
                  </w:r>
                </w:p>
              </w:tc>
              <w:tc>
                <w:tcPr>
                  <w:tcW w:w="1140" w:type="dxa"/>
                  <w:tcBorders>
                    <w:tl2br w:val="nil"/>
                    <w:tr2bl w:val="nil"/>
                  </w:tcBorders>
                  <w:shd w:val="clear" w:color="auto" w:fill="auto"/>
                  <w:vAlign w:val="center"/>
                </w:tcPr>
                <w:p w14:paraId="3F357C45">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固态</w:t>
                  </w:r>
                </w:p>
              </w:tc>
              <w:tc>
                <w:tcPr>
                  <w:tcW w:w="1170" w:type="dxa"/>
                  <w:tcBorders>
                    <w:tl2br w:val="nil"/>
                    <w:tr2bl w:val="nil"/>
                  </w:tcBorders>
                  <w:shd w:val="clear" w:color="auto" w:fill="auto"/>
                  <w:vAlign w:val="center"/>
                </w:tcPr>
                <w:p w14:paraId="040BA408">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桶装</w:t>
                  </w:r>
                </w:p>
              </w:tc>
            </w:tr>
            <w:tr w14:paraId="25497BF1">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3FA084B6">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6A4A4D6C">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233" w:type="dxa"/>
                  <w:tcBorders>
                    <w:tl2br w:val="nil"/>
                    <w:tr2bl w:val="nil"/>
                  </w:tcBorders>
                  <w:shd w:val="clear" w:color="auto" w:fill="auto"/>
                  <w:vAlign w:val="center"/>
                </w:tcPr>
                <w:p w14:paraId="53FBD431">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color w:val="auto"/>
                      <w:spacing w:val="0"/>
                      <w:sz w:val="21"/>
                      <w:szCs w:val="21"/>
                    </w:rPr>
                    <w:t>336-055-17</w:t>
                  </w:r>
                </w:p>
              </w:tc>
              <w:tc>
                <w:tcPr>
                  <w:tcW w:w="6222" w:type="dxa"/>
                  <w:tcBorders>
                    <w:tl2br w:val="nil"/>
                    <w:tr2bl w:val="nil"/>
                  </w:tcBorders>
                  <w:shd w:val="clear" w:color="auto" w:fill="auto"/>
                  <w:vAlign w:val="center"/>
                </w:tcPr>
                <w:p w14:paraId="329DE93E">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color w:val="auto"/>
                      <w:spacing w:val="0"/>
                      <w:sz w:val="21"/>
                      <w:szCs w:val="21"/>
                    </w:rPr>
                    <w:t>使用镀镍液进行镀镍产生的废槽液、槽渣和废水处理污泥</w:t>
                  </w:r>
                </w:p>
              </w:tc>
              <w:tc>
                <w:tcPr>
                  <w:tcW w:w="1005" w:type="dxa"/>
                  <w:tcBorders>
                    <w:tl2br w:val="nil"/>
                    <w:tr2bl w:val="nil"/>
                  </w:tcBorders>
                  <w:shd w:val="clear" w:color="auto" w:fill="auto"/>
                  <w:vAlign w:val="center"/>
                </w:tcPr>
                <w:p w14:paraId="023A9D2D">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color w:val="auto"/>
                      <w:spacing w:val="0"/>
                      <w:sz w:val="21"/>
                      <w:szCs w:val="21"/>
                    </w:rPr>
                    <w:t>T</w:t>
                  </w:r>
                </w:p>
              </w:tc>
              <w:tc>
                <w:tcPr>
                  <w:tcW w:w="1140" w:type="dxa"/>
                  <w:tcBorders>
                    <w:tl2br w:val="nil"/>
                    <w:tr2bl w:val="nil"/>
                  </w:tcBorders>
                  <w:shd w:val="clear" w:color="auto" w:fill="auto"/>
                  <w:vAlign w:val="center"/>
                </w:tcPr>
                <w:p w14:paraId="68B866E8">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固态</w:t>
                  </w:r>
                </w:p>
              </w:tc>
              <w:tc>
                <w:tcPr>
                  <w:tcW w:w="1170" w:type="dxa"/>
                  <w:tcBorders>
                    <w:tl2br w:val="nil"/>
                    <w:tr2bl w:val="nil"/>
                  </w:tcBorders>
                  <w:shd w:val="clear" w:color="auto" w:fill="auto"/>
                  <w:vAlign w:val="center"/>
                </w:tcPr>
                <w:p w14:paraId="1C05C806">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桶装</w:t>
                  </w:r>
                </w:p>
              </w:tc>
            </w:tr>
            <w:tr w14:paraId="39283E83">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1B71AA0D">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113ECC67">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233" w:type="dxa"/>
                  <w:tcBorders>
                    <w:tl2br w:val="nil"/>
                    <w:tr2bl w:val="nil"/>
                  </w:tcBorders>
                  <w:vAlign w:val="center"/>
                </w:tcPr>
                <w:p w14:paraId="29E98240">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336-057-17</w:t>
                  </w:r>
                </w:p>
              </w:tc>
              <w:tc>
                <w:tcPr>
                  <w:tcW w:w="6222" w:type="dxa"/>
                  <w:tcBorders>
                    <w:tl2br w:val="nil"/>
                    <w:tr2bl w:val="nil"/>
                  </w:tcBorders>
                  <w:vAlign w:val="center"/>
                </w:tcPr>
                <w:p w14:paraId="29C6289E">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使用金和电镀化学品进行镀金产生的废槽液、槽渣和废水处理污泥</w:t>
                  </w:r>
                </w:p>
              </w:tc>
              <w:tc>
                <w:tcPr>
                  <w:tcW w:w="1005" w:type="dxa"/>
                  <w:tcBorders>
                    <w:tl2br w:val="nil"/>
                    <w:tr2bl w:val="nil"/>
                  </w:tcBorders>
                  <w:vAlign w:val="center"/>
                </w:tcPr>
                <w:p w14:paraId="36C4CC98">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w:t>
                  </w:r>
                </w:p>
              </w:tc>
              <w:tc>
                <w:tcPr>
                  <w:tcW w:w="1140" w:type="dxa"/>
                  <w:tcBorders>
                    <w:tl2br w:val="nil"/>
                    <w:tr2bl w:val="nil"/>
                  </w:tcBorders>
                  <w:vAlign w:val="center"/>
                </w:tcPr>
                <w:p w14:paraId="2A560374">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固态</w:t>
                  </w:r>
                </w:p>
              </w:tc>
              <w:tc>
                <w:tcPr>
                  <w:tcW w:w="1170" w:type="dxa"/>
                  <w:tcBorders>
                    <w:tl2br w:val="nil"/>
                    <w:tr2bl w:val="nil"/>
                  </w:tcBorders>
                  <w:vAlign w:val="center"/>
                </w:tcPr>
                <w:p w14:paraId="1622EEF2">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桶装</w:t>
                  </w:r>
                </w:p>
              </w:tc>
            </w:tr>
            <w:tr w14:paraId="2085A050">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0BFFB509">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7E13F937">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233" w:type="dxa"/>
                  <w:tcBorders>
                    <w:tl2br w:val="nil"/>
                    <w:tr2bl w:val="nil"/>
                  </w:tcBorders>
                  <w:vAlign w:val="center"/>
                </w:tcPr>
                <w:p w14:paraId="0265DD2D">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336-058-17</w:t>
                  </w:r>
                </w:p>
              </w:tc>
              <w:tc>
                <w:tcPr>
                  <w:tcW w:w="6222" w:type="dxa"/>
                  <w:tcBorders>
                    <w:tl2br w:val="nil"/>
                    <w:tr2bl w:val="nil"/>
                  </w:tcBorders>
                  <w:vAlign w:val="center"/>
                </w:tcPr>
                <w:p w14:paraId="665B3E76">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使用镀铜液进行化学镀铜产生的废槽液、槽渣和废水处理污泥</w:t>
                  </w:r>
                </w:p>
              </w:tc>
              <w:tc>
                <w:tcPr>
                  <w:tcW w:w="1005" w:type="dxa"/>
                  <w:tcBorders>
                    <w:tl2br w:val="nil"/>
                    <w:tr2bl w:val="nil"/>
                  </w:tcBorders>
                  <w:vAlign w:val="center"/>
                </w:tcPr>
                <w:p w14:paraId="7B30BC01">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w:t>
                  </w:r>
                </w:p>
              </w:tc>
              <w:tc>
                <w:tcPr>
                  <w:tcW w:w="1140" w:type="dxa"/>
                  <w:tcBorders>
                    <w:tl2br w:val="nil"/>
                    <w:tr2bl w:val="nil"/>
                  </w:tcBorders>
                  <w:vAlign w:val="center"/>
                </w:tcPr>
                <w:p w14:paraId="6E2A5ECC">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固态</w:t>
                  </w:r>
                </w:p>
              </w:tc>
              <w:tc>
                <w:tcPr>
                  <w:tcW w:w="1170" w:type="dxa"/>
                  <w:tcBorders>
                    <w:tl2br w:val="nil"/>
                    <w:tr2bl w:val="nil"/>
                  </w:tcBorders>
                  <w:vAlign w:val="center"/>
                </w:tcPr>
                <w:p w14:paraId="075909AE">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桶装</w:t>
                  </w:r>
                </w:p>
              </w:tc>
            </w:tr>
            <w:tr w14:paraId="5434C30E">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2132F878">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26DE9B5C">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233" w:type="dxa"/>
                  <w:tcBorders>
                    <w:tl2br w:val="nil"/>
                    <w:tr2bl w:val="nil"/>
                  </w:tcBorders>
                  <w:shd w:val="clear" w:color="auto" w:fill="auto"/>
                  <w:vAlign w:val="center"/>
                </w:tcPr>
                <w:p w14:paraId="50FD20C2">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color w:val="auto"/>
                      <w:spacing w:val="0"/>
                      <w:sz w:val="21"/>
                      <w:szCs w:val="21"/>
                    </w:rPr>
                    <w:t>336-060-17</w:t>
                  </w:r>
                </w:p>
              </w:tc>
              <w:tc>
                <w:tcPr>
                  <w:tcW w:w="6222" w:type="dxa"/>
                  <w:tcBorders>
                    <w:tl2br w:val="nil"/>
                    <w:tr2bl w:val="nil"/>
                  </w:tcBorders>
                  <w:shd w:val="clear" w:color="auto" w:fill="auto"/>
                  <w:vAlign w:val="center"/>
                </w:tcPr>
                <w:p w14:paraId="50A391AE">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color w:val="auto"/>
                      <w:spacing w:val="-6"/>
                      <w:sz w:val="21"/>
                      <w:szCs w:val="21"/>
                    </w:rPr>
                    <w:t>使用铬和电镀化学品进行镀黑铬产生的废槽液、槽渣和废水处理污泥</w:t>
                  </w:r>
                </w:p>
              </w:tc>
              <w:tc>
                <w:tcPr>
                  <w:tcW w:w="1005" w:type="dxa"/>
                  <w:tcBorders>
                    <w:tl2br w:val="nil"/>
                    <w:tr2bl w:val="nil"/>
                  </w:tcBorders>
                  <w:shd w:val="clear" w:color="auto" w:fill="auto"/>
                  <w:vAlign w:val="center"/>
                </w:tcPr>
                <w:p w14:paraId="19DDC7CA">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color w:val="auto"/>
                      <w:spacing w:val="0"/>
                      <w:sz w:val="21"/>
                      <w:szCs w:val="21"/>
                    </w:rPr>
                    <w:t>T</w:t>
                  </w:r>
                </w:p>
              </w:tc>
              <w:tc>
                <w:tcPr>
                  <w:tcW w:w="1140" w:type="dxa"/>
                  <w:tcBorders>
                    <w:tl2br w:val="nil"/>
                    <w:tr2bl w:val="nil"/>
                  </w:tcBorders>
                  <w:shd w:val="clear" w:color="auto" w:fill="auto"/>
                  <w:vAlign w:val="center"/>
                </w:tcPr>
                <w:p w14:paraId="4878A0EC">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固态</w:t>
                  </w:r>
                </w:p>
              </w:tc>
              <w:tc>
                <w:tcPr>
                  <w:tcW w:w="1170" w:type="dxa"/>
                  <w:tcBorders>
                    <w:tl2br w:val="nil"/>
                    <w:tr2bl w:val="nil"/>
                  </w:tcBorders>
                  <w:shd w:val="clear" w:color="auto" w:fill="auto"/>
                  <w:vAlign w:val="center"/>
                </w:tcPr>
                <w:p w14:paraId="09D78FF2">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桶装</w:t>
                  </w:r>
                </w:p>
              </w:tc>
            </w:tr>
            <w:tr w14:paraId="442528C0">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05B6C3EC">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64831524">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233" w:type="dxa"/>
                  <w:tcBorders>
                    <w:tl2br w:val="nil"/>
                    <w:tr2bl w:val="nil"/>
                  </w:tcBorders>
                  <w:shd w:val="clear" w:color="auto" w:fill="auto"/>
                  <w:vAlign w:val="center"/>
                </w:tcPr>
                <w:p w14:paraId="746D56BC">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color w:val="auto"/>
                      <w:spacing w:val="0"/>
                      <w:sz w:val="21"/>
                      <w:szCs w:val="21"/>
                    </w:rPr>
                    <w:t>336-063-17</w:t>
                  </w:r>
                </w:p>
              </w:tc>
              <w:tc>
                <w:tcPr>
                  <w:tcW w:w="6222" w:type="dxa"/>
                  <w:tcBorders>
                    <w:tl2br w:val="nil"/>
                    <w:tr2bl w:val="nil"/>
                  </w:tcBorders>
                  <w:shd w:val="clear" w:color="auto" w:fill="auto"/>
                  <w:vAlign w:val="center"/>
                </w:tcPr>
                <w:p w14:paraId="15ECF469">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color w:val="auto"/>
                      <w:spacing w:val="0"/>
                      <w:sz w:val="21"/>
                      <w:szCs w:val="21"/>
                    </w:rPr>
                    <w:t>其他电镀工艺产生的废槽液、槽渣和废水处理污泥</w:t>
                  </w:r>
                </w:p>
              </w:tc>
              <w:tc>
                <w:tcPr>
                  <w:tcW w:w="1005" w:type="dxa"/>
                  <w:tcBorders>
                    <w:tl2br w:val="nil"/>
                    <w:tr2bl w:val="nil"/>
                  </w:tcBorders>
                  <w:shd w:val="clear" w:color="auto" w:fill="auto"/>
                  <w:vAlign w:val="center"/>
                </w:tcPr>
                <w:p w14:paraId="12B10756">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color w:val="auto"/>
                      <w:spacing w:val="0"/>
                      <w:sz w:val="21"/>
                      <w:szCs w:val="21"/>
                    </w:rPr>
                    <w:t>T</w:t>
                  </w:r>
                </w:p>
              </w:tc>
              <w:tc>
                <w:tcPr>
                  <w:tcW w:w="1140" w:type="dxa"/>
                  <w:tcBorders>
                    <w:tl2br w:val="nil"/>
                    <w:tr2bl w:val="nil"/>
                  </w:tcBorders>
                  <w:shd w:val="clear" w:color="auto" w:fill="auto"/>
                  <w:vAlign w:val="center"/>
                </w:tcPr>
                <w:p w14:paraId="38DD4826">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固态</w:t>
                  </w:r>
                </w:p>
              </w:tc>
              <w:tc>
                <w:tcPr>
                  <w:tcW w:w="1170" w:type="dxa"/>
                  <w:tcBorders>
                    <w:tl2br w:val="nil"/>
                    <w:tr2bl w:val="nil"/>
                  </w:tcBorders>
                  <w:shd w:val="clear" w:color="auto" w:fill="auto"/>
                  <w:vAlign w:val="center"/>
                </w:tcPr>
                <w:p w14:paraId="1E388474">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桶装</w:t>
                  </w:r>
                </w:p>
              </w:tc>
            </w:tr>
            <w:tr w14:paraId="42D3067C">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550" w:hRule="atLeast"/>
              </w:trPr>
              <w:tc>
                <w:tcPr>
                  <w:tcW w:w="1096" w:type="dxa"/>
                  <w:vMerge w:val="continue"/>
                  <w:tcBorders>
                    <w:tl2br w:val="nil"/>
                    <w:tr2bl w:val="nil"/>
                  </w:tcBorders>
                  <w:vAlign w:val="center"/>
                </w:tcPr>
                <w:p w14:paraId="7C2BDF21">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57D8A3FB">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233" w:type="dxa"/>
                  <w:tcBorders>
                    <w:tl2br w:val="nil"/>
                    <w:tr2bl w:val="nil"/>
                  </w:tcBorders>
                  <w:shd w:val="clear" w:color="auto" w:fill="auto"/>
                  <w:vAlign w:val="center"/>
                </w:tcPr>
                <w:p w14:paraId="758393E3">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color w:val="auto"/>
                      <w:spacing w:val="0"/>
                      <w:sz w:val="21"/>
                      <w:szCs w:val="21"/>
                    </w:rPr>
                    <w:t>336-064-17</w:t>
                  </w:r>
                </w:p>
              </w:tc>
              <w:tc>
                <w:tcPr>
                  <w:tcW w:w="6222" w:type="dxa"/>
                  <w:tcBorders>
                    <w:tl2br w:val="nil"/>
                    <w:tr2bl w:val="nil"/>
                  </w:tcBorders>
                  <w:shd w:val="clear" w:color="auto" w:fill="auto"/>
                  <w:vAlign w:val="center"/>
                </w:tcPr>
                <w:p w14:paraId="7236F20A">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color w:val="auto"/>
                      <w:spacing w:val="0"/>
                      <w:sz w:val="21"/>
                      <w:szCs w:val="21"/>
                    </w:rPr>
                    <w:t>金属或塑料表面酸（碱）洗、除油、除锈、洗涤、磷化、出光、化抛工艺产生的废腐蚀液、废洗涤液、废槽液、槽渣和废水处理污泥（不包括：铝、镁材（板）表面酸（碱）洗、粗化、硫酸阳极处理、磷酸化学抛光废水处理污泥，铝电解电容器用铝电极箔化学腐蚀、非硼酸系化成液化成废水处理污泥，铝材挤压加工模具碱洗（煲模）废水处理污泥，碳钢酸洗除锈废水处理污泥）</w:t>
                  </w:r>
                </w:p>
              </w:tc>
              <w:tc>
                <w:tcPr>
                  <w:tcW w:w="1005" w:type="dxa"/>
                  <w:tcBorders>
                    <w:tl2br w:val="nil"/>
                    <w:tr2bl w:val="nil"/>
                  </w:tcBorders>
                  <w:shd w:val="clear" w:color="auto" w:fill="auto"/>
                  <w:vAlign w:val="center"/>
                </w:tcPr>
                <w:p w14:paraId="2C7E06D6">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color w:val="auto"/>
                      <w:spacing w:val="0"/>
                      <w:sz w:val="21"/>
                      <w:szCs w:val="21"/>
                    </w:rPr>
                    <w:t>T/C</w:t>
                  </w:r>
                </w:p>
              </w:tc>
              <w:tc>
                <w:tcPr>
                  <w:tcW w:w="1140" w:type="dxa"/>
                  <w:tcBorders>
                    <w:tl2br w:val="nil"/>
                    <w:tr2bl w:val="nil"/>
                  </w:tcBorders>
                  <w:shd w:val="clear" w:color="auto" w:fill="auto"/>
                  <w:vAlign w:val="center"/>
                </w:tcPr>
                <w:p w14:paraId="178797ED">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固态</w:t>
                  </w:r>
                </w:p>
              </w:tc>
              <w:tc>
                <w:tcPr>
                  <w:tcW w:w="1170" w:type="dxa"/>
                  <w:tcBorders>
                    <w:tl2br w:val="nil"/>
                    <w:tr2bl w:val="nil"/>
                  </w:tcBorders>
                  <w:shd w:val="clear" w:color="auto" w:fill="auto"/>
                  <w:vAlign w:val="center"/>
                </w:tcPr>
                <w:p w14:paraId="301C0EE0">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桶装</w:t>
                  </w:r>
                </w:p>
              </w:tc>
            </w:tr>
            <w:tr w14:paraId="254D4645">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33D253EE">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6F96A2FF">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233" w:type="dxa"/>
                  <w:tcBorders>
                    <w:tl2br w:val="nil"/>
                    <w:tr2bl w:val="nil"/>
                  </w:tcBorders>
                  <w:shd w:val="clear" w:color="auto" w:fill="auto"/>
                  <w:vAlign w:val="center"/>
                </w:tcPr>
                <w:p w14:paraId="3BE1BABE">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color w:val="auto"/>
                      <w:spacing w:val="0"/>
                      <w:sz w:val="21"/>
                      <w:szCs w:val="21"/>
                    </w:rPr>
                    <w:t>336-069-17</w:t>
                  </w:r>
                </w:p>
              </w:tc>
              <w:tc>
                <w:tcPr>
                  <w:tcW w:w="6222" w:type="dxa"/>
                  <w:tcBorders>
                    <w:tl2br w:val="nil"/>
                    <w:tr2bl w:val="nil"/>
                  </w:tcBorders>
                  <w:shd w:val="clear" w:color="auto" w:fill="auto"/>
                  <w:vAlign w:val="center"/>
                </w:tcPr>
                <w:p w14:paraId="3E4D7819">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color w:val="auto"/>
                      <w:spacing w:val="0"/>
                      <w:sz w:val="21"/>
                      <w:szCs w:val="21"/>
                    </w:rPr>
                    <w:t>使用铬酸镀铬产生的废槽液、槽渣和废水处理污泥</w:t>
                  </w:r>
                </w:p>
              </w:tc>
              <w:tc>
                <w:tcPr>
                  <w:tcW w:w="1005" w:type="dxa"/>
                  <w:tcBorders>
                    <w:tl2br w:val="nil"/>
                    <w:tr2bl w:val="nil"/>
                  </w:tcBorders>
                  <w:shd w:val="clear" w:color="auto" w:fill="auto"/>
                  <w:vAlign w:val="center"/>
                </w:tcPr>
                <w:p w14:paraId="1DAE8F66">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color w:val="auto"/>
                      <w:spacing w:val="0"/>
                      <w:sz w:val="21"/>
                      <w:szCs w:val="21"/>
                    </w:rPr>
                    <w:t>T</w:t>
                  </w:r>
                </w:p>
              </w:tc>
              <w:tc>
                <w:tcPr>
                  <w:tcW w:w="1140" w:type="dxa"/>
                  <w:tcBorders>
                    <w:tl2br w:val="nil"/>
                    <w:tr2bl w:val="nil"/>
                  </w:tcBorders>
                  <w:shd w:val="clear" w:color="auto" w:fill="auto"/>
                  <w:vAlign w:val="center"/>
                </w:tcPr>
                <w:p w14:paraId="40E1DFEA">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固态</w:t>
                  </w:r>
                </w:p>
              </w:tc>
              <w:tc>
                <w:tcPr>
                  <w:tcW w:w="1170" w:type="dxa"/>
                  <w:tcBorders>
                    <w:tl2br w:val="nil"/>
                    <w:tr2bl w:val="nil"/>
                  </w:tcBorders>
                  <w:shd w:val="clear" w:color="auto" w:fill="auto"/>
                  <w:vAlign w:val="center"/>
                </w:tcPr>
                <w:p w14:paraId="2D35EDC1">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桶装</w:t>
                  </w:r>
                </w:p>
              </w:tc>
            </w:tr>
            <w:tr w14:paraId="3F79459E">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459" w:hRule="atLeast"/>
              </w:trPr>
              <w:tc>
                <w:tcPr>
                  <w:tcW w:w="1096" w:type="dxa"/>
                  <w:tcBorders>
                    <w:tl2br w:val="nil"/>
                    <w:tr2bl w:val="nil"/>
                  </w:tcBorders>
                  <w:vAlign w:val="center"/>
                </w:tcPr>
                <w:p w14:paraId="6908854B">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HW18</w:t>
                  </w:r>
                </w:p>
                <w:p w14:paraId="287B4376">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焚烧处置残渣</w:t>
                  </w:r>
                </w:p>
              </w:tc>
              <w:tc>
                <w:tcPr>
                  <w:tcW w:w="1134" w:type="dxa"/>
                  <w:tcBorders>
                    <w:tl2br w:val="nil"/>
                    <w:tr2bl w:val="nil"/>
                  </w:tcBorders>
                  <w:vAlign w:val="center"/>
                </w:tcPr>
                <w:p w14:paraId="2FCAF61E">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6"/>
                      <w:sz w:val="21"/>
                      <w:szCs w:val="21"/>
                    </w:rPr>
                  </w:pPr>
                  <w:r>
                    <w:rPr>
                      <w:rFonts w:hint="default" w:ascii="Times New Roman" w:hAnsi="Times New Roman" w:eastAsia="宋体" w:cs="Times New Roman"/>
                      <w:color w:val="auto"/>
                      <w:spacing w:val="-6"/>
                      <w:sz w:val="21"/>
                      <w:szCs w:val="21"/>
                    </w:rPr>
                    <w:t>环境治理业</w:t>
                  </w:r>
                </w:p>
              </w:tc>
              <w:tc>
                <w:tcPr>
                  <w:tcW w:w="1233" w:type="dxa"/>
                  <w:tcBorders>
                    <w:tl2br w:val="nil"/>
                    <w:tr2bl w:val="nil"/>
                  </w:tcBorders>
                  <w:shd w:val="clear" w:color="auto" w:fill="auto"/>
                  <w:vAlign w:val="center"/>
                </w:tcPr>
                <w:p w14:paraId="67AF1CF1">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color w:val="auto"/>
                      <w:spacing w:val="0"/>
                      <w:sz w:val="21"/>
                      <w:szCs w:val="21"/>
                    </w:rPr>
                    <w:t>772-005-18</w:t>
                  </w:r>
                </w:p>
              </w:tc>
              <w:tc>
                <w:tcPr>
                  <w:tcW w:w="6222" w:type="dxa"/>
                  <w:tcBorders>
                    <w:tl2br w:val="nil"/>
                    <w:tr2bl w:val="nil"/>
                  </w:tcBorders>
                  <w:shd w:val="clear" w:color="auto" w:fill="auto"/>
                  <w:vAlign w:val="center"/>
                </w:tcPr>
                <w:p w14:paraId="5AD792E3">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color w:val="auto"/>
                      <w:spacing w:val="0"/>
                      <w:sz w:val="21"/>
                      <w:szCs w:val="21"/>
                    </w:rPr>
                    <w:t>固体废物焚烧处置过程中废气处理产生的废活性炭</w:t>
                  </w:r>
                </w:p>
              </w:tc>
              <w:tc>
                <w:tcPr>
                  <w:tcW w:w="1005" w:type="dxa"/>
                  <w:tcBorders>
                    <w:tl2br w:val="nil"/>
                    <w:tr2bl w:val="nil"/>
                  </w:tcBorders>
                  <w:shd w:val="clear" w:color="auto" w:fill="auto"/>
                  <w:vAlign w:val="center"/>
                </w:tcPr>
                <w:p w14:paraId="71AE8BE2">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color w:val="auto"/>
                      <w:spacing w:val="0"/>
                      <w:sz w:val="21"/>
                      <w:szCs w:val="21"/>
                    </w:rPr>
                    <w:t>T</w:t>
                  </w:r>
                </w:p>
              </w:tc>
              <w:tc>
                <w:tcPr>
                  <w:tcW w:w="1140" w:type="dxa"/>
                  <w:tcBorders>
                    <w:tl2br w:val="nil"/>
                    <w:tr2bl w:val="nil"/>
                  </w:tcBorders>
                  <w:shd w:val="clear" w:color="auto" w:fill="auto"/>
                  <w:vAlign w:val="center"/>
                </w:tcPr>
                <w:p w14:paraId="194A18BF">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固态</w:t>
                  </w:r>
                </w:p>
              </w:tc>
              <w:tc>
                <w:tcPr>
                  <w:tcW w:w="1170" w:type="dxa"/>
                  <w:tcBorders>
                    <w:tl2br w:val="nil"/>
                    <w:tr2bl w:val="nil"/>
                  </w:tcBorders>
                  <w:shd w:val="clear" w:color="auto" w:fill="auto"/>
                  <w:vAlign w:val="center"/>
                </w:tcPr>
                <w:p w14:paraId="259604E2">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lang w:val="en-US" w:eastAsia="zh-CN"/>
                    </w:rPr>
                  </w:pPr>
                  <w:r>
                    <w:rPr>
                      <w:rFonts w:hint="eastAsia" w:ascii="Times New Roman" w:hAnsi="Times New Roman" w:cs="Times New Roman"/>
                      <w:color w:val="auto"/>
                      <w:spacing w:val="0"/>
                      <w:sz w:val="21"/>
                      <w:szCs w:val="21"/>
                      <w:lang w:val="en-US" w:eastAsia="zh-CN"/>
                    </w:rPr>
                    <w:t>袋装</w:t>
                  </w:r>
                </w:p>
              </w:tc>
            </w:tr>
            <w:tr w14:paraId="130FCE70">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1093" w:hRule="atLeast"/>
              </w:trPr>
              <w:tc>
                <w:tcPr>
                  <w:tcW w:w="1096" w:type="dxa"/>
                  <w:tcBorders>
                    <w:tl2br w:val="nil"/>
                    <w:tr2bl w:val="nil"/>
                  </w:tcBorders>
                  <w:vAlign w:val="center"/>
                </w:tcPr>
                <w:p w14:paraId="71A30AF6">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HW19</w:t>
                  </w:r>
                </w:p>
                <w:p w14:paraId="4DCFB7AE">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含金属羰基化合物废物</w:t>
                  </w:r>
                </w:p>
              </w:tc>
              <w:tc>
                <w:tcPr>
                  <w:tcW w:w="1134" w:type="dxa"/>
                  <w:tcBorders>
                    <w:tl2br w:val="nil"/>
                    <w:tr2bl w:val="nil"/>
                  </w:tcBorders>
                  <w:vAlign w:val="center"/>
                </w:tcPr>
                <w:p w14:paraId="0675F628">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6"/>
                      <w:sz w:val="21"/>
                      <w:szCs w:val="21"/>
                    </w:rPr>
                  </w:pPr>
                  <w:r>
                    <w:rPr>
                      <w:rFonts w:hint="default" w:ascii="Times New Roman" w:hAnsi="Times New Roman" w:eastAsia="宋体" w:cs="Times New Roman"/>
                      <w:color w:val="auto"/>
                      <w:spacing w:val="-6"/>
                      <w:sz w:val="21"/>
                      <w:szCs w:val="21"/>
                    </w:rPr>
                    <w:t>非特定行业</w:t>
                  </w:r>
                </w:p>
              </w:tc>
              <w:tc>
                <w:tcPr>
                  <w:tcW w:w="1233" w:type="dxa"/>
                  <w:tcBorders>
                    <w:tl2br w:val="nil"/>
                    <w:tr2bl w:val="nil"/>
                  </w:tcBorders>
                  <w:vAlign w:val="center"/>
                </w:tcPr>
                <w:p w14:paraId="1EE73004">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900-020-19</w:t>
                  </w:r>
                </w:p>
              </w:tc>
              <w:tc>
                <w:tcPr>
                  <w:tcW w:w="6222" w:type="dxa"/>
                  <w:tcBorders>
                    <w:tl2br w:val="nil"/>
                    <w:tr2bl w:val="nil"/>
                  </w:tcBorders>
                  <w:vAlign w:val="center"/>
                </w:tcPr>
                <w:p w14:paraId="4FBFC8AC">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金属羰基化合物生产、使用过程中产生的含有羰基化合物成分的废物</w:t>
                  </w:r>
                </w:p>
              </w:tc>
              <w:tc>
                <w:tcPr>
                  <w:tcW w:w="1005" w:type="dxa"/>
                  <w:tcBorders>
                    <w:tl2br w:val="nil"/>
                    <w:tr2bl w:val="nil"/>
                  </w:tcBorders>
                  <w:vAlign w:val="center"/>
                </w:tcPr>
                <w:p w14:paraId="4F9FB1D7">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w:t>
                  </w:r>
                </w:p>
              </w:tc>
              <w:tc>
                <w:tcPr>
                  <w:tcW w:w="1140" w:type="dxa"/>
                  <w:tcBorders>
                    <w:tl2br w:val="nil"/>
                    <w:tr2bl w:val="nil"/>
                  </w:tcBorders>
                  <w:shd w:val="clear" w:color="auto" w:fill="auto"/>
                  <w:vAlign w:val="center"/>
                </w:tcPr>
                <w:p w14:paraId="4346B1E1">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液态/固态</w:t>
                  </w:r>
                </w:p>
              </w:tc>
              <w:tc>
                <w:tcPr>
                  <w:tcW w:w="1170" w:type="dxa"/>
                  <w:tcBorders>
                    <w:tl2br w:val="nil"/>
                    <w:tr2bl w:val="nil"/>
                  </w:tcBorders>
                  <w:shd w:val="clear" w:color="auto" w:fill="auto"/>
                  <w:vAlign w:val="center"/>
                </w:tcPr>
                <w:p w14:paraId="4E0820A2">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桶装/袋装</w:t>
                  </w:r>
                </w:p>
              </w:tc>
            </w:tr>
            <w:tr w14:paraId="310DF921">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197" w:hRule="atLeast"/>
              </w:trPr>
              <w:tc>
                <w:tcPr>
                  <w:tcW w:w="1096" w:type="dxa"/>
                  <w:vMerge w:val="restart"/>
                  <w:tcBorders>
                    <w:tl2br w:val="nil"/>
                    <w:tr2bl w:val="nil"/>
                  </w:tcBorders>
                  <w:vAlign w:val="center"/>
                </w:tcPr>
                <w:p w14:paraId="497AB9BF">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HW21</w:t>
                  </w:r>
                </w:p>
                <w:p w14:paraId="1C33C7E6">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含铬废物</w:t>
                  </w:r>
                </w:p>
              </w:tc>
              <w:tc>
                <w:tcPr>
                  <w:tcW w:w="1134" w:type="dxa"/>
                  <w:vMerge w:val="restart"/>
                  <w:tcBorders>
                    <w:tl2br w:val="nil"/>
                    <w:tr2bl w:val="nil"/>
                  </w:tcBorders>
                  <w:vAlign w:val="center"/>
                </w:tcPr>
                <w:p w14:paraId="51E3FBD4">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6"/>
                      <w:sz w:val="21"/>
                      <w:szCs w:val="21"/>
                    </w:rPr>
                  </w:pPr>
                  <w:r>
                    <w:rPr>
                      <w:rFonts w:hint="default" w:ascii="Times New Roman" w:hAnsi="Times New Roman" w:eastAsia="宋体" w:cs="Times New Roman"/>
                      <w:color w:val="auto"/>
                      <w:spacing w:val="-6"/>
                      <w:sz w:val="21"/>
                      <w:szCs w:val="21"/>
                    </w:rPr>
                    <w:t>毛皮鞣制及制品加工</w:t>
                  </w:r>
                </w:p>
              </w:tc>
              <w:tc>
                <w:tcPr>
                  <w:tcW w:w="1233" w:type="dxa"/>
                  <w:tcBorders>
                    <w:tl2br w:val="nil"/>
                    <w:tr2bl w:val="nil"/>
                  </w:tcBorders>
                  <w:vAlign w:val="center"/>
                </w:tcPr>
                <w:p w14:paraId="6AC60572">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193-001-21</w:t>
                  </w:r>
                </w:p>
              </w:tc>
              <w:tc>
                <w:tcPr>
                  <w:tcW w:w="6222" w:type="dxa"/>
                  <w:tcBorders>
                    <w:tl2br w:val="nil"/>
                    <w:tr2bl w:val="nil"/>
                  </w:tcBorders>
                  <w:vAlign w:val="center"/>
                </w:tcPr>
                <w:p w14:paraId="2D496111">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使用铬鞣剂进行铬鞣、复鞣工艺产生的废水处理污泥和残渣</w:t>
                  </w:r>
                </w:p>
              </w:tc>
              <w:tc>
                <w:tcPr>
                  <w:tcW w:w="1005" w:type="dxa"/>
                  <w:tcBorders>
                    <w:tl2br w:val="nil"/>
                    <w:tr2bl w:val="nil"/>
                  </w:tcBorders>
                  <w:vAlign w:val="center"/>
                </w:tcPr>
                <w:p w14:paraId="2CCA507E">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w:t>
                  </w:r>
                </w:p>
              </w:tc>
              <w:tc>
                <w:tcPr>
                  <w:tcW w:w="1140" w:type="dxa"/>
                  <w:tcBorders>
                    <w:tl2br w:val="nil"/>
                    <w:tr2bl w:val="nil"/>
                  </w:tcBorders>
                  <w:shd w:val="clear" w:color="auto" w:fill="auto"/>
                  <w:vAlign w:val="center"/>
                </w:tcPr>
                <w:p w14:paraId="5F83A59D">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液态/固态</w:t>
                  </w:r>
                </w:p>
              </w:tc>
              <w:tc>
                <w:tcPr>
                  <w:tcW w:w="1170" w:type="dxa"/>
                  <w:tcBorders>
                    <w:tl2br w:val="nil"/>
                    <w:tr2bl w:val="nil"/>
                  </w:tcBorders>
                  <w:shd w:val="clear" w:color="auto" w:fill="auto"/>
                  <w:vAlign w:val="center"/>
                </w:tcPr>
                <w:p w14:paraId="5C800FDE">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桶装/袋装</w:t>
                  </w:r>
                </w:p>
              </w:tc>
            </w:tr>
            <w:tr w14:paraId="2D72865D">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40710277">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411DBBF3">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233" w:type="dxa"/>
                  <w:tcBorders>
                    <w:tl2br w:val="nil"/>
                    <w:tr2bl w:val="nil"/>
                  </w:tcBorders>
                  <w:vAlign w:val="center"/>
                </w:tcPr>
                <w:p w14:paraId="7E0CE376">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193-002-21</w:t>
                  </w:r>
                </w:p>
              </w:tc>
              <w:tc>
                <w:tcPr>
                  <w:tcW w:w="6222" w:type="dxa"/>
                  <w:tcBorders>
                    <w:tl2br w:val="nil"/>
                    <w:tr2bl w:val="nil"/>
                  </w:tcBorders>
                  <w:vAlign w:val="center"/>
                </w:tcPr>
                <w:p w14:paraId="36C86F13">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皮革、毛皮鞣制及切削过程产生的含铬废碎料</w:t>
                  </w:r>
                </w:p>
              </w:tc>
              <w:tc>
                <w:tcPr>
                  <w:tcW w:w="1005" w:type="dxa"/>
                  <w:tcBorders>
                    <w:tl2br w:val="nil"/>
                    <w:tr2bl w:val="nil"/>
                  </w:tcBorders>
                  <w:vAlign w:val="center"/>
                </w:tcPr>
                <w:p w14:paraId="09594FC8">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w:t>
                  </w:r>
                </w:p>
              </w:tc>
              <w:tc>
                <w:tcPr>
                  <w:tcW w:w="1140" w:type="dxa"/>
                  <w:tcBorders>
                    <w:tl2br w:val="nil"/>
                    <w:tr2bl w:val="nil"/>
                  </w:tcBorders>
                  <w:shd w:val="clear" w:color="auto" w:fill="auto"/>
                  <w:vAlign w:val="center"/>
                </w:tcPr>
                <w:p w14:paraId="0445591E">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固态</w:t>
                  </w:r>
                </w:p>
              </w:tc>
              <w:tc>
                <w:tcPr>
                  <w:tcW w:w="1170" w:type="dxa"/>
                  <w:tcBorders>
                    <w:tl2br w:val="nil"/>
                    <w:tr2bl w:val="nil"/>
                  </w:tcBorders>
                  <w:shd w:val="clear" w:color="auto" w:fill="auto"/>
                  <w:vAlign w:val="center"/>
                </w:tcPr>
                <w:p w14:paraId="125E6F02">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zh-CN" w:bidi="ar-SA"/>
                    </w:rPr>
                  </w:pPr>
                  <w:r>
                    <w:rPr>
                      <w:rFonts w:hint="eastAsia" w:ascii="Times New Roman" w:hAnsi="Times New Roman" w:cs="Times New Roman"/>
                      <w:color w:val="auto"/>
                      <w:spacing w:val="0"/>
                      <w:sz w:val="21"/>
                      <w:szCs w:val="21"/>
                      <w:lang w:val="en-US" w:eastAsia="zh-CN"/>
                    </w:rPr>
                    <w:t>袋装</w:t>
                  </w:r>
                </w:p>
              </w:tc>
            </w:tr>
            <w:tr w14:paraId="11416AA6">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restart"/>
                  <w:tcBorders>
                    <w:tl2br w:val="nil"/>
                    <w:tr2bl w:val="nil"/>
                  </w:tcBorders>
                  <w:vAlign w:val="center"/>
                </w:tcPr>
                <w:p w14:paraId="3F95B752">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HW29</w:t>
                  </w:r>
                </w:p>
                <w:p w14:paraId="42F244CF">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含汞废物</w:t>
                  </w:r>
                </w:p>
              </w:tc>
              <w:tc>
                <w:tcPr>
                  <w:tcW w:w="1134" w:type="dxa"/>
                  <w:tcBorders>
                    <w:tl2br w:val="nil"/>
                    <w:tr2bl w:val="nil"/>
                  </w:tcBorders>
                  <w:vAlign w:val="center"/>
                </w:tcPr>
                <w:p w14:paraId="4EAFCE7D">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合成材料制造</w:t>
                  </w:r>
                </w:p>
              </w:tc>
              <w:tc>
                <w:tcPr>
                  <w:tcW w:w="1233" w:type="dxa"/>
                  <w:tcBorders>
                    <w:tl2br w:val="nil"/>
                    <w:tr2bl w:val="nil"/>
                  </w:tcBorders>
                  <w:shd w:val="clear" w:color="auto" w:fill="auto"/>
                  <w:vAlign w:val="center"/>
                </w:tcPr>
                <w:p w14:paraId="2BC61DF7">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color w:val="auto"/>
                      <w:spacing w:val="0"/>
                      <w:sz w:val="21"/>
                      <w:szCs w:val="21"/>
                    </w:rPr>
                    <w:t>265-004-29</w:t>
                  </w:r>
                </w:p>
              </w:tc>
              <w:tc>
                <w:tcPr>
                  <w:tcW w:w="6222" w:type="dxa"/>
                  <w:tcBorders>
                    <w:tl2br w:val="nil"/>
                    <w:tr2bl w:val="nil"/>
                  </w:tcBorders>
                  <w:shd w:val="clear" w:color="auto" w:fill="auto"/>
                  <w:vAlign w:val="center"/>
                </w:tcPr>
                <w:p w14:paraId="11BA06C1">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color w:val="auto"/>
                      <w:spacing w:val="0"/>
                      <w:sz w:val="21"/>
                      <w:szCs w:val="21"/>
                    </w:rPr>
                    <w:t>电石乙炔法生产氯乙烯单体过程中产生的废水处理污泥</w:t>
                  </w:r>
                </w:p>
              </w:tc>
              <w:tc>
                <w:tcPr>
                  <w:tcW w:w="1005" w:type="dxa"/>
                  <w:tcBorders>
                    <w:tl2br w:val="nil"/>
                    <w:tr2bl w:val="nil"/>
                  </w:tcBorders>
                  <w:shd w:val="clear" w:color="auto" w:fill="auto"/>
                  <w:vAlign w:val="center"/>
                </w:tcPr>
                <w:p w14:paraId="3BFA377B">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color w:val="auto"/>
                      <w:spacing w:val="0"/>
                      <w:sz w:val="21"/>
                      <w:szCs w:val="21"/>
                    </w:rPr>
                    <w:t>T</w:t>
                  </w:r>
                </w:p>
              </w:tc>
              <w:tc>
                <w:tcPr>
                  <w:tcW w:w="1140" w:type="dxa"/>
                  <w:tcBorders>
                    <w:tl2br w:val="nil"/>
                    <w:tr2bl w:val="nil"/>
                  </w:tcBorders>
                  <w:shd w:val="clear" w:color="auto" w:fill="auto"/>
                  <w:vAlign w:val="center"/>
                </w:tcPr>
                <w:p w14:paraId="4FA7547C">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固态</w:t>
                  </w:r>
                </w:p>
              </w:tc>
              <w:tc>
                <w:tcPr>
                  <w:tcW w:w="1170" w:type="dxa"/>
                  <w:tcBorders>
                    <w:tl2br w:val="nil"/>
                    <w:tr2bl w:val="nil"/>
                  </w:tcBorders>
                  <w:shd w:val="clear" w:color="auto" w:fill="auto"/>
                  <w:vAlign w:val="center"/>
                </w:tcPr>
                <w:p w14:paraId="1B02303A">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桶装</w:t>
                  </w:r>
                </w:p>
              </w:tc>
            </w:tr>
            <w:tr w14:paraId="27CE3764">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550" w:hRule="atLeast"/>
              </w:trPr>
              <w:tc>
                <w:tcPr>
                  <w:tcW w:w="1096" w:type="dxa"/>
                  <w:vMerge w:val="continue"/>
                  <w:tcBorders>
                    <w:tl2br w:val="nil"/>
                    <w:tr2bl w:val="nil"/>
                  </w:tcBorders>
                  <w:vAlign w:val="center"/>
                </w:tcPr>
                <w:p w14:paraId="2794ACF5">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tcBorders>
                    <w:tl2br w:val="nil"/>
                    <w:tr2bl w:val="nil"/>
                  </w:tcBorders>
                  <w:vAlign w:val="center"/>
                </w:tcPr>
                <w:p w14:paraId="4C9CD512">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照明器具制造</w:t>
                  </w:r>
                </w:p>
              </w:tc>
              <w:tc>
                <w:tcPr>
                  <w:tcW w:w="1233" w:type="dxa"/>
                  <w:tcBorders>
                    <w:tl2br w:val="nil"/>
                    <w:tr2bl w:val="nil"/>
                  </w:tcBorders>
                  <w:vAlign w:val="center"/>
                </w:tcPr>
                <w:p w14:paraId="1D776ADC">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387-001-29</w:t>
                  </w:r>
                </w:p>
              </w:tc>
              <w:tc>
                <w:tcPr>
                  <w:tcW w:w="6222" w:type="dxa"/>
                  <w:tcBorders>
                    <w:tl2br w:val="nil"/>
                    <w:tr2bl w:val="nil"/>
                  </w:tcBorders>
                  <w:vAlign w:val="center"/>
                </w:tcPr>
                <w:p w14:paraId="2EB15513">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电光源用固汞及含汞电光源生产过程中产生的废活性炭和废水处理污泥</w:t>
                  </w:r>
                </w:p>
              </w:tc>
              <w:tc>
                <w:tcPr>
                  <w:tcW w:w="1005" w:type="dxa"/>
                  <w:tcBorders>
                    <w:tl2br w:val="nil"/>
                    <w:tr2bl w:val="nil"/>
                  </w:tcBorders>
                  <w:vAlign w:val="center"/>
                </w:tcPr>
                <w:p w14:paraId="111B85FD">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w:t>
                  </w:r>
                </w:p>
              </w:tc>
              <w:tc>
                <w:tcPr>
                  <w:tcW w:w="1140" w:type="dxa"/>
                  <w:tcBorders>
                    <w:tl2br w:val="nil"/>
                    <w:tr2bl w:val="nil"/>
                  </w:tcBorders>
                  <w:shd w:val="clear" w:color="auto" w:fill="auto"/>
                  <w:vAlign w:val="center"/>
                </w:tcPr>
                <w:p w14:paraId="42D0C682">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固态</w:t>
                  </w:r>
                </w:p>
              </w:tc>
              <w:tc>
                <w:tcPr>
                  <w:tcW w:w="1170" w:type="dxa"/>
                  <w:tcBorders>
                    <w:tl2br w:val="nil"/>
                    <w:tr2bl w:val="nil"/>
                  </w:tcBorders>
                  <w:shd w:val="clear" w:color="auto" w:fill="auto"/>
                  <w:vAlign w:val="center"/>
                </w:tcPr>
                <w:p w14:paraId="76530BD7">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袋装/桶装</w:t>
                  </w:r>
                </w:p>
              </w:tc>
            </w:tr>
            <w:tr w14:paraId="54F5305E">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3" w:hRule="atLeast"/>
              </w:trPr>
              <w:tc>
                <w:tcPr>
                  <w:tcW w:w="1096" w:type="dxa"/>
                  <w:vMerge w:val="continue"/>
                  <w:tcBorders>
                    <w:tl2br w:val="nil"/>
                    <w:tr2bl w:val="nil"/>
                  </w:tcBorders>
                  <w:vAlign w:val="center"/>
                </w:tcPr>
                <w:p w14:paraId="6D3ECFC3">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restart"/>
                  <w:tcBorders>
                    <w:tl2br w:val="nil"/>
                    <w:tr2bl w:val="nil"/>
                  </w:tcBorders>
                  <w:vAlign w:val="center"/>
                </w:tcPr>
                <w:p w14:paraId="2C7B8B41">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6"/>
                      <w:sz w:val="21"/>
                      <w:szCs w:val="21"/>
                    </w:rPr>
                    <w:t>非特定行业</w:t>
                  </w:r>
                </w:p>
              </w:tc>
              <w:tc>
                <w:tcPr>
                  <w:tcW w:w="1233" w:type="dxa"/>
                  <w:tcBorders>
                    <w:tl2br w:val="nil"/>
                    <w:tr2bl w:val="nil"/>
                  </w:tcBorders>
                  <w:vAlign w:val="center"/>
                </w:tcPr>
                <w:p w14:paraId="0A82BA9A">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900-022-29</w:t>
                  </w:r>
                </w:p>
              </w:tc>
              <w:tc>
                <w:tcPr>
                  <w:tcW w:w="6222" w:type="dxa"/>
                  <w:tcBorders>
                    <w:tl2br w:val="nil"/>
                    <w:tr2bl w:val="nil"/>
                  </w:tcBorders>
                  <w:vAlign w:val="center"/>
                </w:tcPr>
                <w:p w14:paraId="329FAF6B">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废弃的含汞催化剂</w:t>
                  </w:r>
                </w:p>
              </w:tc>
              <w:tc>
                <w:tcPr>
                  <w:tcW w:w="1005" w:type="dxa"/>
                  <w:tcBorders>
                    <w:tl2br w:val="nil"/>
                    <w:tr2bl w:val="nil"/>
                  </w:tcBorders>
                  <w:vAlign w:val="center"/>
                </w:tcPr>
                <w:p w14:paraId="7CA5DC1D">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w:t>
                  </w:r>
                </w:p>
              </w:tc>
              <w:tc>
                <w:tcPr>
                  <w:tcW w:w="1140" w:type="dxa"/>
                  <w:tcBorders>
                    <w:tl2br w:val="nil"/>
                    <w:tr2bl w:val="nil"/>
                  </w:tcBorders>
                  <w:shd w:val="clear" w:color="auto" w:fill="auto"/>
                  <w:vAlign w:val="center"/>
                </w:tcPr>
                <w:p w14:paraId="5086CBCE">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固态</w:t>
                  </w:r>
                </w:p>
              </w:tc>
              <w:tc>
                <w:tcPr>
                  <w:tcW w:w="1170" w:type="dxa"/>
                  <w:tcBorders>
                    <w:tl2br w:val="nil"/>
                    <w:tr2bl w:val="nil"/>
                  </w:tcBorders>
                  <w:shd w:val="clear" w:color="auto" w:fill="auto"/>
                  <w:vAlign w:val="center"/>
                </w:tcPr>
                <w:p w14:paraId="536B5493">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zh-CN" w:bidi="ar-SA"/>
                    </w:rPr>
                  </w:pPr>
                  <w:r>
                    <w:rPr>
                      <w:rFonts w:hint="eastAsia" w:ascii="Times New Roman" w:hAnsi="Times New Roman" w:cs="Times New Roman"/>
                      <w:color w:val="auto"/>
                      <w:spacing w:val="0"/>
                      <w:sz w:val="21"/>
                      <w:szCs w:val="21"/>
                      <w:lang w:val="en-US" w:eastAsia="zh-CN"/>
                    </w:rPr>
                    <w:t>袋装</w:t>
                  </w:r>
                </w:p>
              </w:tc>
            </w:tr>
            <w:tr w14:paraId="18BAFBCE">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6D562539">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45C0136A">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233" w:type="dxa"/>
                  <w:tcBorders>
                    <w:tl2br w:val="nil"/>
                    <w:tr2bl w:val="nil"/>
                  </w:tcBorders>
                  <w:vAlign w:val="center"/>
                </w:tcPr>
                <w:p w14:paraId="71D70DE3">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900-023-29</w:t>
                  </w:r>
                </w:p>
              </w:tc>
              <w:tc>
                <w:tcPr>
                  <w:tcW w:w="6222" w:type="dxa"/>
                  <w:tcBorders>
                    <w:tl2br w:val="nil"/>
                    <w:tr2bl w:val="nil"/>
                  </w:tcBorders>
                  <w:vAlign w:val="center"/>
                </w:tcPr>
                <w:p w14:paraId="2CB1BB05">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生产、销售及使用过程中产生的废含汞荧光灯管及其他废含汞电光源，及废弃含汞电光源处理处置过程中产生的废荧光粉、废活性炭和废水处理污</w:t>
                  </w:r>
                  <w:r>
                    <w:rPr>
                      <w:rFonts w:hint="default" w:ascii="Times New Roman" w:hAnsi="Times New Roman" w:eastAsia="宋体" w:cs="Times New Roman"/>
                      <w:color w:val="auto"/>
                      <w:spacing w:val="-6"/>
                      <w:sz w:val="21"/>
                      <w:szCs w:val="21"/>
                    </w:rPr>
                    <w:t>泥</w:t>
                  </w:r>
                </w:p>
              </w:tc>
              <w:tc>
                <w:tcPr>
                  <w:tcW w:w="1005" w:type="dxa"/>
                  <w:tcBorders>
                    <w:tl2br w:val="nil"/>
                    <w:tr2bl w:val="nil"/>
                  </w:tcBorders>
                  <w:vAlign w:val="center"/>
                </w:tcPr>
                <w:p w14:paraId="28DE2373">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w:t>
                  </w:r>
                </w:p>
              </w:tc>
              <w:tc>
                <w:tcPr>
                  <w:tcW w:w="1140" w:type="dxa"/>
                  <w:tcBorders>
                    <w:tl2br w:val="nil"/>
                    <w:tr2bl w:val="nil"/>
                  </w:tcBorders>
                  <w:shd w:val="clear" w:color="auto" w:fill="auto"/>
                  <w:vAlign w:val="center"/>
                </w:tcPr>
                <w:p w14:paraId="2310F3F2">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固态</w:t>
                  </w:r>
                </w:p>
              </w:tc>
              <w:tc>
                <w:tcPr>
                  <w:tcW w:w="1170" w:type="dxa"/>
                  <w:tcBorders>
                    <w:tl2br w:val="nil"/>
                    <w:tr2bl w:val="nil"/>
                  </w:tcBorders>
                  <w:shd w:val="clear" w:color="auto" w:fill="auto"/>
                  <w:vAlign w:val="center"/>
                </w:tcPr>
                <w:p w14:paraId="7A9BA4A8">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袋装/桶装</w:t>
                  </w:r>
                </w:p>
              </w:tc>
            </w:tr>
            <w:tr w14:paraId="08C5E858">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3A3C8CD2">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265BFA98">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233" w:type="dxa"/>
                  <w:tcBorders>
                    <w:tl2br w:val="nil"/>
                    <w:tr2bl w:val="nil"/>
                  </w:tcBorders>
                  <w:vAlign w:val="center"/>
                </w:tcPr>
                <w:p w14:paraId="1AE9659B">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900-024-29</w:t>
                  </w:r>
                </w:p>
              </w:tc>
              <w:tc>
                <w:tcPr>
                  <w:tcW w:w="6222" w:type="dxa"/>
                  <w:tcBorders>
                    <w:tl2br w:val="nil"/>
                    <w:tr2bl w:val="nil"/>
                  </w:tcBorders>
                  <w:vAlign w:val="center"/>
                </w:tcPr>
                <w:p w14:paraId="73D166DB">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生产、销售及使用过程中产生的废含汞温度计、废含汞血压计、废含汞真空表、废含汞压力计、废氧化汞电池和废汞开关</w:t>
                  </w:r>
                </w:p>
              </w:tc>
              <w:tc>
                <w:tcPr>
                  <w:tcW w:w="1005" w:type="dxa"/>
                  <w:tcBorders>
                    <w:tl2br w:val="nil"/>
                    <w:tr2bl w:val="nil"/>
                  </w:tcBorders>
                  <w:vAlign w:val="center"/>
                </w:tcPr>
                <w:p w14:paraId="1BC8B271">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w:t>
                  </w:r>
                </w:p>
              </w:tc>
              <w:tc>
                <w:tcPr>
                  <w:tcW w:w="1140" w:type="dxa"/>
                  <w:tcBorders>
                    <w:tl2br w:val="nil"/>
                    <w:tr2bl w:val="nil"/>
                  </w:tcBorders>
                  <w:shd w:val="clear" w:color="auto" w:fill="auto"/>
                  <w:vAlign w:val="center"/>
                </w:tcPr>
                <w:p w14:paraId="4E5E9631">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固态</w:t>
                  </w:r>
                </w:p>
              </w:tc>
              <w:tc>
                <w:tcPr>
                  <w:tcW w:w="1170" w:type="dxa"/>
                  <w:tcBorders>
                    <w:tl2br w:val="nil"/>
                    <w:tr2bl w:val="nil"/>
                  </w:tcBorders>
                  <w:shd w:val="clear" w:color="auto" w:fill="auto"/>
                  <w:vAlign w:val="center"/>
                </w:tcPr>
                <w:p w14:paraId="0439A769">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zh-CN" w:bidi="ar-SA"/>
                    </w:rPr>
                  </w:pPr>
                  <w:r>
                    <w:rPr>
                      <w:rFonts w:hint="eastAsia" w:ascii="Times New Roman" w:hAnsi="Times New Roman" w:cs="Times New Roman"/>
                      <w:color w:val="auto"/>
                      <w:spacing w:val="0"/>
                      <w:sz w:val="21"/>
                      <w:szCs w:val="21"/>
                      <w:lang w:val="en-US" w:eastAsia="zh-CN"/>
                    </w:rPr>
                    <w:t>袋装</w:t>
                  </w:r>
                </w:p>
              </w:tc>
            </w:tr>
            <w:tr w14:paraId="77D87379">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restart"/>
                  <w:tcBorders>
                    <w:tl2br w:val="nil"/>
                    <w:tr2bl w:val="nil"/>
                  </w:tcBorders>
                  <w:vAlign w:val="center"/>
                </w:tcPr>
                <w:p w14:paraId="442894C7">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HW31</w:t>
                  </w:r>
                </w:p>
                <w:p w14:paraId="459B553D">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含铅废物</w:t>
                  </w:r>
                </w:p>
              </w:tc>
              <w:tc>
                <w:tcPr>
                  <w:tcW w:w="1134" w:type="dxa"/>
                  <w:tcBorders>
                    <w:tl2br w:val="nil"/>
                    <w:tr2bl w:val="nil"/>
                  </w:tcBorders>
                  <w:vAlign w:val="center"/>
                </w:tcPr>
                <w:p w14:paraId="0BB973B7">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电池制造</w:t>
                  </w:r>
                </w:p>
              </w:tc>
              <w:tc>
                <w:tcPr>
                  <w:tcW w:w="1233" w:type="dxa"/>
                  <w:tcBorders>
                    <w:tl2br w:val="nil"/>
                    <w:tr2bl w:val="nil"/>
                  </w:tcBorders>
                  <w:vAlign w:val="center"/>
                </w:tcPr>
                <w:p w14:paraId="2CBB7D10">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384-004-31</w:t>
                  </w:r>
                </w:p>
              </w:tc>
              <w:tc>
                <w:tcPr>
                  <w:tcW w:w="6222" w:type="dxa"/>
                  <w:tcBorders>
                    <w:tl2br w:val="nil"/>
                    <w:tr2bl w:val="nil"/>
                  </w:tcBorders>
                  <w:vAlign w:val="center"/>
                </w:tcPr>
                <w:p w14:paraId="61E0160E">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6"/>
                      <w:sz w:val="21"/>
                      <w:szCs w:val="21"/>
                    </w:rPr>
                    <w:t>铅蓄电池生产过程中产生的废渣、集（除）尘装置收集的粉尘和废水处理污泥</w:t>
                  </w:r>
                </w:p>
              </w:tc>
              <w:tc>
                <w:tcPr>
                  <w:tcW w:w="1005" w:type="dxa"/>
                  <w:tcBorders>
                    <w:tl2br w:val="nil"/>
                    <w:tr2bl w:val="nil"/>
                  </w:tcBorders>
                  <w:vAlign w:val="center"/>
                </w:tcPr>
                <w:p w14:paraId="0EA28529">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w:t>
                  </w:r>
                </w:p>
              </w:tc>
              <w:tc>
                <w:tcPr>
                  <w:tcW w:w="1140" w:type="dxa"/>
                  <w:tcBorders>
                    <w:tl2br w:val="nil"/>
                    <w:tr2bl w:val="nil"/>
                  </w:tcBorders>
                  <w:shd w:val="clear" w:color="auto" w:fill="auto"/>
                  <w:vAlign w:val="center"/>
                </w:tcPr>
                <w:p w14:paraId="35846153">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固态</w:t>
                  </w:r>
                </w:p>
              </w:tc>
              <w:tc>
                <w:tcPr>
                  <w:tcW w:w="1170" w:type="dxa"/>
                  <w:tcBorders>
                    <w:tl2br w:val="nil"/>
                    <w:tr2bl w:val="nil"/>
                  </w:tcBorders>
                  <w:shd w:val="clear" w:color="auto" w:fill="auto"/>
                  <w:vAlign w:val="center"/>
                </w:tcPr>
                <w:p w14:paraId="4103617A">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袋装/桶装</w:t>
                  </w:r>
                </w:p>
              </w:tc>
            </w:tr>
            <w:tr w14:paraId="22852562">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7DD1123E">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tcBorders>
                    <w:tl2br w:val="nil"/>
                    <w:tr2bl w:val="nil"/>
                  </w:tcBorders>
                  <w:vAlign w:val="center"/>
                </w:tcPr>
                <w:p w14:paraId="77582330">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6"/>
                      <w:sz w:val="21"/>
                      <w:szCs w:val="21"/>
                    </w:rPr>
                    <w:t>非特定行业</w:t>
                  </w:r>
                </w:p>
              </w:tc>
              <w:tc>
                <w:tcPr>
                  <w:tcW w:w="1233" w:type="dxa"/>
                  <w:tcBorders>
                    <w:tl2br w:val="nil"/>
                    <w:tr2bl w:val="nil"/>
                  </w:tcBorders>
                  <w:vAlign w:val="center"/>
                </w:tcPr>
                <w:p w14:paraId="7FABC861">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900-052-31</w:t>
                  </w:r>
                </w:p>
              </w:tc>
              <w:tc>
                <w:tcPr>
                  <w:tcW w:w="6222" w:type="dxa"/>
                  <w:tcBorders>
                    <w:tl2br w:val="nil"/>
                    <w:tr2bl w:val="nil"/>
                  </w:tcBorders>
                  <w:vAlign w:val="center"/>
                </w:tcPr>
                <w:p w14:paraId="0C6DF15A">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废铅蓄电池及废铅蓄电池拆解过程中产生的废铅板、废铅膏和酸液</w:t>
                  </w:r>
                </w:p>
              </w:tc>
              <w:tc>
                <w:tcPr>
                  <w:tcW w:w="1005" w:type="dxa"/>
                  <w:tcBorders>
                    <w:tl2br w:val="nil"/>
                    <w:tr2bl w:val="nil"/>
                  </w:tcBorders>
                  <w:vAlign w:val="center"/>
                </w:tcPr>
                <w:p w14:paraId="0037C88F">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T，C</w:t>
                  </w:r>
                </w:p>
              </w:tc>
              <w:tc>
                <w:tcPr>
                  <w:tcW w:w="1140" w:type="dxa"/>
                  <w:tcBorders>
                    <w:tl2br w:val="nil"/>
                    <w:tr2bl w:val="nil"/>
                  </w:tcBorders>
                  <w:shd w:val="clear" w:color="auto" w:fill="auto"/>
                  <w:vAlign w:val="center"/>
                </w:tcPr>
                <w:p w14:paraId="58ED4451">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液态/固态</w:t>
                  </w:r>
                </w:p>
              </w:tc>
              <w:tc>
                <w:tcPr>
                  <w:tcW w:w="1170" w:type="dxa"/>
                  <w:tcBorders>
                    <w:tl2br w:val="nil"/>
                    <w:tr2bl w:val="nil"/>
                  </w:tcBorders>
                  <w:shd w:val="clear" w:color="auto" w:fill="auto"/>
                  <w:vAlign w:val="center"/>
                </w:tcPr>
                <w:p w14:paraId="50B2C03A">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桶装/袋装</w:t>
                  </w:r>
                </w:p>
              </w:tc>
            </w:tr>
            <w:tr w14:paraId="63A31887">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restart"/>
                  <w:tcBorders>
                    <w:tl2br w:val="nil"/>
                    <w:tr2bl w:val="nil"/>
                  </w:tcBorders>
                  <w:vAlign w:val="center"/>
                </w:tcPr>
                <w:p w14:paraId="498926ED">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HW34</w:t>
                  </w:r>
                </w:p>
                <w:p w14:paraId="1404E631">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废酸</w:t>
                  </w:r>
                </w:p>
              </w:tc>
              <w:tc>
                <w:tcPr>
                  <w:tcW w:w="1134" w:type="dxa"/>
                  <w:tcBorders>
                    <w:tl2br w:val="nil"/>
                    <w:tr2bl w:val="nil"/>
                  </w:tcBorders>
                  <w:vAlign w:val="center"/>
                </w:tcPr>
                <w:p w14:paraId="536E404C">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精炼石油产品制造</w:t>
                  </w:r>
                </w:p>
              </w:tc>
              <w:tc>
                <w:tcPr>
                  <w:tcW w:w="1233" w:type="dxa"/>
                  <w:tcBorders>
                    <w:tl2br w:val="nil"/>
                    <w:tr2bl w:val="nil"/>
                  </w:tcBorders>
                  <w:vAlign w:val="center"/>
                </w:tcPr>
                <w:p w14:paraId="5A287438">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251-014-34</w:t>
                  </w:r>
                </w:p>
              </w:tc>
              <w:tc>
                <w:tcPr>
                  <w:tcW w:w="6222" w:type="dxa"/>
                  <w:tcBorders>
                    <w:tl2br w:val="nil"/>
                    <w:tr2bl w:val="nil"/>
                  </w:tcBorders>
                  <w:vAlign w:val="center"/>
                </w:tcPr>
                <w:p w14:paraId="0FACE7E3">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石油炼制过程产生的废酸及酸泥</w:t>
                  </w:r>
                </w:p>
              </w:tc>
              <w:tc>
                <w:tcPr>
                  <w:tcW w:w="1005" w:type="dxa"/>
                  <w:tcBorders>
                    <w:tl2br w:val="nil"/>
                    <w:tr2bl w:val="nil"/>
                  </w:tcBorders>
                  <w:vAlign w:val="center"/>
                </w:tcPr>
                <w:p w14:paraId="5A640C14">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C，T</w:t>
                  </w:r>
                </w:p>
              </w:tc>
              <w:tc>
                <w:tcPr>
                  <w:tcW w:w="1140" w:type="dxa"/>
                  <w:tcBorders>
                    <w:tl2br w:val="nil"/>
                    <w:tr2bl w:val="nil"/>
                  </w:tcBorders>
                  <w:shd w:val="clear" w:color="auto" w:fill="auto"/>
                  <w:vAlign w:val="center"/>
                </w:tcPr>
                <w:p w14:paraId="14AAF00B">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液态/固态</w:t>
                  </w:r>
                </w:p>
              </w:tc>
              <w:tc>
                <w:tcPr>
                  <w:tcW w:w="1170" w:type="dxa"/>
                  <w:tcBorders>
                    <w:tl2br w:val="nil"/>
                    <w:tr2bl w:val="nil"/>
                  </w:tcBorders>
                  <w:shd w:val="clear" w:color="auto" w:fill="auto"/>
                  <w:vAlign w:val="center"/>
                </w:tcPr>
                <w:p w14:paraId="3655212E">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桶装/袋装</w:t>
                  </w:r>
                </w:p>
              </w:tc>
            </w:tr>
            <w:tr w14:paraId="78B5EF29">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822" w:hRule="atLeast"/>
              </w:trPr>
              <w:tc>
                <w:tcPr>
                  <w:tcW w:w="1096" w:type="dxa"/>
                  <w:vMerge w:val="continue"/>
                  <w:tcBorders>
                    <w:tl2br w:val="nil"/>
                    <w:tr2bl w:val="nil"/>
                  </w:tcBorders>
                  <w:vAlign w:val="center"/>
                </w:tcPr>
                <w:p w14:paraId="1231B9E9">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tcBorders>
                    <w:tl2br w:val="nil"/>
                    <w:tr2bl w:val="nil"/>
                  </w:tcBorders>
                  <w:vAlign w:val="center"/>
                </w:tcPr>
                <w:p w14:paraId="42217877">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涂</w:t>
                  </w:r>
                  <w:r>
                    <w:rPr>
                      <w:rFonts w:hint="default" w:ascii="Times New Roman" w:hAnsi="Times New Roman" w:eastAsia="宋体" w:cs="Times New Roman"/>
                      <w:color w:val="auto"/>
                      <w:spacing w:val="-6"/>
                      <w:sz w:val="21"/>
                      <w:szCs w:val="21"/>
                    </w:rPr>
                    <w:t>料、油墨、颜料及类似产品制造</w:t>
                  </w:r>
                </w:p>
              </w:tc>
              <w:tc>
                <w:tcPr>
                  <w:tcW w:w="1233" w:type="dxa"/>
                  <w:tcBorders>
                    <w:tl2br w:val="nil"/>
                    <w:tr2bl w:val="nil"/>
                  </w:tcBorders>
                  <w:vAlign w:val="center"/>
                </w:tcPr>
                <w:p w14:paraId="06F88525">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264-013-34</w:t>
                  </w:r>
                </w:p>
              </w:tc>
              <w:tc>
                <w:tcPr>
                  <w:tcW w:w="6222" w:type="dxa"/>
                  <w:tcBorders>
                    <w:tl2br w:val="nil"/>
                    <w:tr2bl w:val="nil"/>
                  </w:tcBorders>
                  <w:vAlign w:val="center"/>
                </w:tcPr>
                <w:p w14:paraId="38C985F4">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硫酸法生产钛白粉（二氧化钛）过程中产生的废酸</w:t>
                  </w:r>
                </w:p>
              </w:tc>
              <w:tc>
                <w:tcPr>
                  <w:tcW w:w="1005" w:type="dxa"/>
                  <w:tcBorders>
                    <w:tl2br w:val="nil"/>
                    <w:tr2bl w:val="nil"/>
                  </w:tcBorders>
                  <w:vAlign w:val="center"/>
                </w:tcPr>
                <w:p w14:paraId="04B63E55">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C，T</w:t>
                  </w:r>
                </w:p>
              </w:tc>
              <w:tc>
                <w:tcPr>
                  <w:tcW w:w="1140" w:type="dxa"/>
                  <w:tcBorders>
                    <w:tl2br w:val="nil"/>
                    <w:tr2bl w:val="nil"/>
                  </w:tcBorders>
                  <w:vAlign w:val="center"/>
                </w:tcPr>
                <w:p w14:paraId="28690E18">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eastAsia" w:ascii="Times New Roman" w:hAnsi="Times New Roman" w:eastAsia="宋体" w:cs="Times New Roman"/>
                      <w:color w:val="auto"/>
                      <w:spacing w:val="0"/>
                      <w:sz w:val="21"/>
                      <w:szCs w:val="21"/>
                      <w:lang w:val="en-US" w:eastAsia="zh-CN"/>
                    </w:rPr>
                  </w:pPr>
                  <w:r>
                    <w:rPr>
                      <w:rFonts w:hint="eastAsia" w:ascii="Times New Roman" w:hAnsi="Times New Roman" w:cs="Times New Roman"/>
                      <w:color w:val="auto"/>
                      <w:spacing w:val="0"/>
                      <w:sz w:val="21"/>
                      <w:szCs w:val="21"/>
                      <w:lang w:val="en-US" w:eastAsia="zh-CN"/>
                    </w:rPr>
                    <w:t>液态</w:t>
                  </w:r>
                </w:p>
              </w:tc>
              <w:tc>
                <w:tcPr>
                  <w:tcW w:w="1170" w:type="dxa"/>
                  <w:tcBorders>
                    <w:tl2br w:val="nil"/>
                    <w:tr2bl w:val="nil"/>
                  </w:tcBorders>
                  <w:vAlign w:val="center"/>
                </w:tcPr>
                <w:p w14:paraId="29B7A2B6">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eastAsia" w:ascii="Times New Roman" w:hAnsi="Times New Roman" w:eastAsia="宋体" w:cs="Times New Roman"/>
                      <w:color w:val="auto"/>
                      <w:spacing w:val="0"/>
                      <w:sz w:val="21"/>
                      <w:szCs w:val="21"/>
                      <w:lang w:val="en-US" w:eastAsia="zh-CN"/>
                    </w:rPr>
                  </w:pPr>
                  <w:r>
                    <w:rPr>
                      <w:rFonts w:hint="eastAsia" w:ascii="Times New Roman" w:hAnsi="Times New Roman" w:cs="Times New Roman"/>
                      <w:color w:val="auto"/>
                      <w:spacing w:val="0"/>
                      <w:sz w:val="21"/>
                      <w:szCs w:val="21"/>
                      <w:lang w:val="en-US" w:eastAsia="zh-CN"/>
                    </w:rPr>
                    <w:t>桶装</w:t>
                  </w:r>
                </w:p>
              </w:tc>
            </w:tr>
            <w:tr w14:paraId="40A19C42">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5D951C18">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restart"/>
                  <w:tcBorders>
                    <w:tl2br w:val="nil"/>
                    <w:tr2bl w:val="nil"/>
                  </w:tcBorders>
                  <w:vAlign w:val="center"/>
                </w:tcPr>
                <w:p w14:paraId="60A19376">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基础化学原料制造</w:t>
                  </w:r>
                </w:p>
              </w:tc>
              <w:tc>
                <w:tcPr>
                  <w:tcW w:w="1233" w:type="dxa"/>
                  <w:tcBorders>
                    <w:tl2br w:val="nil"/>
                    <w:tr2bl w:val="nil"/>
                  </w:tcBorders>
                  <w:vAlign w:val="center"/>
                </w:tcPr>
                <w:p w14:paraId="1CC1B26C">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261-057-34</w:t>
                  </w:r>
                </w:p>
              </w:tc>
              <w:tc>
                <w:tcPr>
                  <w:tcW w:w="6222" w:type="dxa"/>
                  <w:tcBorders>
                    <w:tl2br w:val="nil"/>
                    <w:tr2bl w:val="nil"/>
                  </w:tcBorders>
                  <w:vAlign w:val="center"/>
                </w:tcPr>
                <w:p w14:paraId="597DBEFF">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硫酸和亚硫酸、盐酸、氢氟酸、磷酸和亚磷酸、硝酸和亚硝酸等的生产、配制过程中产生的废酸及酸渣</w:t>
                  </w:r>
                </w:p>
              </w:tc>
              <w:tc>
                <w:tcPr>
                  <w:tcW w:w="1005" w:type="dxa"/>
                  <w:tcBorders>
                    <w:tl2br w:val="nil"/>
                    <w:tr2bl w:val="nil"/>
                  </w:tcBorders>
                  <w:vAlign w:val="center"/>
                </w:tcPr>
                <w:p w14:paraId="0F3CBD8C">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C，T</w:t>
                  </w:r>
                </w:p>
              </w:tc>
              <w:tc>
                <w:tcPr>
                  <w:tcW w:w="1140" w:type="dxa"/>
                  <w:tcBorders>
                    <w:tl2br w:val="nil"/>
                    <w:tr2bl w:val="nil"/>
                  </w:tcBorders>
                  <w:shd w:val="clear" w:color="auto" w:fill="auto"/>
                  <w:vAlign w:val="center"/>
                </w:tcPr>
                <w:p w14:paraId="1F3D19BC">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液态/固态</w:t>
                  </w:r>
                </w:p>
              </w:tc>
              <w:tc>
                <w:tcPr>
                  <w:tcW w:w="1170" w:type="dxa"/>
                  <w:tcBorders>
                    <w:tl2br w:val="nil"/>
                    <w:tr2bl w:val="nil"/>
                  </w:tcBorders>
                  <w:shd w:val="clear" w:color="auto" w:fill="auto"/>
                  <w:vAlign w:val="center"/>
                </w:tcPr>
                <w:p w14:paraId="41181E41">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桶装/袋装</w:t>
                  </w:r>
                </w:p>
              </w:tc>
            </w:tr>
            <w:tr w14:paraId="35519E98">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4F47D02C">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0A14FD52">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233" w:type="dxa"/>
                  <w:tcBorders>
                    <w:tl2br w:val="nil"/>
                    <w:tr2bl w:val="nil"/>
                  </w:tcBorders>
                  <w:vAlign w:val="center"/>
                </w:tcPr>
                <w:p w14:paraId="70DC54F0">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261-058-34</w:t>
                  </w:r>
                </w:p>
              </w:tc>
              <w:tc>
                <w:tcPr>
                  <w:tcW w:w="6222" w:type="dxa"/>
                  <w:tcBorders>
                    <w:tl2br w:val="nil"/>
                    <w:tr2bl w:val="nil"/>
                  </w:tcBorders>
                  <w:vAlign w:val="center"/>
                </w:tcPr>
                <w:p w14:paraId="71B21E6A">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卤素和卤素化学品生产过程中产生的废酸</w:t>
                  </w:r>
                </w:p>
              </w:tc>
              <w:tc>
                <w:tcPr>
                  <w:tcW w:w="1005" w:type="dxa"/>
                  <w:tcBorders>
                    <w:tl2br w:val="nil"/>
                    <w:tr2bl w:val="nil"/>
                  </w:tcBorders>
                  <w:vAlign w:val="center"/>
                </w:tcPr>
                <w:p w14:paraId="3609F3F3">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C，T</w:t>
                  </w:r>
                </w:p>
              </w:tc>
              <w:tc>
                <w:tcPr>
                  <w:tcW w:w="1140" w:type="dxa"/>
                  <w:tcBorders>
                    <w:tl2br w:val="nil"/>
                    <w:tr2bl w:val="nil"/>
                  </w:tcBorders>
                  <w:shd w:val="clear" w:color="auto" w:fill="auto"/>
                  <w:vAlign w:val="center"/>
                </w:tcPr>
                <w:p w14:paraId="58F60CB9">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zh-CN" w:bidi="ar-SA"/>
                    </w:rPr>
                  </w:pPr>
                  <w:r>
                    <w:rPr>
                      <w:rFonts w:hint="eastAsia" w:ascii="Times New Roman" w:hAnsi="Times New Roman" w:cs="Times New Roman"/>
                      <w:color w:val="auto"/>
                      <w:spacing w:val="0"/>
                      <w:sz w:val="21"/>
                      <w:szCs w:val="21"/>
                      <w:lang w:val="en-US" w:eastAsia="zh-CN"/>
                    </w:rPr>
                    <w:t>液态</w:t>
                  </w:r>
                </w:p>
              </w:tc>
              <w:tc>
                <w:tcPr>
                  <w:tcW w:w="1170" w:type="dxa"/>
                  <w:tcBorders>
                    <w:tl2br w:val="nil"/>
                    <w:tr2bl w:val="nil"/>
                  </w:tcBorders>
                  <w:shd w:val="clear" w:color="auto" w:fill="auto"/>
                  <w:vAlign w:val="center"/>
                </w:tcPr>
                <w:p w14:paraId="0E92AFD2">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zh-CN" w:bidi="ar-SA"/>
                    </w:rPr>
                  </w:pPr>
                  <w:r>
                    <w:rPr>
                      <w:rFonts w:hint="eastAsia" w:ascii="Times New Roman" w:hAnsi="Times New Roman" w:cs="Times New Roman"/>
                      <w:color w:val="auto"/>
                      <w:spacing w:val="0"/>
                      <w:sz w:val="21"/>
                      <w:szCs w:val="21"/>
                      <w:lang w:val="en-US" w:eastAsia="zh-CN"/>
                    </w:rPr>
                    <w:t>桶装</w:t>
                  </w:r>
                </w:p>
              </w:tc>
            </w:tr>
            <w:tr w14:paraId="605F4C96">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2FB2B909">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tcBorders>
                    <w:tl2br w:val="nil"/>
                    <w:tr2bl w:val="nil"/>
                  </w:tcBorders>
                  <w:vAlign w:val="center"/>
                </w:tcPr>
                <w:p w14:paraId="14D360DA">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6"/>
                      <w:sz w:val="21"/>
                      <w:szCs w:val="21"/>
                    </w:rPr>
                    <w:t>钢压延加工</w:t>
                  </w:r>
                </w:p>
              </w:tc>
              <w:tc>
                <w:tcPr>
                  <w:tcW w:w="1233" w:type="dxa"/>
                  <w:tcBorders>
                    <w:tl2br w:val="nil"/>
                    <w:tr2bl w:val="nil"/>
                  </w:tcBorders>
                  <w:vAlign w:val="center"/>
                </w:tcPr>
                <w:p w14:paraId="51544729">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313-001-34</w:t>
                  </w:r>
                </w:p>
              </w:tc>
              <w:tc>
                <w:tcPr>
                  <w:tcW w:w="6222" w:type="dxa"/>
                  <w:tcBorders>
                    <w:tl2br w:val="nil"/>
                    <w:tr2bl w:val="nil"/>
                  </w:tcBorders>
                  <w:vAlign w:val="center"/>
                </w:tcPr>
                <w:p w14:paraId="05D3AF63">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钢的精加工过程中产生的废酸性洗液</w:t>
                  </w:r>
                </w:p>
              </w:tc>
              <w:tc>
                <w:tcPr>
                  <w:tcW w:w="1005" w:type="dxa"/>
                  <w:tcBorders>
                    <w:tl2br w:val="nil"/>
                    <w:tr2bl w:val="nil"/>
                  </w:tcBorders>
                  <w:vAlign w:val="center"/>
                </w:tcPr>
                <w:p w14:paraId="1BE69ADB">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C，T</w:t>
                  </w:r>
                </w:p>
              </w:tc>
              <w:tc>
                <w:tcPr>
                  <w:tcW w:w="1140" w:type="dxa"/>
                  <w:tcBorders>
                    <w:tl2br w:val="nil"/>
                    <w:tr2bl w:val="nil"/>
                  </w:tcBorders>
                  <w:shd w:val="clear" w:color="auto" w:fill="auto"/>
                  <w:vAlign w:val="center"/>
                </w:tcPr>
                <w:p w14:paraId="389B7B21">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zh-CN" w:bidi="ar-SA"/>
                    </w:rPr>
                  </w:pPr>
                  <w:r>
                    <w:rPr>
                      <w:rFonts w:hint="eastAsia" w:ascii="Times New Roman" w:hAnsi="Times New Roman" w:cs="Times New Roman"/>
                      <w:color w:val="auto"/>
                      <w:spacing w:val="0"/>
                      <w:sz w:val="21"/>
                      <w:szCs w:val="21"/>
                      <w:lang w:val="en-US" w:eastAsia="zh-CN"/>
                    </w:rPr>
                    <w:t>液态</w:t>
                  </w:r>
                </w:p>
              </w:tc>
              <w:tc>
                <w:tcPr>
                  <w:tcW w:w="1170" w:type="dxa"/>
                  <w:tcBorders>
                    <w:tl2br w:val="nil"/>
                    <w:tr2bl w:val="nil"/>
                  </w:tcBorders>
                  <w:shd w:val="clear" w:color="auto" w:fill="auto"/>
                  <w:vAlign w:val="center"/>
                </w:tcPr>
                <w:p w14:paraId="59829293">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zh-CN" w:bidi="ar-SA"/>
                    </w:rPr>
                  </w:pPr>
                  <w:r>
                    <w:rPr>
                      <w:rFonts w:hint="eastAsia" w:ascii="Times New Roman" w:hAnsi="Times New Roman" w:cs="Times New Roman"/>
                      <w:color w:val="auto"/>
                      <w:spacing w:val="0"/>
                      <w:sz w:val="21"/>
                      <w:szCs w:val="21"/>
                      <w:lang w:val="en-US" w:eastAsia="zh-CN"/>
                    </w:rPr>
                    <w:t>桶装</w:t>
                  </w:r>
                </w:p>
              </w:tc>
            </w:tr>
            <w:tr w14:paraId="0B06AA48">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548" w:hRule="atLeast"/>
              </w:trPr>
              <w:tc>
                <w:tcPr>
                  <w:tcW w:w="1096" w:type="dxa"/>
                  <w:vMerge w:val="continue"/>
                  <w:tcBorders>
                    <w:tl2br w:val="nil"/>
                    <w:tr2bl w:val="nil"/>
                  </w:tcBorders>
                  <w:vAlign w:val="center"/>
                </w:tcPr>
                <w:p w14:paraId="7F354E2C">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tcBorders>
                    <w:tl2br w:val="nil"/>
                    <w:tr2bl w:val="nil"/>
                  </w:tcBorders>
                  <w:vAlign w:val="center"/>
                </w:tcPr>
                <w:p w14:paraId="52330058">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金属表面处理及热处理加工</w:t>
                  </w:r>
                </w:p>
              </w:tc>
              <w:tc>
                <w:tcPr>
                  <w:tcW w:w="1233" w:type="dxa"/>
                  <w:tcBorders>
                    <w:tl2br w:val="nil"/>
                    <w:tr2bl w:val="nil"/>
                  </w:tcBorders>
                  <w:vAlign w:val="center"/>
                </w:tcPr>
                <w:p w14:paraId="32AE47D0">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336-105-34</w:t>
                  </w:r>
                </w:p>
              </w:tc>
              <w:tc>
                <w:tcPr>
                  <w:tcW w:w="6222" w:type="dxa"/>
                  <w:tcBorders>
                    <w:tl2br w:val="nil"/>
                    <w:tr2bl w:val="nil"/>
                  </w:tcBorders>
                  <w:vAlign w:val="center"/>
                </w:tcPr>
                <w:p w14:paraId="378B49A9">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青铜生产过程中浸酸工序产生的废酸液</w:t>
                  </w:r>
                </w:p>
              </w:tc>
              <w:tc>
                <w:tcPr>
                  <w:tcW w:w="1005" w:type="dxa"/>
                  <w:tcBorders>
                    <w:tl2br w:val="nil"/>
                    <w:tr2bl w:val="nil"/>
                  </w:tcBorders>
                  <w:vAlign w:val="center"/>
                </w:tcPr>
                <w:p w14:paraId="4363B19A">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C，T</w:t>
                  </w:r>
                </w:p>
              </w:tc>
              <w:tc>
                <w:tcPr>
                  <w:tcW w:w="1140" w:type="dxa"/>
                  <w:tcBorders>
                    <w:tl2br w:val="nil"/>
                    <w:tr2bl w:val="nil"/>
                  </w:tcBorders>
                  <w:shd w:val="clear" w:color="auto" w:fill="auto"/>
                  <w:vAlign w:val="center"/>
                </w:tcPr>
                <w:p w14:paraId="2D4C9875">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zh-CN" w:bidi="ar-SA"/>
                    </w:rPr>
                  </w:pPr>
                  <w:r>
                    <w:rPr>
                      <w:rFonts w:hint="eastAsia" w:ascii="Times New Roman" w:hAnsi="Times New Roman" w:cs="Times New Roman"/>
                      <w:color w:val="auto"/>
                      <w:spacing w:val="0"/>
                      <w:sz w:val="21"/>
                      <w:szCs w:val="21"/>
                      <w:lang w:val="en-US" w:eastAsia="zh-CN"/>
                    </w:rPr>
                    <w:t>液态</w:t>
                  </w:r>
                </w:p>
              </w:tc>
              <w:tc>
                <w:tcPr>
                  <w:tcW w:w="1170" w:type="dxa"/>
                  <w:tcBorders>
                    <w:tl2br w:val="nil"/>
                    <w:tr2bl w:val="nil"/>
                  </w:tcBorders>
                  <w:shd w:val="clear" w:color="auto" w:fill="auto"/>
                  <w:vAlign w:val="center"/>
                </w:tcPr>
                <w:p w14:paraId="6440D034">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zh-CN" w:bidi="ar-SA"/>
                    </w:rPr>
                  </w:pPr>
                  <w:r>
                    <w:rPr>
                      <w:rFonts w:hint="eastAsia" w:ascii="Times New Roman" w:hAnsi="Times New Roman" w:cs="Times New Roman"/>
                      <w:color w:val="auto"/>
                      <w:spacing w:val="0"/>
                      <w:sz w:val="21"/>
                      <w:szCs w:val="21"/>
                      <w:lang w:val="en-US" w:eastAsia="zh-CN"/>
                    </w:rPr>
                    <w:t>桶装</w:t>
                  </w:r>
                </w:p>
              </w:tc>
            </w:tr>
            <w:tr w14:paraId="25FB0D71">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1B35B286">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restart"/>
                  <w:tcBorders>
                    <w:tl2br w:val="nil"/>
                    <w:tr2bl w:val="nil"/>
                  </w:tcBorders>
                  <w:vAlign w:val="center"/>
                </w:tcPr>
                <w:p w14:paraId="6FB09C1A">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电子元件及电子专用材料制造</w:t>
                  </w:r>
                </w:p>
              </w:tc>
              <w:tc>
                <w:tcPr>
                  <w:tcW w:w="1233" w:type="dxa"/>
                  <w:tcBorders>
                    <w:tl2br w:val="nil"/>
                    <w:tr2bl w:val="nil"/>
                  </w:tcBorders>
                  <w:vAlign w:val="center"/>
                </w:tcPr>
                <w:p w14:paraId="22137CC2">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398-005-34</w:t>
                  </w:r>
                </w:p>
              </w:tc>
              <w:tc>
                <w:tcPr>
                  <w:tcW w:w="6222" w:type="dxa"/>
                  <w:tcBorders>
                    <w:tl2br w:val="nil"/>
                    <w:tr2bl w:val="nil"/>
                  </w:tcBorders>
                  <w:vAlign w:val="center"/>
                </w:tcPr>
                <w:p w14:paraId="0EA94D2E">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使用酸进行电解除油、酸蚀、活化前表面敏化、催化、浸亮产生的废酸液</w:t>
                  </w:r>
                </w:p>
              </w:tc>
              <w:tc>
                <w:tcPr>
                  <w:tcW w:w="1005" w:type="dxa"/>
                  <w:tcBorders>
                    <w:tl2br w:val="nil"/>
                    <w:tr2bl w:val="nil"/>
                  </w:tcBorders>
                  <w:vAlign w:val="center"/>
                </w:tcPr>
                <w:p w14:paraId="54678BAD">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C，T</w:t>
                  </w:r>
                </w:p>
              </w:tc>
              <w:tc>
                <w:tcPr>
                  <w:tcW w:w="1140" w:type="dxa"/>
                  <w:tcBorders>
                    <w:tl2br w:val="nil"/>
                    <w:tr2bl w:val="nil"/>
                  </w:tcBorders>
                  <w:shd w:val="clear" w:color="auto" w:fill="auto"/>
                  <w:vAlign w:val="center"/>
                </w:tcPr>
                <w:p w14:paraId="5C4EDBC8">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zh-CN" w:bidi="ar-SA"/>
                    </w:rPr>
                  </w:pPr>
                  <w:r>
                    <w:rPr>
                      <w:rFonts w:hint="eastAsia" w:ascii="Times New Roman" w:hAnsi="Times New Roman" w:cs="Times New Roman"/>
                      <w:color w:val="auto"/>
                      <w:spacing w:val="0"/>
                      <w:sz w:val="21"/>
                      <w:szCs w:val="21"/>
                      <w:lang w:val="en-US" w:eastAsia="zh-CN"/>
                    </w:rPr>
                    <w:t>液态</w:t>
                  </w:r>
                </w:p>
              </w:tc>
              <w:tc>
                <w:tcPr>
                  <w:tcW w:w="1170" w:type="dxa"/>
                  <w:tcBorders>
                    <w:tl2br w:val="nil"/>
                    <w:tr2bl w:val="nil"/>
                  </w:tcBorders>
                  <w:shd w:val="clear" w:color="auto" w:fill="auto"/>
                  <w:vAlign w:val="center"/>
                </w:tcPr>
                <w:p w14:paraId="194DB345">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zh-CN" w:bidi="ar-SA"/>
                    </w:rPr>
                  </w:pPr>
                  <w:r>
                    <w:rPr>
                      <w:rFonts w:hint="eastAsia" w:ascii="Times New Roman" w:hAnsi="Times New Roman" w:cs="Times New Roman"/>
                      <w:color w:val="auto"/>
                      <w:spacing w:val="0"/>
                      <w:sz w:val="21"/>
                      <w:szCs w:val="21"/>
                      <w:lang w:val="en-US" w:eastAsia="zh-CN"/>
                    </w:rPr>
                    <w:t>桶装</w:t>
                  </w:r>
                </w:p>
              </w:tc>
            </w:tr>
            <w:tr w14:paraId="6AB32E99">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59962DC3">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27FF41CF">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233" w:type="dxa"/>
                  <w:tcBorders>
                    <w:tl2br w:val="nil"/>
                    <w:tr2bl w:val="nil"/>
                  </w:tcBorders>
                  <w:vAlign w:val="center"/>
                </w:tcPr>
                <w:p w14:paraId="26787675">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398-006-34</w:t>
                  </w:r>
                </w:p>
              </w:tc>
              <w:tc>
                <w:tcPr>
                  <w:tcW w:w="6222" w:type="dxa"/>
                  <w:tcBorders>
                    <w:tl2br w:val="nil"/>
                    <w:tr2bl w:val="nil"/>
                  </w:tcBorders>
                  <w:vAlign w:val="center"/>
                </w:tcPr>
                <w:p w14:paraId="3C63A3FF">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使用硝酸进行钻孔蚀胶处理产生的废酸液</w:t>
                  </w:r>
                </w:p>
              </w:tc>
              <w:tc>
                <w:tcPr>
                  <w:tcW w:w="1005" w:type="dxa"/>
                  <w:tcBorders>
                    <w:tl2br w:val="nil"/>
                    <w:tr2bl w:val="nil"/>
                  </w:tcBorders>
                  <w:vAlign w:val="center"/>
                </w:tcPr>
                <w:p w14:paraId="71E5F671">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C，T</w:t>
                  </w:r>
                </w:p>
              </w:tc>
              <w:tc>
                <w:tcPr>
                  <w:tcW w:w="1140" w:type="dxa"/>
                  <w:tcBorders>
                    <w:tl2br w:val="nil"/>
                    <w:tr2bl w:val="nil"/>
                  </w:tcBorders>
                  <w:shd w:val="clear" w:color="auto" w:fill="auto"/>
                  <w:vAlign w:val="center"/>
                </w:tcPr>
                <w:p w14:paraId="0C507C02">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zh-CN" w:bidi="ar-SA"/>
                    </w:rPr>
                  </w:pPr>
                  <w:r>
                    <w:rPr>
                      <w:rFonts w:hint="eastAsia" w:ascii="Times New Roman" w:hAnsi="Times New Roman" w:cs="Times New Roman"/>
                      <w:color w:val="auto"/>
                      <w:spacing w:val="0"/>
                      <w:sz w:val="21"/>
                      <w:szCs w:val="21"/>
                      <w:lang w:val="en-US" w:eastAsia="zh-CN"/>
                    </w:rPr>
                    <w:t>液态</w:t>
                  </w:r>
                </w:p>
              </w:tc>
              <w:tc>
                <w:tcPr>
                  <w:tcW w:w="1170" w:type="dxa"/>
                  <w:tcBorders>
                    <w:tl2br w:val="nil"/>
                    <w:tr2bl w:val="nil"/>
                  </w:tcBorders>
                  <w:shd w:val="clear" w:color="auto" w:fill="auto"/>
                  <w:vAlign w:val="center"/>
                </w:tcPr>
                <w:p w14:paraId="3821C380">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zh-CN" w:bidi="ar-SA"/>
                    </w:rPr>
                  </w:pPr>
                  <w:r>
                    <w:rPr>
                      <w:rFonts w:hint="eastAsia" w:ascii="Times New Roman" w:hAnsi="Times New Roman" w:cs="Times New Roman"/>
                      <w:color w:val="auto"/>
                      <w:spacing w:val="0"/>
                      <w:sz w:val="21"/>
                      <w:szCs w:val="21"/>
                      <w:lang w:val="en-US" w:eastAsia="zh-CN"/>
                    </w:rPr>
                    <w:t>桶装</w:t>
                  </w:r>
                </w:p>
              </w:tc>
            </w:tr>
            <w:tr w14:paraId="6304FC6E">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55DE10F8">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495689AC">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233" w:type="dxa"/>
                  <w:tcBorders>
                    <w:tl2br w:val="nil"/>
                    <w:tr2bl w:val="nil"/>
                  </w:tcBorders>
                  <w:vAlign w:val="center"/>
                </w:tcPr>
                <w:p w14:paraId="12997EDA">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398-007-34</w:t>
                  </w:r>
                </w:p>
              </w:tc>
              <w:tc>
                <w:tcPr>
                  <w:tcW w:w="6222" w:type="dxa"/>
                  <w:tcBorders>
                    <w:tl2br w:val="nil"/>
                    <w:tr2bl w:val="nil"/>
                  </w:tcBorders>
                  <w:vAlign w:val="center"/>
                </w:tcPr>
                <w:p w14:paraId="33CB0026">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液晶显示板或集成电路板的生产过程中使用酸浸蚀剂进行氧化物浸蚀产生的废酸液</w:t>
                  </w:r>
                </w:p>
              </w:tc>
              <w:tc>
                <w:tcPr>
                  <w:tcW w:w="1005" w:type="dxa"/>
                  <w:tcBorders>
                    <w:tl2br w:val="nil"/>
                    <w:tr2bl w:val="nil"/>
                  </w:tcBorders>
                  <w:vAlign w:val="center"/>
                </w:tcPr>
                <w:p w14:paraId="6BF302D6">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C，T</w:t>
                  </w:r>
                </w:p>
              </w:tc>
              <w:tc>
                <w:tcPr>
                  <w:tcW w:w="1140" w:type="dxa"/>
                  <w:tcBorders>
                    <w:tl2br w:val="nil"/>
                    <w:tr2bl w:val="nil"/>
                  </w:tcBorders>
                  <w:vAlign w:val="center"/>
                </w:tcPr>
                <w:p w14:paraId="4EFBDD19">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液态</w:t>
                  </w:r>
                </w:p>
              </w:tc>
              <w:tc>
                <w:tcPr>
                  <w:tcW w:w="1170" w:type="dxa"/>
                  <w:tcBorders>
                    <w:tl2br w:val="nil"/>
                    <w:tr2bl w:val="nil"/>
                  </w:tcBorders>
                  <w:vAlign w:val="center"/>
                </w:tcPr>
                <w:p w14:paraId="396433CB">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桶装</w:t>
                  </w:r>
                </w:p>
              </w:tc>
            </w:tr>
            <w:tr w14:paraId="5AA1F036">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7D0F094D">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restart"/>
                  <w:tcBorders>
                    <w:tl2br w:val="nil"/>
                    <w:tr2bl w:val="nil"/>
                  </w:tcBorders>
                  <w:vAlign w:val="center"/>
                </w:tcPr>
                <w:p w14:paraId="620396F5">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6"/>
                      <w:sz w:val="21"/>
                      <w:szCs w:val="21"/>
                    </w:rPr>
                    <w:t>非特定行业</w:t>
                  </w:r>
                </w:p>
              </w:tc>
              <w:tc>
                <w:tcPr>
                  <w:tcW w:w="1233" w:type="dxa"/>
                  <w:tcBorders>
                    <w:tl2br w:val="nil"/>
                    <w:tr2bl w:val="nil"/>
                  </w:tcBorders>
                  <w:vAlign w:val="center"/>
                </w:tcPr>
                <w:p w14:paraId="2146F840">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900-300-34</w:t>
                  </w:r>
                </w:p>
              </w:tc>
              <w:tc>
                <w:tcPr>
                  <w:tcW w:w="6222" w:type="dxa"/>
                  <w:tcBorders>
                    <w:tl2br w:val="nil"/>
                    <w:tr2bl w:val="nil"/>
                  </w:tcBorders>
                  <w:vAlign w:val="center"/>
                </w:tcPr>
                <w:p w14:paraId="45C3B07E">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使用酸进行清洗产生的废酸液</w:t>
                  </w:r>
                </w:p>
              </w:tc>
              <w:tc>
                <w:tcPr>
                  <w:tcW w:w="1005" w:type="dxa"/>
                  <w:tcBorders>
                    <w:tl2br w:val="nil"/>
                    <w:tr2bl w:val="nil"/>
                  </w:tcBorders>
                  <w:vAlign w:val="center"/>
                </w:tcPr>
                <w:p w14:paraId="434514DB">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C，T</w:t>
                  </w:r>
                </w:p>
              </w:tc>
              <w:tc>
                <w:tcPr>
                  <w:tcW w:w="1140" w:type="dxa"/>
                  <w:tcBorders>
                    <w:tl2br w:val="nil"/>
                    <w:tr2bl w:val="nil"/>
                  </w:tcBorders>
                  <w:vAlign w:val="center"/>
                </w:tcPr>
                <w:p w14:paraId="64120995">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液态</w:t>
                  </w:r>
                </w:p>
              </w:tc>
              <w:tc>
                <w:tcPr>
                  <w:tcW w:w="1170" w:type="dxa"/>
                  <w:tcBorders>
                    <w:tl2br w:val="nil"/>
                    <w:tr2bl w:val="nil"/>
                  </w:tcBorders>
                  <w:vAlign w:val="center"/>
                </w:tcPr>
                <w:p w14:paraId="28EC9590">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桶装</w:t>
                  </w:r>
                </w:p>
              </w:tc>
            </w:tr>
            <w:tr w14:paraId="69687ABE">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7A34E752">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674AE818">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233" w:type="dxa"/>
                  <w:tcBorders>
                    <w:tl2br w:val="nil"/>
                    <w:tr2bl w:val="nil"/>
                  </w:tcBorders>
                  <w:vAlign w:val="center"/>
                </w:tcPr>
                <w:p w14:paraId="35575114">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900-301-34</w:t>
                  </w:r>
                </w:p>
              </w:tc>
              <w:tc>
                <w:tcPr>
                  <w:tcW w:w="6222" w:type="dxa"/>
                  <w:tcBorders>
                    <w:tl2br w:val="nil"/>
                    <w:tr2bl w:val="nil"/>
                  </w:tcBorders>
                  <w:vAlign w:val="center"/>
                </w:tcPr>
                <w:p w14:paraId="5DE9B589">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使用硫酸进行酸性碳化产生的废酸液</w:t>
                  </w:r>
                </w:p>
              </w:tc>
              <w:tc>
                <w:tcPr>
                  <w:tcW w:w="1005" w:type="dxa"/>
                  <w:tcBorders>
                    <w:tl2br w:val="nil"/>
                    <w:tr2bl w:val="nil"/>
                  </w:tcBorders>
                  <w:vAlign w:val="center"/>
                </w:tcPr>
                <w:p w14:paraId="07014E32">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C，T</w:t>
                  </w:r>
                </w:p>
              </w:tc>
              <w:tc>
                <w:tcPr>
                  <w:tcW w:w="1140" w:type="dxa"/>
                  <w:tcBorders>
                    <w:tl2br w:val="nil"/>
                    <w:tr2bl w:val="nil"/>
                  </w:tcBorders>
                  <w:vAlign w:val="center"/>
                </w:tcPr>
                <w:p w14:paraId="2E70987D">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液态</w:t>
                  </w:r>
                </w:p>
              </w:tc>
              <w:tc>
                <w:tcPr>
                  <w:tcW w:w="1170" w:type="dxa"/>
                  <w:tcBorders>
                    <w:tl2br w:val="nil"/>
                    <w:tr2bl w:val="nil"/>
                  </w:tcBorders>
                  <w:vAlign w:val="center"/>
                </w:tcPr>
                <w:p w14:paraId="11BDE078">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桶装</w:t>
                  </w:r>
                </w:p>
              </w:tc>
            </w:tr>
            <w:tr w14:paraId="69B8E6E1">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5FB76AC2">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03F1DE14">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233" w:type="dxa"/>
                  <w:tcBorders>
                    <w:tl2br w:val="nil"/>
                    <w:tr2bl w:val="nil"/>
                  </w:tcBorders>
                  <w:vAlign w:val="center"/>
                </w:tcPr>
                <w:p w14:paraId="59AEE480">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900-302-34</w:t>
                  </w:r>
                </w:p>
              </w:tc>
              <w:tc>
                <w:tcPr>
                  <w:tcW w:w="6222" w:type="dxa"/>
                  <w:tcBorders>
                    <w:tl2br w:val="nil"/>
                    <w:tr2bl w:val="nil"/>
                  </w:tcBorders>
                  <w:vAlign w:val="center"/>
                </w:tcPr>
                <w:p w14:paraId="1C9535A6">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使用硫酸进行酸蚀产生的废酸液</w:t>
                  </w:r>
                </w:p>
              </w:tc>
              <w:tc>
                <w:tcPr>
                  <w:tcW w:w="1005" w:type="dxa"/>
                  <w:tcBorders>
                    <w:tl2br w:val="nil"/>
                    <w:tr2bl w:val="nil"/>
                  </w:tcBorders>
                  <w:vAlign w:val="center"/>
                </w:tcPr>
                <w:p w14:paraId="53C72200">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C，T</w:t>
                  </w:r>
                </w:p>
              </w:tc>
              <w:tc>
                <w:tcPr>
                  <w:tcW w:w="1140" w:type="dxa"/>
                  <w:tcBorders>
                    <w:tl2br w:val="nil"/>
                    <w:tr2bl w:val="nil"/>
                  </w:tcBorders>
                  <w:vAlign w:val="center"/>
                </w:tcPr>
                <w:p w14:paraId="7E42F639">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液态</w:t>
                  </w:r>
                </w:p>
              </w:tc>
              <w:tc>
                <w:tcPr>
                  <w:tcW w:w="1170" w:type="dxa"/>
                  <w:tcBorders>
                    <w:tl2br w:val="nil"/>
                    <w:tr2bl w:val="nil"/>
                  </w:tcBorders>
                  <w:vAlign w:val="center"/>
                </w:tcPr>
                <w:p w14:paraId="6188D1C9">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桶装</w:t>
                  </w:r>
                </w:p>
              </w:tc>
            </w:tr>
            <w:tr w14:paraId="2A607F6E">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510C785A">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4FA23384">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233" w:type="dxa"/>
                  <w:tcBorders>
                    <w:tl2br w:val="nil"/>
                    <w:tr2bl w:val="nil"/>
                  </w:tcBorders>
                  <w:vAlign w:val="center"/>
                </w:tcPr>
                <w:p w14:paraId="1A3AA16B">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900-303-34</w:t>
                  </w:r>
                </w:p>
              </w:tc>
              <w:tc>
                <w:tcPr>
                  <w:tcW w:w="6222" w:type="dxa"/>
                  <w:tcBorders>
                    <w:tl2br w:val="nil"/>
                    <w:tr2bl w:val="nil"/>
                  </w:tcBorders>
                  <w:vAlign w:val="center"/>
                </w:tcPr>
                <w:p w14:paraId="2FC63B39">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使用磷酸进行磷化产生的废酸液</w:t>
                  </w:r>
                </w:p>
              </w:tc>
              <w:tc>
                <w:tcPr>
                  <w:tcW w:w="1005" w:type="dxa"/>
                  <w:tcBorders>
                    <w:tl2br w:val="nil"/>
                    <w:tr2bl w:val="nil"/>
                  </w:tcBorders>
                  <w:vAlign w:val="center"/>
                </w:tcPr>
                <w:p w14:paraId="705743CE">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C，T</w:t>
                  </w:r>
                </w:p>
              </w:tc>
              <w:tc>
                <w:tcPr>
                  <w:tcW w:w="1140" w:type="dxa"/>
                  <w:tcBorders>
                    <w:tl2br w:val="nil"/>
                    <w:tr2bl w:val="nil"/>
                  </w:tcBorders>
                  <w:vAlign w:val="center"/>
                </w:tcPr>
                <w:p w14:paraId="4CD2C032">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液态</w:t>
                  </w:r>
                </w:p>
              </w:tc>
              <w:tc>
                <w:tcPr>
                  <w:tcW w:w="1170" w:type="dxa"/>
                  <w:tcBorders>
                    <w:tl2br w:val="nil"/>
                    <w:tr2bl w:val="nil"/>
                  </w:tcBorders>
                  <w:vAlign w:val="center"/>
                </w:tcPr>
                <w:p w14:paraId="03355A8B">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桶装</w:t>
                  </w:r>
                </w:p>
              </w:tc>
            </w:tr>
            <w:tr w14:paraId="437CF49C">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5DC2D460">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21BCCA2F">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233" w:type="dxa"/>
                  <w:tcBorders>
                    <w:tl2br w:val="nil"/>
                    <w:tr2bl w:val="nil"/>
                  </w:tcBorders>
                  <w:vAlign w:val="center"/>
                </w:tcPr>
                <w:p w14:paraId="5F4F2F2D">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900-304-34</w:t>
                  </w:r>
                </w:p>
              </w:tc>
              <w:tc>
                <w:tcPr>
                  <w:tcW w:w="6222" w:type="dxa"/>
                  <w:tcBorders>
                    <w:tl2br w:val="nil"/>
                    <w:tr2bl w:val="nil"/>
                  </w:tcBorders>
                  <w:vAlign w:val="center"/>
                </w:tcPr>
                <w:p w14:paraId="35880507">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使用酸进行电解除油、金属表面敏化产生的废酸液</w:t>
                  </w:r>
                </w:p>
              </w:tc>
              <w:tc>
                <w:tcPr>
                  <w:tcW w:w="1005" w:type="dxa"/>
                  <w:tcBorders>
                    <w:tl2br w:val="nil"/>
                    <w:tr2bl w:val="nil"/>
                  </w:tcBorders>
                  <w:vAlign w:val="center"/>
                </w:tcPr>
                <w:p w14:paraId="1CF3AFAB">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C，T</w:t>
                  </w:r>
                </w:p>
              </w:tc>
              <w:tc>
                <w:tcPr>
                  <w:tcW w:w="1140" w:type="dxa"/>
                  <w:tcBorders>
                    <w:tl2br w:val="nil"/>
                    <w:tr2bl w:val="nil"/>
                  </w:tcBorders>
                  <w:vAlign w:val="center"/>
                </w:tcPr>
                <w:p w14:paraId="14A1AD5E">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液态</w:t>
                  </w:r>
                </w:p>
              </w:tc>
              <w:tc>
                <w:tcPr>
                  <w:tcW w:w="1170" w:type="dxa"/>
                  <w:tcBorders>
                    <w:tl2br w:val="nil"/>
                    <w:tr2bl w:val="nil"/>
                  </w:tcBorders>
                  <w:vAlign w:val="center"/>
                </w:tcPr>
                <w:p w14:paraId="1574E3DA">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桶装</w:t>
                  </w:r>
                </w:p>
              </w:tc>
            </w:tr>
            <w:tr w14:paraId="666C6FC5">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12CAC100">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18A2E11E">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233" w:type="dxa"/>
                  <w:tcBorders>
                    <w:tl2br w:val="nil"/>
                    <w:tr2bl w:val="nil"/>
                  </w:tcBorders>
                  <w:vAlign w:val="center"/>
                </w:tcPr>
                <w:p w14:paraId="2D13BA5C">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900-305-34</w:t>
                  </w:r>
                </w:p>
              </w:tc>
              <w:tc>
                <w:tcPr>
                  <w:tcW w:w="6222" w:type="dxa"/>
                  <w:tcBorders>
                    <w:tl2br w:val="nil"/>
                    <w:tr2bl w:val="nil"/>
                  </w:tcBorders>
                  <w:vAlign w:val="center"/>
                </w:tcPr>
                <w:p w14:paraId="200982A8">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使用硝酸剥落不合格镀层及挂架金属镀层产生的废酸液</w:t>
                  </w:r>
                </w:p>
              </w:tc>
              <w:tc>
                <w:tcPr>
                  <w:tcW w:w="1005" w:type="dxa"/>
                  <w:tcBorders>
                    <w:tl2br w:val="nil"/>
                    <w:tr2bl w:val="nil"/>
                  </w:tcBorders>
                  <w:vAlign w:val="center"/>
                </w:tcPr>
                <w:p w14:paraId="66718523">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C，T</w:t>
                  </w:r>
                </w:p>
              </w:tc>
              <w:tc>
                <w:tcPr>
                  <w:tcW w:w="1140" w:type="dxa"/>
                  <w:tcBorders>
                    <w:tl2br w:val="nil"/>
                    <w:tr2bl w:val="nil"/>
                  </w:tcBorders>
                  <w:vAlign w:val="center"/>
                </w:tcPr>
                <w:p w14:paraId="257F9C34">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液态</w:t>
                  </w:r>
                </w:p>
              </w:tc>
              <w:tc>
                <w:tcPr>
                  <w:tcW w:w="1170" w:type="dxa"/>
                  <w:tcBorders>
                    <w:tl2br w:val="nil"/>
                    <w:tr2bl w:val="nil"/>
                  </w:tcBorders>
                  <w:vAlign w:val="center"/>
                </w:tcPr>
                <w:p w14:paraId="5C02B19A">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桶装</w:t>
                  </w:r>
                </w:p>
              </w:tc>
            </w:tr>
            <w:tr w14:paraId="03E053A5">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6AF5AEE9">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198527B5">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233" w:type="dxa"/>
                  <w:tcBorders>
                    <w:tl2br w:val="nil"/>
                    <w:tr2bl w:val="nil"/>
                  </w:tcBorders>
                  <w:vAlign w:val="center"/>
                </w:tcPr>
                <w:p w14:paraId="55D5F970">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900-306-34</w:t>
                  </w:r>
                </w:p>
              </w:tc>
              <w:tc>
                <w:tcPr>
                  <w:tcW w:w="6222" w:type="dxa"/>
                  <w:tcBorders>
                    <w:tl2br w:val="nil"/>
                    <w:tr2bl w:val="nil"/>
                  </w:tcBorders>
                  <w:vAlign w:val="center"/>
                </w:tcPr>
                <w:p w14:paraId="79A30F2B">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使用硝酸进行钝化产生的废酸液</w:t>
                  </w:r>
                </w:p>
              </w:tc>
              <w:tc>
                <w:tcPr>
                  <w:tcW w:w="1005" w:type="dxa"/>
                  <w:tcBorders>
                    <w:tl2br w:val="nil"/>
                    <w:tr2bl w:val="nil"/>
                  </w:tcBorders>
                  <w:vAlign w:val="center"/>
                </w:tcPr>
                <w:p w14:paraId="7B09D6BE">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C，T</w:t>
                  </w:r>
                </w:p>
              </w:tc>
              <w:tc>
                <w:tcPr>
                  <w:tcW w:w="1140" w:type="dxa"/>
                  <w:tcBorders>
                    <w:tl2br w:val="nil"/>
                    <w:tr2bl w:val="nil"/>
                  </w:tcBorders>
                  <w:vAlign w:val="center"/>
                </w:tcPr>
                <w:p w14:paraId="5BAFFECE">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液态</w:t>
                  </w:r>
                </w:p>
              </w:tc>
              <w:tc>
                <w:tcPr>
                  <w:tcW w:w="1170" w:type="dxa"/>
                  <w:tcBorders>
                    <w:tl2br w:val="nil"/>
                    <w:tr2bl w:val="nil"/>
                  </w:tcBorders>
                  <w:vAlign w:val="center"/>
                </w:tcPr>
                <w:p w14:paraId="14901D95">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桶装</w:t>
                  </w:r>
                </w:p>
              </w:tc>
            </w:tr>
            <w:tr w14:paraId="6147B8AF">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5C3B71B5">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5B203880">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233" w:type="dxa"/>
                  <w:tcBorders>
                    <w:tl2br w:val="nil"/>
                    <w:tr2bl w:val="nil"/>
                  </w:tcBorders>
                  <w:vAlign w:val="center"/>
                </w:tcPr>
                <w:p w14:paraId="46E0B72F">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900-307-34</w:t>
                  </w:r>
                </w:p>
              </w:tc>
              <w:tc>
                <w:tcPr>
                  <w:tcW w:w="6222" w:type="dxa"/>
                  <w:tcBorders>
                    <w:tl2br w:val="nil"/>
                    <w:tr2bl w:val="nil"/>
                  </w:tcBorders>
                  <w:vAlign w:val="center"/>
                </w:tcPr>
                <w:p w14:paraId="1AD01F34">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使用酸进行电解抛光处理产生的废酸液</w:t>
                  </w:r>
                </w:p>
              </w:tc>
              <w:tc>
                <w:tcPr>
                  <w:tcW w:w="1005" w:type="dxa"/>
                  <w:tcBorders>
                    <w:tl2br w:val="nil"/>
                    <w:tr2bl w:val="nil"/>
                  </w:tcBorders>
                  <w:vAlign w:val="center"/>
                </w:tcPr>
                <w:p w14:paraId="37F1C87B">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C，T</w:t>
                  </w:r>
                </w:p>
              </w:tc>
              <w:tc>
                <w:tcPr>
                  <w:tcW w:w="1140" w:type="dxa"/>
                  <w:tcBorders>
                    <w:tl2br w:val="nil"/>
                    <w:tr2bl w:val="nil"/>
                  </w:tcBorders>
                  <w:vAlign w:val="center"/>
                </w:tcPr>
                <w:p w14:paraId="16B3548D">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液态</w:t>
                  </w:r>
                </w:p>
              </w:tc>
              <w:tc>
                <w:tcPr>
                  <w:tcW w:w="1170" w:type="dxa"/>
                  <w:tcBorders>
                    <w:tl2br w:val="nil"/>
                    <w:tr2bl w:val="nil"/>
                  </w:tcBorders>
                  <w:vAlign w:val="center"/>
                </w:tcPr>
                <w:p w14:paraId="263AECE2">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桶装</w:t>
                  </w:r>
                </w:p>
              </w:tc>
            </w:tr>
            <w:tr w14:paraId="3D4A2250">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603D0050">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36A112BC">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233" w:type="dxa"/>
                  <w:tcBorders>
                    <w:tl2br w:val="nil"/>
                    <w:tr2bl w:val="nil"/>
                  </w:tcBorders>
                  <w:vAlign w:val="center"/>
                </w:tcPr>
                <w:p w14:paraId="22095E9A">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900-308-34</w:t>
                  </w:r>
                </w:p>
              </w:tc>
              <w:tc>
                <w:tcPr>
                  <w:tcW w:w="6222" w:type="dxa"/>
                  <w:tcBorders>
                    <w:tl2br w:val="nil"/>
                    <w:tr2bl w:val="nil"/>
                  </w:tcBorders>
                  <w:vAlign w:val="center"/>
                </w:tcPr>
                <w:p w14:paraId="34C48455">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使用酸进行催化（化学镀）产生的废酸液</w:t>
                  </w:r>
                </w:p>
              </w:tc>
              <w:tc>
                <w:tcPr>
                  <w:tcW w:w="1005" w:type="dxa"/>
                  <w:tcBorders>
                    <w:tl2br w:val="nil"/>
                    <w:tr2bl w:val="nil"/>
                  </w:tcBorders>
                  <w:vAlign w:val="center"/>
                </w:tcPr>
                <w:p w14:paraId="2032302A">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C，T</w:t>
                  </w:r>
                </w:p>
              </w:tc>
              <w:tc>
                <w:tcPr>
                  <w:tcW w:w="1140" w:type="dxa"/>
                  <w:tcBorders>
                    <w:tl2br w:val="nil"/>
                    <w:tr2bl w:val="nil"/>
                  </w:tcBorders>
                  <w:vAlign w:val="center"/>
                </w:tcPr>
                <w:p w14:paraId="5BBEE46F">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液态</w:t>
                  </w:r>
                </w:p>
              </w:tc>
              <w:tc>
                <w:tcPr>
                  <w:tcW w:w="1170" w:type="dxa"/>
                  <w:tcBorders>
                    <w:tl2br w:val="nil"/>
                    <w:tr2bl w:val="nil"/>
                  </w:tcBorders>
                  <w:vAlign w:val="center"/>
                </w:tcPr>
                <w:p w14:paraId="720F4E65">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桶装</w:t>
                  </w:r>
                </w:p>
              </w:tc>
            </w:tr>
            <w:tr w14:paraId="10933FAF">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7AB6323E">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7E95F3DA">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233" w:type="dxa"/>
                  <w:tcBorders>
                    <w:tl2br w:val="nil"/>
                    <w:tr2bl w:val="nil"/>
                  </w:tcBorders>
                  <w:vAlign w:val="center"/>
                </w:tcPr>
                <w:p w14:paraId="59EAE3AD">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900-349-34</w:t>
                  </w:r>
                </w:p>
              </w:tc>
              <w:tc>
                <w:tcPr>
                  <w:tcW w:w="6222" w:type="dxa"/>
                  <w:tcBorders>
                    <w:tl2br w:val="nil"/>
                    <w:tr2bl w:val="nil"/>
                  </w:tcBorders>
                  <w:vAlign w:val="center"/>
                </w:tcPr>
                <w:p w14:paraId="6220B446">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6"/>
                      <w:sz w:val="21"/>
                      <w:szCs w:val="21"/>
                    </w:rPr>
                    <w:t>生产、销售及使用过程中产生的失效、变质、不合格、淘汰、伪劣的强酸性擦洗粉、清洁剂、污迹去除剂以及其他强酸性废酸液和酸渣</w:t>
                  </w:r>
                </w:p>
              </w:tc>
              <w:tc>
                <w:tcPr>
                  <w:tcW w:w="1005" w:type="dxa"/>
                  <w:tcBorders>
                    <w:tl2br w:val="nil"/>
                    <w:tr2bl w:val="nil"/>
                  </w:tcBorders>
                  <w:vAlign w:val="center"/>
                </w:tcPr>
                <w:p w14:paraId="7C3A9336">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C，T</w:t>
                  </w:r>
                </w:p>
              </w:tc>
              <w:tc>
                <w:tcPr>
                  <w:tcW w:w="1140" w:type="dxa"/>
                  <w:tcBorders>
                    <w:tl2br w:val="nil"/>
                    <w:tr2bl w:val="nil"/>
                  </w:tcBorders>
                  <w:shd w:val="clear" w:color="auto" w:fill="auto"/>
                  <w:vAlign w:val="center"/>
                </w:tcPr>
                <w:p w14:paraId="2E1D8CFD">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液态/固态</w:t>
                  </w:r>
                </w:p>
              </w:tc>
              <w:tc>
                <w:tcPr>
                  <w:tcW w:w="1170" w:type="dxa"/>
                  <w:tcBorders>
                    <w:tl2br w:val="nil"/>
                    <w:tr2bl w:val="nil"/>
                  </w:tcBorders>
                  <w:shd w:val="clear" w:color="auto" w:fill="auto"/>
                  <w:vAlign w:val="center"/>
                </w:tcPr>
                <w:p w14:paraId="21B3CB88">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桶装/袋装</w:t>
                  </w:r>
                </w:p>
              </w:tc>
            </w:tr>
            <w:tr w14:paraId="57C585E8">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restart"/>
                  <w:tcBorders>
                    <w:tl2br w:val="nil"/>
                    <w:tr2bl w:val="nil"/>
                  </w:tcBorders>
                  <w:vAlign w:val="center"/>
                </w:tcPr>
                <w:p w14:paraId="732E1180">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HW35</w:t>
                  </w:r>
                </w:p>
                <w:p w14:paraId="37E15B6F">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废碱</w:t>
                  </w:r>
                </w:p>
              </w:tc>
              <w:tc>
                <w:tcPr>
                  <w:tcW w:w="1134" w:type="dxa"/>
                  <w:tcBorders>
                    <w:tl2br w:val="nil"/>
                    <w:tr2bl w:val="nil"/>
                  </w:tcBorders>
                  <w:vAlign w:val="center"/>
                </w:tcPr>
                <w:p w14:paraId="4ACD808B">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精炼石油产品制造</w:t>
                  </w:r>
                </w:p>
              </w:tc>
              <w:tc>
                <w:tcPr>
                  <w:tcW w:w="1233" w:type="dxa"/>
                  <w:tcBorders>
                    <w:tl2br w:val="nil"/>
                    <w:tr2bl w:val="nil"/>
                  </w:tcBorders>
                  <w:vAlign w:val="center"/>
                </w:tcPr>
                <w:p w14:paraId="5D590A69">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251-015-35</w:t>
                  </w:r>
                </w:p>
              </w:tc>
              <w:tc>
                <w:tcPr>
                  <w:tcW w:w="6222" w:type="dxa"/>
                  <w:tcBorders>
                    <w:tl2br w:val="nil"/>
                    <w:tr2bl w:val="nil"/>
                  </w:tcBorders>
                  <w:vAlign w:val="center"/>
                </w:tcPr>
                <w:p w14:paraId="083E4F53">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石油炼制过程产生的废碱液和碱渣</w:t>
                  </w:r>
                </w:p>
              </w:tc>
              <w:tc>
                <w:tcPr>
                  <w:tcW w:w="1005" w:type="dxa"/>
                  <w:tcBorders>
                    <w:tl2br w:val="nil"/>
                    <w:tr2bl w:val="nil"/>
                  </w:tcBorders>
                  <w:vAlign w:val="center"/>
                </w:tcPr>
                <w:p w14:paraId="6E724FA4">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C，T</w:t>
                  </w:r>
                </w:p>
              </w:tc>
              <w:tc>
                <w:tcPr>
                  <w:tcW w:w="1140" w:type="dxa"/>
                  <w:tcBorders>
                    <w:tl2br w:val="nil"/>
                    <w:tr2bl w:val="nil"/>
                  </w:tcBorders>
                  <w:shd w:val="clear" w:color="auto" w:fill="auto"/>
                  <w:vAlign w:val="center"/>
                </w:tcPr>
                <w:p w14:paraId="45BB3B9A">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液态/固态</w:t>
                  </w:r>
                </w:p>
              </w:tc>
              <w:tc>
                <w:tcPr>
                  <w:tcW w:w="1170" w:type="dxa"/>
                  <w:tcBorders>
                    <w:tl2br w:val="nil"/>
                    <w:tr2bl w:val="nil"/>
                  </w:tcBorders>
                  <w:shd w:val="clear" w:color="auto" w:fill="auto"/>
                  <w:vAlign w:val="center"/>
                </w:tcPr>
                <w:p w14:paraId="3D02B60F">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桶装/袋装</w:t>
                  </w:r>
                </w:p>
              </w:tc>
            </w:tr>
            <w:tr w14:paraId="51CF9342">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549" w:hRule="atLeast"/>
              </w:trPr>
              <w:tc>
                <w:tcPr>
                  <w:tcW w:w="1096" w:type="dxa"/>
                  <w:vMerge w:val="continue"/>
                  <w:tcBorders>
                    <w:tl2br w:val="nil"/>
                    <w:tr2bl w:val="nil"/>
                  </w:tcBorders>
                  <w:vAlign w:val="center"/>
                </w:tcPr>
                <w:p w14:paraId="59262E95">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tcBorders>
                    <w:tl2br w:val="nil"/>
                    <w:tr2bl w:val="nil"/>
                  </w:tcBorders>
                  <w:vAlign w:val="center"/>
                </w:tcPr>
                <w:p w14:paraId="5F6E3ECC">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基础化学原料制造</w:t>
                  </w:r>
                </w:p>
              </w:tc>
              <w:tc>
                <w:tcPr>
                  <w:tcW w:w="1233" w:type="dxa"/>
                  <w:tcBorders>
                    <w:tl2br w:val="nil"/>
                    <w:tr2bl w:val="nil"/>
                  </w:tcBorders>
                  <w:vAlign w:val="center"/>
                </w:tcPr>
                <w:p w14:paraId="0839551C">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261-059-35</w:t>
                  </w:r>
                </w:p>
              </w:tc>
              <w:tc>
                <w:tcPr>
                  <w:tcW w:w="6222" w:type="dxa"/>
                  <w:tcBorders>
                    <w:tl2br w:val="nil"/>
                    <w:tr2bl w:val="nil"/>
                  </w:tcBorders>
                  <w:vAlign w:val="center"/>
                </w:tcPr>
                <w:p w14:paraId="765AC75F">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氢氧化钙、氨水、氢氧化钠、氢氧化钾等的生产、配制中产生的废碱液、固态碱和碱渣</w:t>
                  </w:r>
                </w:p>
              </w:tc>
              <w:tc>
                <w:tcPr>
                  <w:tcW w:w="1005" w:type="dxa"/>
                  <w:tcBorders>
                    <w:tl2br w:val="nil"/>
                    <w:tr2bl w:val="nil"/>
                  </w:tcBorders>
                  <w:vAlign w:val="center"/>
                </w:tcPr>
                <w:p w14:paraId="44189D9A">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C</w:t>
                  </w:r>
                </w:p>
              </w:tc>
              <w:tc>
                <w:tcPr>
                  <w:tcW w:w="1140" w:type="dxa"/>
                  <w:tcBorders>
                    <w:tl2br w:val="nil"/>
                    <w:tr2bl w:val="nil"/>
                  </w:tcBorders>
                  <w:shd w:val="clear" w:color="auto" w:fill="auto"/>
                  <w:vAlign w:val="center"/>
                </w:tcPr>
                <w:p w14:paraId="783A111B">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液态/固态</w:t>
                  </w:r>
                </w:p>
              </w:tc>
              <w:tc>
                <w:tcPr>
                  <w:tcW w:w="1170" w:type="dxa"/>
                  <w:tcBorders>
                    <w:tl2br w:val="nil"/>
                    <w:tr2bl w:val="nil"/>
                  </w:tcBorders>
                  <w:shd w:val="clear" w:color="auto" w:fill="auto"/>
                  <w:vAlign w:val="center"/>
                </w:tcPr>
                <w:p w14:paraId="720BB8D4">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桶装/袋装</w:t>
                  </w:r>
                </w:p>
              </w:tc>
            </w:tr>
            <w:tr w14:paraId="56B048C5">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30674980">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tcBorders>
                    <w:tl2br w:val="nil"/>
                    <w:tr2bl w:val="nil"/>
                  </w:tcBorders>
                  <w:vAlign w:val="center"/>
                </w:tcPr>
                <w:p w14:paraId="6402781A">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纸浆制造</w:t>
                  </w:r>
                </w:p>
              </w:tc>
              <w:tc>
                <w:tcPr>
                  <w:tcW w:w="1233" w:type="dxa"/>
                  <w:tcBorders>
                    <w:tl2br w:val="nil"/>
                    <w:tr2bl w:val="nil"/>
                  </w:tcBorders>
                  <w:vAlign w:val="center"/>
                </w:tcPr>
                <w:p w14:paraId="245A2E26">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221-002-35</w:t>
                  </w:r>
                </w:p>
              </w:tc>
              <w:tc>
                <w:tcPr>
                  <w:tcW w:w="6222" w:type="dxa"/>
                  <w:tcBorders>
                    <w:tl2br w:val="nil"/>
                    <w:tr2bl w:val="nil"/>
                  </w:tcBorders>
                  <w:vAlign w:val="center"/>
                </w:tcPr>
                <w:p w14:paraId="650F5523">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碱法制浆过程中蒸煮制浆产生的废碱液</w:t>
                  </w:r>
                </w:p>
              </w:tc>
              <w:tc>
                <w:tcPr>
                  <w:tcW w:w="1005" w:type="dxa"/>
                  <w:tcBorders>
                    <w:tl2br w:val="nil"/>
                    <w:tr2bl w:val="nil"/>
                  </w:tcBorders>
                  <w:vAlign w:val="center"/>
                </w:tcPr>
                <w:p w14:paraId="2FB52CE7">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C，T</w:t>
                  </w:r>
                </w:p>
              </w:tc>
              <w:tc>
                <w:tcPr>
                  <w:tcW w:w="1140" w:type="dxa"/>
                  <w:tcBorders>
                    <w:tl2br w:val="nil"/>
                    <w:tr2bl w:val="nil"/>
                  </w:tcBorders>
                  <w:vAlign w:val="center"/>
                </w:tcPr>
                <w:p w14:paraId="6F45CEBC">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液态</w:t>
                  </w:r>
                </w:p>
              </w:tc>
              <w:tc>
                <w:tcPr>
                  <w:tcW w:w="1170" w:type="dxa"/>
                  <w:tcBorders>
                    <w:tl2br w:val="nil"/>
                    <w:tr2bl w:val="nil"/>
                  </w:tcBorders>
                  <w:vAlign w:val="center"/>
                </w:tcPr>
                <w:p w14:paraId="2BE73D99">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桶装</w:t>
                  </w:r>
                </w:p>
              </w:tc>
            </w:tr>
            <w:tr w14:paraId="24EEFEB2">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restart"/>
                  <w:tcBorders>
                    <w:tl2br w:val="nil"/>
                    <w:tr2bl w:val="nil"/>
                  </w:tcBorders>
                  <w:vAlign w:val="center"/>
                </w:tcPr>
                <w:p w14:paraId="285CB247">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HW35</w:t>
                  </w:r>
                </w:p>
                <w:p w14:paraId="22914E7E">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废碱</w:t>
                  </w:r>
                </w:p>
              </w:tc>
              <w:tc>
                <w:tcPr>
                  <w:tcW w:w="1134" w:type="dxa"/>
                  <w:vMerge w:val="restart"/>
                  <w:tcBorders>
                    <w:tl2br w:val="nil"/>
                    <w:tr2bl w:val="nil"/>
                  </w:tcBorders>
                  <w:vAlign w:val="center"/>
                </w:tcPr>
                <w:p w14:paraId="53B8BBDB">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6"/>
                      <w:sz w:val="21"/>
                      <w:szCs w:val="21"/>
                    </w:rPr>
                    <w:t>非特定行业</w:t>
                  </w:r>
                </w:p>
              </w:tc>
              <w:tc>
                <w:tcPr>
                  <w:tcW w:w="1233" w:type="dxa"/>
                  <w:tcBorders>
                    <w:tl2br w:val="nil"/>
                    <w:tr2bl w:val="nil"/>
                  </w:tcBorders>
                  <w:vAlign w:val="center"/>
                </w:tcPr>
                <w:p w14:paraId="7579357E">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900-350-35</w:t>
                  </w:r>
                </w:p>
              </w:tc>
              <w:tc>
                <w:tcPr>
                  <w:tcW w:w="6222" w:type="dxa"/>
                  <w:tcBorders>
                    <w:tl2br w:val="nil"/>
                    <w:tr2bl w:val="nil"/>
                  </w:tcBorders>
                  <w:vAlign w:val="center"/>
                </w:tcPr>
                <w:p w14:paraId="533E33F9">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使用氢氧化钠进行煮炼过程中产生的废碱液</w:t>
                  </w:r>
                </w:p>
              </w:tc>
              <w:tc>
                <w:tcPr>
                  <w:tcW w:w="1005" w:type="dxa"/>
                  <w:tcBorders>
                    <w:tl2br w:val="nil"/>
                    <w:tr2bl w:val="nil"/>
                  </w:tcBorders>
                  <w:vAlign w:val="center"/>
                </w:tcPr>
                <w:p w14:paraId="4CF43BE8">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C</w:t>
                  </w:r>
                </w:p>
              </w:tc>
              <w:tc>
                <w:tcPr>
                  <w:tcW w:w="1140" w:type="dxa"/>
                  <w:tcBorders>
                    <w:tl2br w:val="nil"/>
                    <w:tr2bl w:val="nil"/>
                  </w:tcBorders>
                  <w:vAlign w:val="center"/>
                </w:tcPr>
                <w:p w14:paraId="37906A94">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液态</w:t>
                  </w:r>
                </w:p>
              </w:tc>
              <w:tc>
                <w:tcPr>
                  <w:tcW w:w="1170" w:type="dxa"/>
                  <w:tcBorders>
                    <w:tl2br w:val="nil"/>
                    <w:tr2bl w:val="nil"/>
                  </w:tcBorders>
                  <w:vAlign w:val="center"/>
                </w:tcPr>
                <w:p w14:paraId="63D3525F">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桶装</w:t>
                  </w:r>
                </w:p>
              </w:tc>
            </w:tr>
            <w:tr w14:paraId="15108864">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2BD2BD19">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709EC7E5">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233" w:type="dxa"/>
                  <w:tcBorders>
                    <w:tl2br w:val="nil"/>
                    <w:tr2bl w:val="nil"/>
                  </w:tcBorders>
                  <w:vAlign w:val="center"/>
                </w:tcPr>
                <w:p w14:paraId="73DD3F16">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900-351-35</w:t>
                  </w:r>
                </w:p>
              </w:tc>
              <w:tc>
                <w:tcPr>
                  <w:tcW w:w="6222" w:type="dxa"/>
                  <w:tcBorders>
                    <w:tl2br w:val="nil"/>
                    <w:tr2bl w:val="nil"/>
                  </w:tcBorders>
                  <w:vAlign w:val="center"/>
                </w:tcPr>
                <w:p w14:paraId="376A033E">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使用氢氧化钠进行丝光处理过程中产生的废碱液</w:t>
                  </w:r>
                </w:p>
              </w:tc>
              <w:tc>
                <w:tcPr>
                  <w:tcW w:w="1005" w:type="dxa"/>
                  <w:tcBorders>
                    <w:tl2br w:val="nil"/>
                    <w:tr2bl w:val="nil"/>
                  </w:tcBorders>
                  <w:vAlign w:val="center"/>
                </w:tcPr>
                <w:p w14:paraId="073A9F95">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C</w:t>
                  </w:r>
                </w:p>
              </w:tc>
              <w:tc>
                <w:tcPr>
                  <w:tcW w:w="1140" w:type="dxa"/>
                  <w:tcBorders>
                    <w:tl2br w:val="nil"/>
                    <w:tr2bl w:val="nil"/>
                  </w:tcBorders>
                  <w:vAlign w:val="center"/>
                </w:tcPr>
                <w:p w14:paraId="6763DE2C">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液态</w:t>
                  </w:r>
                </w:p>
              </w:tc>
              <w:tc>
                <w:tcPr>
                  <w:tcW w:w="1170" w:type="dxa"/>
                  <w:tcBorders>
                    <w:tl2br w:val="nil"/>
                    <w:tr2bl w:val="nil"/>
                  </w:tcBorders>
                  <w:vAlign w:val="center"/>
                </w:tcPr>
                <w:p w14:paraId="45AA1B78">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桶装</w:t>
                  </w:r>
                </w:p>
              </w:tc>
            </w:tr>
            <w:tr w14:paraId="7FED5652">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02993294">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7C39E61E">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233" w:type="dxa"/>
                  <w:tcBorders>
                    <w:tl2br w:val="nil"/>
                    <w:tr2bl w:val="nil"/>
                  </w:tcBorders>
                  <w:vAlign w:val="center"/>
                </w:tcPr>
                <w:p w14:paraId="5025B23D">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900-352-35</w:t>
                  </w:r>
                </w:p>
              </w:tc>
              <w:tc>
                <w:tcPr>
                  <w:tcW w:w="6222" w:type="dxa"/>
                  <w:tcBorders>
                    <w:tl2br w:val="nil"/>
                    <w:tr2bl w:val="nil"/>
                  </w:tcBorders>
                  <w:vAlign w:val="center"/>
                </w:tcPr>
                <w:p w14:paraId="7DC122A6">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使用碱进行清洗产生的废碱液</w:t>
                  </w:r>
                </w:p>
              </w:tc>
              <w:tc>
                <w:tcPr>
                  <w:tcW w:w="1005" w:type="dxa"/>
                  <w:tcBorders>
                    <w:tl2br w:val="nil"/>
                    <w:tr2bl w:val="nil"/>
                  </w:tcBorders>
                  <w:vAlign w:val="center"/>
                </w:tcPr>
                <w:p w14:paraId="6BFFF65D">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C，T</w:t>
                  </w:r>
                </w:p>
              </w:tc>
              <w:tc>
                <w:tcPr>
                  <w:tcW w:w="1140" w:type="dxa"/>
                  <w:tcBorders>
                    <w:tl2br w:val="nil"/>
                    <w:tr2bl w:val="nil"/>
                  </w:tcBorders>
                  <w:vAlign w:val="center"/>
                </w:tcPr>
                <w:p w14:paraId="30D34BC6">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液态</w:t>
                  </w:r>
                </w:p>
              </w:tc>
              <w:tc>
                <w:tcPr>
                  <w:tcW w:w="1170" w:type="dxa"/>
                  <w:tcBorders>
                    <w:tl2br w:val="nil"/>
                    <w:tr2bl w:val="nil"/>
                  </w:tcBorders>
                  <w:vAlign w:val="center"/>
                </w:tcPr>
                <w:p w14:paraId="3A9E312B">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桶装</w:t>
                  </w:r>
                </w:p>
              </w:tc>
            </w:tr>
            <w:tr w14:paraId="1C4F8ABB">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4D3A76BD">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7656D63B">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233" w:type="dxa"/>
                  <w:tcBorders>
                    <w:tl2br w:val="nil"/>
                    <w:tr2bl w:val="nil"/>
                  </w:tcBorders>
                  <w:vAlign w:val="center"/>
                </w:tcPr>
                <w:p w14:paraId="69D5E59A">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900-353-35</w:t>
                  </w:r>
                </w:p>
              </w:tc>
              <w:tc>
                <w:tcPr>
                  <w:tcW w:w="6222" w:type="dxa"/>
                  <w:tcBorders>
                    <w:tl2br w:val="nil"/>
                    <w:tr2bl w:val="nil"/>
                  </w:tcBorders>
                  <w:vAlign w:val="center"/>
                </w:tcPr>
                <w:p w14:paraId="73CEE040">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使用碱进行清洗除蜡、碱性除油、电解除油产生的废碱液</w:t>
                  </w:r>
                </w:p>
              </w:tc>
              <w:tc>
                <w:tcPr>
                  <w:tcW w:w="1005" w:type="dxa"/>
                  <w:tcBorders>
                    <w:tl2br w:val="nil"/>
                    <w:tr2bl w:val="nil"/>
                  </w:tcBorders>
                  <w:vAlign w:val="center"/>
                </w:tcPr>
                <w:p w14:paraId="2FA4FC96">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C，T</w:t>
                  </w:r>
                </w:p>
              </w:tc>
              <w:tc>
                <w:tcPr>
                  <w:tcW w:w="1140" w:type="dxa"/>
                  <w:tcBorders>
                    <w:tl2br w:val="nil"/>
                    <w:tr2bl w:val="nil"/>
                  </w:tcBorders>
                  <w:vAlign w:val="center"/>
                </w:tcPr>
                <w:p w14:paraId="16309F28">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液态</w:t>
                  </w:r>
                </w:p>
              </w:tc>
              <w:tc>
                <w:tcPr>
                  <w:tcW w:w="1170" w:type="dxa"/>
                  <w:tcBorders>
                    <w:tl2br w:val="nil"/>
                    <w:tr2bl w:val="nil"/>
                  </w:tcBorders>
                  <w:vAlign w:val="center"/>
                </w:tcPr>
                <w:p w14:paraId="3459E5C6">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桶装</w:t>
                  </w:r>
                </w:p>
              </w:tc>
            </w:tr>
            <w:tr w14:paraId="15062020">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2D0DC481">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6A59F519">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233" w:type="dxa"/>
                  <w:tcBorders>
                    <w:tl2br w:val="nil"/>
                    <w:tr2bl w:val="nil"/>
                  </w:tcBorders>
                  <w:vAlign w:val="center"/>
                </w:tcPr>
                <w:p w14:paraId="3E71D654">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900-354-35</w:t>
                  </w:r>
                </w:p>
              </w:tc>
              <w:tc>
                <w:tcPr>
                  <w:tcW w:w="6222" w:type="dxa"/>
                  <w:tcBorders>
                    <w:tl2br w:val="nil"/>
                    <w:tr2bl w:val="nil"/>
                  </w:tcBorders>
                  <w:vAlign w:val="center"/>
                </w:tcPr>
                <w:p w14:paraId="3357107A">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使用碱进行电镀阻挡层或抗蚀层的脱除产生的废碱液</w:t>
                  </w:r>
                </w:p>
              </w:tc>
              <w:tc>
                <w:tcPr>
                  <w:tcW w:w="1005" w:type="dxa"/>
                  <w:tcBorders>
                    <w:tl2br w:val="nil"/>
                    <w:tr2bl w:val="nil"/>
                  </w:tcBorders>
                  <w:vAlign w:val="center"/>
                </w:tcPr>
                <w:p w14:paraId="79C09A4C">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C，T</w:t>
                  </w:r>
                </w:p>
              </w:tc>
              <w:tc>
                <w:tcPr>
                  <w:tcW w:w="1140" w:type="dxa"/>
                  <w:tcBorders>
                    <w:tl2br w:val="nil"/>
                    <w:tr2bl w:val="nil"/>
                  </w:tcBorders>
                  <w:vAlign w:val="center"/>
                </w:tcPr>
                <w:p w14:paraId="6E5132CB">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液态</w:t>
                  </w:r>
                </w:p>
              </w:tc>
              <w:tc>
                <w:tcPr>
                  <w:tcW w:w="1170" w:type="dxa"/>
                  <w:tcBorders>
                    <w:tl2br w:val="nil"/>
                    <w:tr2bl w:val="nil"/>
                  </w:tcBorders>
                  <w:vAlign w:val="center"/>
                </w:tcPr>
                <w:p w14:paraId="4AE69328">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桶装</w:t>
                  </w:r>
                </w:p>
              </w:tc>
            </w:tr>
            <w:tr w14:paraId="13BD4CAF">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5E170F6C">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5D77D664">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233" w:type="dxa"/>
                  <w:tcBorders>
                    <w:tl2br w:val="nil"/>
                    <w:tr2bl w:val="nil"/>
                  </w:tcBorders>
                  <w:vAlign w:val="center"/>
                </w:tcPr>
                <w:p w14:paraId="6C709D54">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900-355-35</w:t>
                  </w:r>
                </w:p>
              </w:tc>
              <w:tc>
                <w:tcPr>
                  <w:tcW w:w="6222" w:type="dxa"/>
                  <w:tcBorders>
                    <w:tl2br w:val="nil"/>
                    <w:tr2bl w:val="nil"/>
                  </w:tcBorders>
                  <w:vAlign w:val="center"/>
                </w:tcPr>
                <w:p w14:paraId="1CC39917">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使用碱进行氧化膜浸蚀产生的废碱液</w:t>
                  </w:r>
                </w:p>
              </w:tc>
              <w:tc>
                <w:tcPr>
                  <w:tcW w:w="1005" w:type="dxa"/>
                  <w:tcBorders>
                    <w:tl2br w:val="nil"/>
                    <w:tr2bl w:val="nil"/>
                  </w:tcBorders>
                  <w:vAlign w:val="center"/>
                </w:tcPr>
                <w:p w14:paraId="0BF43978">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C，T</w:t>
                  </w:r>
                </w:p>
              </w:tc>
              <w:tc>
                <w:tcPr>
                  <w:tcW w:w="1140" w:type="dxa"/>
                  <w:tcBorders>
                    <w:tl2br w:val="nil"/>
                    <w:tr2bl w:val="nil"/>
                  </w:tcBorders>
                  <w:vAlign w:val="center"/>
                </w:tcPr>
                <w:p w14:paraId="7700BBE3">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液态</w:t>
                  </w:r>
                </w:p>
              </w:tc>
              <w:tc>
                <w:tcPr>
                  <w:tcW w:w="1170" w:type="dxa"/>
                  <w:tcBorders>
                    <w:tl2br w:val="nil"/>
                    <w:tr2bl w:val="nil"/>
                  </w:tcBorders>
                  <w:vAlign w:val="center"/>
                </w:tcPr>
                <w:p w14:paraId="1E2B64A3">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桶装</w:t>
                  </w:r>
                </w:p>
              </w:tc>
            </w:tr>
            <w:tr w14:paraId="59F8FA17">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51B709DB">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318DB40D">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233" w:type="dxa"/>
                  <w:tcBorders>
                    <w:tl2br w:val="nil"/>
                    <w:tr2bl w:val="nil"/>
                  </w:tcBorders>
                  <w:vAlign w:val="center"/>
                </w:tcPr>
                <w:p w14:paraId="73D702C6">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900-356-35</w:t>
                  </w:r>
                </w:p>
              </w:tc>
              <w:tc>
                <w:tcPr>
                  <w:tcW w:w="6222" w:type="dxa"/>
                  <w:tcBorders>
                    <w:tl2br w:val="nil"/>
                    <w:tr2bl w:val="nil"/>
                  </w:tcBorders>
                  <w:vAlign w:val="center"/>
                </w:tcPr>
                <w:p w14:paraId="44AD05A0">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使用碱溶液进行碱性清洗、图形显影产生的废碱液</w:t>
                  </w:r>
                </w:p>
              </w:tc>
              <w:tc>
                <w:tcPr>
                  <w:tcW w:w="1005" w:type="dxa"/>
                  <w:tcBorders>
                    <w:tl2br w:val="nil"/>
                    <w:tr2bl w:val="nil"/>
                  </w:tcBorders>
                  <w:vAlign w:val="center"/>
                </w:tcPr>
                <w:p w14:paraId="652874F6">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C，T</w:t>
                  </w:r>
                </w:p>
              </w:tc>
              <w:tc>
                <w:tcPr>
                  <w:tcW w:w="1140" w:type="dxa"/>
                  <w:tcBorders>
                    <w:tl2br w:val="nil"/>
                    <w:tr2bl w:val="nil"/>
                  </w:tcBorders>
                  <w:vAlign w:val="center"/>
                </w:tcPr>
                <w:p w14:paraId="54D5D68F">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液态</w:t>
                  </w:r>
                </w:p>
              </w:tc>
              <w:tc>
                <w:tcPr>
                  <w:tcW w:w="1170" w:type="dxa"/>
                  <w:tcBorders>
                    <w:tl2br w:val="nil"/>
                    <w:tr2bl w:val="nil"/>
                  </w:tcBorders>
                  <w:vAlign w:val="center"/>
                </w:tcPr>
                <w:p w14:paraId="4DBBB1BF">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桶装</w:t>
                  </w:r>
                </w:p>
              </w:tc>
            </w:tr>
            <w:tr w14:paraId="5AE1E73F">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1F5DE5D5">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1DA0F41A">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233" w:type="dxa"/>
                  <w:tcBorders>
                    <w:tl2br w:val="nil"/>
                    <w:tr2bl w:val="nil"/>
                  </w:tcBorders>
                  <w:vAlign w:val="center"/>
                </w:tcPr>
                <w:p w14:paraId="6B1A9D5B">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900-399-35</w:t>
                  </w:r>
                </w:p>
              </w:tc>
              <w:tc>
                <w:tcPr>
                  <w:tcW w:w="6222" w:type="dxa"/>
                  <w:tcBorders>
                    <w:tl2br w:val="nil"/>
                    <w:tr2bl w:val="nil"/>
                  </w:tcBorders>
                  <w:vAlign w:val="center"/>
                </w:tcPr>
                <w:p w14:paraId="1167849C">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生产、销售及使用过程中产生的失效、变质、不合格、淘汰、伪劣的强碱性擦洗粉、清洁剂、污迹去除剂以及其他强碱性废碱液、固态碱和碱渣</w:t>
                  </w:r>
                </w:p>
              </w:tc>
              <w:tc>
                <w:tcPr>
                  <w:tcW w:w="1005" w:type="dxa"/>
                  <w:tcBorders>
                    <w:tl2br w:val="nil"/>
                    <w:tr2bl w:val="nil"/>
                  </w:tcBorders>
                  <w:vAlign w:val="center"/>
                </w:tcPr>
                <w:p w14:paraId="5BD9520E">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C，T</w:t>
                  </w:r>
                </w:p>
              </w:tc>
              <w:tc>
                <w:tcPr>
                  <w:tcW w:w="1140" w:type="dxa"/>
                  <w:tcBorders>
                    <w:tl2br w:val="nil"/>
                    <w:tr2bl w:val="nil"/>
                  </w:tcBorders>
                  <w:shd w:val="clear" w:color="auto" w:fill="auto"/>
                  <w:vAlign w:val="center"/>
                </w:tcPr>
                <w:p w14:paraId="7E885374">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液态/固态</w:t>
                  </w:r>
                </w:p>
              </w:tc>
              <w:tc>
                <w:tcPr>
                  <w:tcW w:w="1170" w:type="dxa"/>
                  <w:tcBorders>
                    <w:tl2br w:val="nil"/>
                    <w:tr2bl w:val="nil"/>
                  </w:tcBorders>
                  <w:shd w:val="clear" w:color="auto" w:fill="auto"/>
                  <w:vAlign w:val="center"/>
                </w:tcPr>
                <w:p w14:paraId="583E3046">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桶装/袋装</w:t>
                  </w:r>
                </w:p>
              </w:tc>
            </w:tr>
            <w:tr w14:paraId="6AE89FB3">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restart"/>
                  <w:tcBorders>
                    <w:tl2br w:val="nil"/>
                    <w:tr2bl w:val="nil"/>
                  </w:tcBorders>
                  <w:vAlign w:val="center"/>
                </w:tcPr>
                <w:p w14:paraId="094AD12E">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HW36</w:t>
                  </w:r>
                </w:p>
                <w:p w14:paraId="060E1AAB">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石棉废物</w:t>
                  </w:r>
                </w:p>
              </w:tc>
              <w:tc>
                <w:tcPr>
                  <w:tcW w:w="1134" w:type="dxa"/>
                  <w:tcBorders>
                    <w:tl2br w:val="nil"/>
                    <w:tr2bl w:val="nil"/>
                  </w:tcBorders>
                  <w:vAlign w:val="center"/>
                </w:tcPr>
                <w:p w14:paraId="1ABBE7AB">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石棉及其他非金属矿采选</w:t>
                  </w:r>
                </w:p>
              </w:tc>
              <w:tc>
                <w:tcPr>
                  <w:tcW w:w="1233" w:type="dxa"/>
                  <w:tcBorders>
                    <w:tl2br w:val="nil"/>
                    <w:tr2bl w:val="nil"/>
                  </w:tcBorders>
                  <w:vAlign w:val="center"/>
                </w:tcPr>
                <w:p w14:paraId="722A58C4">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109-001-36</w:t>
                  </w:r>
                </w:p>
              </w:tc>
              <w:tc>
                <w:tcPr>
                  <w:tcW w:w="6222" w:type="dxa"/>
                  <w:tcBorders>
                    <w:tl2br w:val="nil"/>
                    <w:tr2bl w:val="nil"/>
                  </w:tcBorders>
                  <w:vAlign w:val="center"/>
                </w:tcPr>
                <w:p w14:paraId="64E1FD88">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石棉矿选矿过程中产生的废渣</w:t>
                  </w:r>
                </w:p>
              </w:tc>
              <w:tc>
                <w:tcPr>
                  <w:tcW w:w="1005" w:type="dxa"/>
                  <w:tcBorders>
                    <w:tl2br w:val="nil"/>
                    <w:tr2bl w:val="nil"/>
                  </w:tcBorders>
                  <w:vAlign w:val="center"/>
                </w:tcPr>
                <w:p w14:paraId="692FE8BF">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w:t>
                  </w:r>
                </w:p>
              </w:tc>
              <w:tc>
                <w:tcPr>
                  <w:tcW w:w="1140" w:type="dxa"/>
                  <w:tcBorders>
                    <w:tl2br w:val="nil"/>
                    <w:tr2bl w:val="nil"/>
                  </w:tcBorders>
                  <w:vAlign w:val="center"/>
                </w:tcPr>
                <w:p w14:paraId="4719565F">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eastAsia" w:ascii="Times New Roman" w:hAnsi="Times New Roman" w:eastAsia="宋体" w:cs="Times New Roman"/>
                      <w:color w:val="auto"/>
                      <w:spacing w:val="0"/>
                      <w:sz w:val="21"/>
                      <w:szCs w:val="21"/>
                      <w:lang w:val="en-US" w:eastAsia="zh-CN"/>
                    </w:rPr>
                  </w:pPr>
                  <w:r>
                    <w:rPr>
                      <w:rFonts w:hint="eastAsia" w:ascii="Times New Roman" w:hAnsi="Times New Roman" w:cs="Times New Roman"/>
                      <w:color w:val="auto"/>
                      <w:spacing w:val="0"/>
                      <w:sz w:val="21"/>
                      <w:szCs w:val="21"/>
                      <w:lang w:val="en-US" w:eastAsia="zh-CN"/>
                    </w:rPr>
                    <w:t>固态</w:t>
                  </w:r>
                </w:p>
              </w:tc>
              <w:tc>
                <w:tcPr>
                  <w:tcW w:w="1170" w:type="dxa"/>
                  <w:tcBorders>
                    <w:tl2br w:val="nil"/>
                    <w:tr2bl w:val="nil"/>
                  </w:tcBorders>
                  <w:vAlign w:val="center"/>
                </w:tcPr>
                <w:p w14:paraId="6C3C5DD3">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eastAsia" w:ascii="Times New Roman" w:hAnsi="Times New Roman" w:eastAsia="宋体" w:cs="Times New Roman"/>
                      <w:color w:val="auto"/>
                      <w:spacing w:val="0"/>
                      <w:sz w:val="21"/>
                      <w:szCs w:val="21"/>
                      <w:lang w:val="en-US" w:eastAsia="zh-CN"/>
                    </w:rPr>
                  </w:pPr>
                  <w:r>
                    <w:rPr>
                      <w:rFonts w:hint="eastAsia" w:ascii="Times New Roman" w:hAnsi="Times New Roman" w:cs="Times New Roman"/>
                      <w:color w:val="auto"/>
                      <w:spacing w:val="0"/>
                      <w:sz w:val="21"/>
                      <w:szCs w:val="21"/>
                      <w:lang w:val="en-US" w:eastAsia="zh-CN"/>
                    </w:rPr>
                    <w:t>袋装</w:t>
                  </w:r>
                </w:p>
              </w:tc>
            </w:tr>
            <w:tr w14:paraId="5C5421AE">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548" w:hRule="atLeast"/>
              </w:trPr>
              <w:tc>
                <w:tcPr>
                  <w:tcW w:w="1096" w:type="dxa"/>
                  <w:vMerge w:val="continue"/>
                  <w:tcBorders>
                    <w:tl2br w:val="nil"/>
                    <w:tr2bl w:val="nil"/>
                  </w:tcBorders>
                  <w:vAlign w:val="center"/>
                </w:tcPr>
                <w:p w14:paraId="3AC0E66C">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tcBorders>
                    <w:tl2br w:val="nil"/>
                    <w:tr2bl w:val="nil"/>
                  </w:tcBorders>
                  <w:vAlign w:val="center"/>
                </w:tcPr>
                <w:p w14:paraId="19C2B5C8">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耐火材料制品制造</w:t>
                  </w:r>
                </w:p>
              </w:tc>
              <w:tc>
                <w:tcPr>
                  <w:tcW w:w="1233" w:type="dxa"/>
                  <w:tcBorders>
                    <w:tl2br w:val="nil"/>
                    <w:tr2bl w:val="nil"/>
                  </w:tcBorders>
                  <w:vAlign w:val="center"/>
                </w:tcPr>
                <w:p w14:paraId="0005954D">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308-001-36</w:t>
                  </w:r>
                </w:p>
              </w:tc>
              <w:tc>
                <w:tcPr>
                  <w:tcW w:w="6222" w:type="dxa"/>
                  <w:tcBorders>
                    <w:tl2br w:val="nil"/>
                    <w:tr2bl w:val="nil"/>
                  </w:tcBorders>
                  <w:vAlign w:val="center"/>
                </w:tcPr>
                <w:p w14:paraId="55A30F6B">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石棉制品生产过程中产生的石棉尘、废石棉</w:t>
                  </w:r>
                </w:p>
              </w:tc>
              <w:tc>
                <w:tcPr>
                  <w:tcW w:w="1005" w:type="dxa"/>
                  <w:tcBorders>
                    <w:tl2br w:val="nil"/>
                    <w:tr2bl w:val="nil"/>
                  </w:tcBorders>
                  <w:vAlign w:val="center"/>
                </w:tcPr>
                <w:p w14:paraId="513FF74B">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w:t>
                  </w:r>
                </w:p>
              </w:tc>
              <w:tc>
                <w:tcPr>
                  <w:tcW w:w="1140" w:type="dxa"/>
                  <w:tcBorders>
                    <w:tl2br w:val="nil"/>
                    <w:tr2bl w:val="nil"/>
                  </w:tcBorders>
                  <w:vAlign w:val="center"/>
                </w:tcPr>
                <w:p w14:paraId="172547A8">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固态</w:t>
                  </w:r>
                </w:p>
              </w:tc>
              <w:tc>
                <w:tcPr>
                  <w:tcW w:w="1170" w:type="dxa"/>
                  <w:tcBorders>
                    <w:tl2br w:val="nil"/>
                    <w:tr2bl w:val="nil"/>
                  </w:tcBorders>
                  <w:vAlign w:val="center"/>
                </w:tcPr>
                <w:p w14:paraId="58DA305A">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袋装</w:t>
                  </w:r>
                </w:p>
              </w:tc>
            </w:tr>
            <w:tr w14:paraId="460009D6">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36720C36">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tcBorders>
                    <w:tl2br w:val="nil"/>
                    <w:tr2bl w:val="nil"/>
                  </w:tcBorders>
                  <w:vAlign w:val="center"/>
                </w:tcPr>
                <w:p w14:paraId="125ADB08">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6"/>
                      <w:sz w:val="21"/>
                      <w:szCs w:val="21"/>
                    </w:rPr>
                    <w:t>汽车零部件及配件制造</w:t>
                  </w:r>
                </w:p>
              </w:tc>
              <w:tc>
                <w:tcPr>
                  <w:tcW w:w="1233" w:type="dxa"/>
                  <w:tcBorders>
                    <w:tl2br w:val="nil"/>
                    <w:tr2bl w:val="nil"/>
                  </w:tcBorders>
                  <w:vAlign w:val="center"/>
                </w:tcPr>
                <w:p w14:paraId="18A6E992">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367-001-36</w:t>
                  </w:r>
                </w:p>
              </w:tc>
              <w:tc>
                <w:tcPr>
                  <w:tcW w:w="6222" w:type="dxa"/>
                  <w:tcBorders>
                    <w:tl2br w:val="nil"/>
                    <w:tr2bl w:val="nil"/>
                  </w:tcBorders>
                  <w:vAlign w:val="center"/>
                </w:tcPr>
                <w:p w14:paraId="71141E8A">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车辆制动器衬片生产过程中产生的石棉废物</w:t>
                  </w:r>
                </w:p>
              </w:tc>
              <w:tc>
                <w:tcPr>
                  <w:tcW w:w="1005" w:type="dxa"/>
                  <w:tcBorders>
                    <w:tl2br w:val="nil"/>
                    <w:tr2bl w:val="nil"/>
                  </w:tcBorders>
                  <w:vAlign w:val="center"/>
                </w:tcPr>
                <w:p w14:paraId="0120AD99">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w:t>
                  </w:r>
                </w:p>
              </w:tc>
              <w:tc>
                <w:tcPr>
                  <w:tcW w:w="1140" w:type="dxa"/>
                  <w:tcBorders>
                    <w:tl2br w:val="nil"/>
                    <w:tr2bl w:val="nil"/>
                  </w:tcBorders>
                  <w:vAlign w:val="center"/>
                </w:tcPr>
                <w:p w14:paraId="16B29F4F">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固态</w:t>
                  </w:r>
                </w:p>
              </w:tc>
              <w:tc>
                <w:tcPr>
                  <w:tcW w:w="1170" w:type="dxa"/>
                  <w:tcBorders>
                    <w:tl2br w:val="nil"/>
                    <w:tr2bl w:val="nil"/>
                  </w:tcBorders>
                  <w:vAlign w:val="center"/>
                </w:tcPr>
                <w:p w14:paraId="30156694">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袋装</w:t>
                  </w:r>
                </w:p>
              </w:tc>
            </w:tr>
            <w:tr w14:paraId="137F8D78">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3A4D0DE9">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restart"/>
                  <w:tcBorders>
                    <w:tl2br w:val="nil"/>
                    <w:tr2bl w:val="nil"/>
                  </w:tcBorders>
                  <w:vAlign w:val="center"/>
                </w:tcPr>
                <w:p w14:paraId="70836C7D">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6"/>
                      <w:sz w:val="21"/>
                      <w:szCs w:val="21"/>
                    </w:rPr>
                    <w:t>非特定行业</w:t>
                  </w:r>
                </w:p>
              </w:tc>
              <w:tc>
                <w:tcPr>
                  <w:tcW w:w="1233" w:type="dxa"/>
                  <w:tcBorders>
                    <w:tl2br w:val="nil"/>
                    <w:tr2bl w:val="nil"/>
                  </w:tcBorders>
                  <w:shd w:val="clear" w:color="auto" w:fill="auto"/>
                  <w:vAlign w:val="center"/>
                </w:tcPr>
                <w:p w14:paraId="384080E8">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color w:val="auto"/>
                      <w:spacing w:val="0"/>
                      <w:sz w:val="21"/>
                      <w:szCs w:val="21"/>
                    </w:rPr>
                    <w:t>900-031-36</w:t>
                  </w:r>
                </w:p>
              </w:tc>
              <w:tc>
                <w:tcPr>
                  <w:tcW w:w="6222" w:type="dxa"/>
                  <w:tcBorders>
                    <w:tl2br w:val="nil"/>
                    <w:tr2bl w:val="nil"/>
                  </w:tcBorders>
                  <w:shd w:val="clear" w:color="auto" w:fill="auto"/>
                  <w:vAlign w:val="center"/>
                </w:tcPr>
                <w:p w14:paraId="32544243">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color w:val="auto"/>
                      <w:spacing w:val="0"/>
                      <w:sz w:val="21"/>
                      <w:szCs w:val="21"/>
                    </w:rPr>
                    <w:t>含有石棉的废绝缘材料、建筑废物</w:t>
                  </w:r>
                </w:p>
              </w:tc>
              <w:tc>
                <w:tcPr>
                  <w:tcW w:w="1005" w:type="dxa"/>
                  <w:tcBorders>
                    <w:tl2br w:val="nil"/>
                    <w:tr2bl w:val="nil"/>
                  </w:tcBorders>
                  <w:shd w:val="clear" w:color="auto" w:fill="auto"/>
                  <w:vAlign w:val="center"/>
                </w:tcPr>
                <w:p w14:paraId="599A9544">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color w:val="auto"/>
                      <w:spacing w:val="0"/>
                      <w:sz w:val="21"/>
                      <w:szCs w:val="21"/>
                    </w:rPr>
                    <w:t>T</w:t>
                  </w:r>
                </w:p>
              </w:tc>
              <w:tc>
                <w:tcPr>
                  <w:tcW w:w="1140" w:type="dxa"/>
                  <w:tcBorders>
                    <w:tl2br w:val="nil"/>
                    <w:tr2bl w:val="nil"/>
                  </w:tcBorders>
                  <w:shd w:val="clear" w:color="auto" w:fill="auto"/>
                  <w:vAlign w:val="center"/>
                </w:tcPr>
                <w:p w14:paraId="131F03A9">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固态</w:t>
                  </w:r>
                </w:p>
              </w:tc>
              <w:tc>
                <w:tcPr>
                  <w:tcW w:w="1170" w:type="dxa"/>
                  <w:tcBorders>
                    <w:tl2br w:val="nil"/>
                    <w:tr2bl w:val="nil"/>
                  </w:tcBorders>
                  <w:shd w:val="clear" w:color="auto" w:fill="auto"/>
                  <w:vAlign w:val="center"/>
                </w:tcPr>
                <w:p w14:paraId="25471D96">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袋装</w:t>
                  </w:r>
                </w:p>
              </w:tc>
            </w:tr>
            <w:tr w14:paraId="516D91E5">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459" w:hRule="atLeast"/>
              </w:trPr>
              <w:tc>
                <w:tcPr>
                  <w:tcW w:w="1096" w:type="dxa"/>
                  <w:vMerge w:val="continue"/>
                  <w:tcBorders>
                    <w:tl2br w:val="nil"/>
                    <w:tr2bl w:val="nil"/>
                  </w:tcBorders>
                  <w:vAlign w:val="center"/>
                </w:tcPr>
                <w:p w14:paraId="581833C5">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1E0CBE2D">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233" w:type="dxa"/>
                  <w:tcBorders>
                    <w:tl2br w:val="nil"/>
                    <w:tr2bl w:val="nil"/>
                  </w:tcBorders>
                  <w:shd w:val="clear" w:color="auto" w:fill="auto"/>
                  <w:vAlign w:val="center"/>
                </w:tcPr>
                <w:p w14:paraId="5B046816">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color w:val="auto"/>
                      <w:spacing w:val="0"/>
                      <w:sz w:val="21"/>
                      <w:szCs w:val="21"/>
                    </w:rPr>
                    <w:t>900-032-36</w:t>
                  </w:r>
                </w:p>
              </w:tc>
              <w:tc>
                <w:tcPr>
                  <w:tcW w:w="6222" w:type="dxa"/>
                  <w:tcBorders>
                    <w:tl2br w:val="nil"/>
                    <w:tr2bl w:val="nil"/>
                  </w:tcBorders>
                  <w:shd w:val="clear" w:color="auto" w:fill="auto"/>
                  <w:vAlign w:val="center"/>
                </w:tcPr>
                <w:p w14:paraId="54E5C3A1">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color w:val="auto"/>
                      <w:spacing w:val="0"/>
                      <w:sz w:val="21"/>
                      <w:szCs w:val="21"/>
                    </w:rPr>
                    <w:t>含有隔膜、热绝缘体等石棉材料的设施保养拆换及车辆制动器衬片的更换产生的石棉废物</w:t>
                  </w:r>
                </w:p>
              </w:tc>
              <w:tc>
                <w:tcPr>
                  <w:tcW w:w="1005" w:type="dxa"/>
                  <w:tcBorders>
                    <w:tl2br w:val="nil"/>
                    <w:tr2bl w:val="nil"/>
                  </w:tcBorders>
                  <w:shd w:val="clear" w:color="auto" w:fill="auto"/>
                  <w:vAlign w:val="center"/>
                </w:tcPr>
                <w:p w14:paraId="5D3842E3">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color w:val="auto"/>
                      <w:spacing w:val="0"/>
                      <w:sz w:val="21"/>
                      <w:szCs w:val="21"/>
                    </w:rPr>
                    <w:t>T</w:t>
                  </w:r>
                </w:p>
              </w:tc>
              <w:tc>
                <w:tcPr>
                  <w:tcW w:w="1140" w:type="dxa"/>
                  <w:tcBorders>
                    <w:tl2br w:val="nil"/>
                    <w:tr2bl w:val="nil"/>
                  </w:tcBorders>
                  <w:shd w:val="clear" w:color="auto" w:fill="auto"/>
                  <w:vAlign w:val="center"/>
                </w:tcPr>
                <w:p w14:paraId="01FA0723">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固态</w:t>
                  </w:r>
                </w:p>
              </w:tc>
              <w:tc>
                <w:tcPr>
                  <w:tcW w:w="1170" w:type="dxa"/>
                  <w:tcBorders>
                    <w:tl2br w:val="nil"/>
                    <w:tr2bl w:val="nil"/>
                  </w:tcBorders>
                  <w:shd w:val="clear" w:color="auto" w:fill="auto"/>
                  <w:vAlign w:val="center"/>
                </w:tcPr>
                <w:p w14:paraId="69DF7A60">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袋装</w:t>
                  </w:r>
                </w:p>
              </w:tc>
            </w:tr>
            <w:tr w14:paraId="6B4DD1C2">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restart"/>
                  <w:tcBorders>
                    <w:tl2br w:val="nil"/>
                    <w:tr2bl w:val="nil"/>
                  </w:tcBorders>
                  <w:vAlign w:val="center"/>
                </w:tcPr>
                <w:p w14:paraId="0DA73B8D">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HW38</w:t>
                  </w:r>
                </w:p>
                <w:p w14:paraId="2A923AF7">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有机氰化物废物</w:t>
                  </w:r>
                </w:p>
              </w:tc>
              <w:tc>
                <w:tcPr>
                  <w:tcW w:w="1134" w:type="dxa"/>
                  <w:vMerge w:val="restart"/>
                  <w:tcBorders>
                    <w:tl2br w:val="nil"/>
                    <w:tr2bl w:val="nil"/>
                  </w:tcBorders>
                  <w:vAlign w:val="center"/>
                </w:tcPr>
                <w:p w14:paraId="7F4D8B81">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基础化学原料制造</w:t>
                  </w:r>
                </w:p>
              </w:tc>
              <w:tc>
                <w:tcPr>
                  <w:tcW w:w="1233" w:type="dxa"/>
                  <w:tcBorders>
                    <w:tl2br w:val="nil"/>
                    <w:tr2bl w:val="nil"/>
                  </w:tcBorders>
                  <w:shd w:val="clear" w:color="auto" w:fill="auto"/>
                  <w:vAlign w:val="center"/>
                </w:tcPr>
                <w:p w14:paraId="427D9A3F">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color w:val="auto"/>
                      <w:spacing w:val="0"/>
                      <w:sz w:val="21"/>
                      <w:szCs w:val="21"/>
                    </w:rPr>
                    <w:t>261-067-38</w:t>
                  </w:r>
                </w:p>
              </w:tc>
              <w:tc>
                <w:tcPr>
                  <w:tcW w:w="6222" w:type="dxa"/>
                  <w:tcBorders>
                    <w:tl2br w:val="nil"/>
                    <w:tr2bl w:val="nil"/>
                  </w:tcBorders>
                  <w:shd w:val="clear" w:color="auto" w:fill="auto"/>
                  <w:vAlign w:val="center"/>
                </w:tcPr>
                <w:p w14:paraId="386787F6">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color w:val="auto"/>
                      <w:spacing w:val="0"/>
                      <w:sz w:val="21"/>
                      <w:szCs w:val="21"/>
                    </w:rPr>
                    <w:t>有机氰化物生产过程中产生的废母液和反应残余物</w:t>
                  </w:r>
                </w:p>
              </w:tc>
              <w:tc>
                <w:tcPr>
                  <w:tcW w:w="1005" w:type="dxa"/>
                  <w:tcBorders>
                    <w:tl2br w:val="nil"/>
                    <w:tr2bl w:val="nil"/>
                  </w:tcBorders>
                  <w:shd w:val="clear" w:color="auto" w:fill="auto"/>
                  <w:vAlign w:val="center"/>
                </w:tcPr>
                <w:p w14:paraId="539514AA">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color w:val="auto"/>
                      <w:spacing w:val="0"/>
                      <w:sz w:val="21"/>
                      <w:szCs w:val="21"/>
                    </w:rPr>
                    <w:t>T</w:t>
                  </w:r>
                </w:p>
              </w:tc>
              <w:tc>
                <w:tcPr>
                  <w:tcW w:w="1140" w:type="dxa"/>
                  <w:tcBorders>
                    <w:tl2br w:val="nil"/>
                    <w:tr2bl w:val="nil"/>
                  </w:tcBorders>
                  <w:shd w:val="clear" w:color="auto" w:fill="auto"/>
                  <w:vAlign w:val="center"/>
                </w:tcPr>
                <w:p w14:paraId="792D83F2">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液态/固态</w:t>
                  </w:r>
                </w:p>
              </w:tc>
              <w:tc>
                <w:tcPr>
                  <w:tcW w:w="1170" w:type="dxa"/>
                  <w:tcBorders>
                    <w:tl2br w:val="nil"/>
                    <w:tr2bl w:val="nil"/>
                  </w:tcBorders>
                  <w:shd w:val="clear" w:color="auto" w:fill="auto"/>
                  <w:vAlign w:val="center"/>
                </w:tcPr>
                <w:p w14:paraId="1519BA14">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桶装/袋装</w:t>
                  </w:r>
                </w:p>
              </w:tc>
            </w:tr>
            <w:tr w14:paraId="4FBC85E1">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459" w:hRule="atLeast"/>
              </w:trPr>
              <w:tc>
                <w:tcPr>
                  <w:tcW w:w="1096" w:type="dxa"/>
                  <w:vMerge w:val="continue"/>
                  <w:tcBorders>
                    <w:tl2br w:val="nil"/>
                    <w:tr2bl w:val="nil"/>
                  </w:tcBorders>
                  <w:vAlign w:val="center"/>
                </w:tcPr>
                <w:p w14:paraId="633CA7C0">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1DCD44CB">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233" w:type="dxa"/>
                  <w:tcBorders>
                    <w:tl2br w:val="nil"/>
                    <w:tr2bl w:val="nil"/>
                  </w:tcBorders>
                  <w:shd w:val="clear" w:color="auto" w:fill="auto"/>
                  <w:vAlign w:val="center"/>
                </w:tcPr>
                <w:p w14:paraId="0DD525CD">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color w:val="auto"/>
                      <w:spacing w:val="0"/>
                      <w:sz w:val="21"/>
                      <w:szCs w:val="21"/>
                    </w:rPr>
                    <w:t>261-068-38</w:t>
                  </w:r>
                </w:p>
              </w:tc>
              <w:tc>
                <w:tcPr>
                  <w:tcW w:w="6222" w:type="dxa"/>
                  <w:tcBorders>
                    <w:tl2br w:val="nil"/>
                    <w:tr2bl w:val="nil"/>
                  </w:tcBorders>
                  <w:shd w:val="clear" w:color="auto" w:fill="auto"/>
                  <w:vAlign w:val="center"/>
                </w:tcPr>
                <w:p w14:paraId="7D3DEE1B">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color w:val="auto"/>
                      <w:spacing w:val="0"/>
                      <w:sz w:val="21"/>
                      <w:szCs w:val="21"/>
                    </w:rPr>
                    <w:t>有机氰化物生产过程中催化、精馏和过滤工序产生的废催化剂、釜底残余物和过滤介质</w:t>
                  </w:r>
                </w:p>
              </w:tc>
              <w:tc>
                <w:tcPr>
                  <w:tcW w:w="1005" w:type="dxa"/>
                  <w:tcBorders>
                    <w:tl2br w:val="nil"/>
                    <w:tr2bl w:val="nil"/>
                  </w:tcBorders>
                  <w:shd w:val="clear" w:color="auto" w:fill="auto"/>
                  <w:vAlign w:val="center"/>
                </w:tcPr>
                <w:p w14:paraId="776209DF">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color w:val="auto"/>
                      <w:spacing w:val="0"/>
                      <w:sz w:val="21"/>
                      <w:szCs w:val="21"/>
                    </w:rPr>
                    <w:t>T</w:t>
                  </w:r>
                </w:p>
              </w:tc>
              <w:tc>
                <w:tcPr>
                  <w:tcW w:w="1140" w:type="dxa"/>
                  <w:tcBorders>
                    <w:tl2br w:val="nil"/>
                    <w:tr2bl w:val="nil"/>
                  </w:tcBorders>
                  <w:shd w:val="clear" w:color="auto" w:fill="auto"/>
                  <w:vAlign w:val="center"/>
                </w:tcPr>
                <w:p w14:paraId="1956880F">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固态</w:t>
                  </w:r>
                </w:p>
              </w:tc>
              <w:tc>
                <w:tcPr>
                  <w:tcW w:w="1170" w:type="dxa"/>
                  <w:tcBorders>
                    <w:tl2br w:val="nil"/>
                    <w:tr2bl w:val="nil"/>
                  </w:tcBorders>
                  <w:shd w:val="clear" w:color="auto" w:fill="auto"/>
                  <w:vAlign w:val="center"/>
                </w:tcPr>
                <w:p w14:paraId="2F126A98">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桶装/袋装</w:t>
                  </w:r>
                </w:p>
              </w:tc>
            </w:tr>
            <w:tr w14:paraId="7721DE05">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06034794">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32D36283">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233" w:type="dxa"/>
                  <w:tcBorders>
                    <w:tl2br w:val="nil"/>
                    <w:tr2bl w:val="nil"/>
                  </w:tcBorders>
                  <w:shd w:val="clear" w:color="auto" w:fill="auto"/>
                  <w:vAlign w:val="center"/>
                </w:tcPr>
                <w:p w14:paraId="3F65B375">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color w:val="auto"/>
                      <w:spacing w:val="0"/>
                      <w:sz w:val="21"/>
                      <w:szCs w:val="21"/>
                    </w:rPr>
                    <w:t>261-069-38</w:t>
                  </w:r>
                </w:p>
              </w:tc>
              <w:tc>
                <w:tcPr>
                  <w:tcW w:w="6222" w:type="dxa"/>
                  <w:tcBorders>
                    <w:tl2br w:val="nil"/>
                    <w:tr2bl w:val="nil"/>
                  </w:tcBorders>
                  <w:shd w:val="clear" w:color="auto" w:fill="auto"/>
                  <w:vAlign w:val="center"/>
                </w:tcPr>
                <w:p w14:paraId="00C6169C">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lang w:val="en-US" w:eastAsia="en-US"/>
                    </w:rPr>
                  </w:pPr>
                  <w:r>
                    <w:rPr>
                      <w:rFonts w:hint="default" w:ascii="Times New Roman" w:hAnsi="Times New Roman" w:eastAsia="宋体" w:cs="Times New Roman"/>
                      <w:color w:val="auto"/>
                      <w:spacing w:val="0"/>
                      <w:sz w:val="21"/>
                      <w:szCs w:val="21"/>
                    </w:rPr>
                    <w:t>有机氰化物生产过程中产生的废水处理污泥</w:t>
                  </w:r>
                </w:p>
              </w:tc>
              <w:tc>
                <w:tcPr>
                  <w:tcW w:w="1005" w:type="dxa"/>
                  <w:tcBorders>
                    <w:tl2br w:val="nil"/>
                    <w:tr2bl w:val="nil"/>
                  </w:tcBorders>
                  <w:shd w:val="clear" w:color="auto" w:fill="auto"/>
                  <w:vAlign w:val="center"/>
                </w:tcPr>
                <w:p w14:paraId="304ED585">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color w:val="auto"/>
                      <w:spacing w:val="0"/>
                      <w:sz w:val="21"/>
                      <w:szCs w:val="21"/>
                    </w:rPr>
                    <w:t>T</w:t>
                  </w:r>
                </w:p>
              </w:tc>
              <w:tc>
                <w:tcPr>
                  <w:tcW w:w="1140" w:type="dxa"/>
                  <w:tcBorders>
                    <w:tl2br w:val="nil"/>
                    <w:tr2bl w:val="nil"/>
                  </w:tcBorders>
                  <w:shd w:val="clear" w:color="auto" w:fill="auto"/>
                  <w:vAlign w:val="center"/>
                </w:tcPr>
                <w:p w14:paraId="45741C13">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固态</w:t>
                  </w:r>
                </w:p>
              </w:tc>
              <w:tc>
                <w:tcPr>
                  <w:tcW w:w="1170" w:type="dxa"/>
                  <w:tcBorders>
                    <w:tl2br w:val="nil"/>
                    <w:tr2bl w:val="nil"/>
                  </w:tcBorders>
                  <w:shd w:val="clear" w:color="auto" w:fill="auto"/>
                  <w:vAlign w:val="center"/>
                </w:tcPr>
                <w:p w14:paraId="7D29B98B">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桶装</w:t>
                  </w:r>
                </w:p>
              </w:tc>
            </w:tr>
            <w:tr w14:paraId="2E900C82">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restart"/>
                  <w:tcBorders>
                    <w:tl2br w:val="nil"/>
                    <w:tr2bl w:val="nil"/>
                  </w:tcBorders>
                  <w:vAlign w:val="center"/>
                </w:tcPr>
                <w:p w14:paraId="20B826B4">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HW39</w:t>
                  </w:r>
                </w:p>
                <w:p w14:paraId="1145FE4F">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含酚废物</w:t>
                  </w:r>
                </w:p>
              </w:tc>
              <w:tc>
                <w:tcPr>
                  <w:tcW w:w="1134" w:type="dxa"/>
                  <w:vMerge w:val="restart"/>
                  <w:tcBorders>
                    <w:tl2br w:val="nil"/>
                    <w:tr2bl w:val="nil"/>
                  </w:tcBorders>
                  <w:vAlign w:val="center"/>
                </w:tcPr>
                <w:p w14:paraId="29CA8D13">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基础化学原料制造</w:t>
                  </w:r>
                </w:p>
              </w:tc>
              <w:tc>
                <w:tcPr>
                  <w:tcW w:w="1233" w:type="dxa"/>
                  <w:tcBorders>
                    <w:tl2br w:val="nil"/>
                    <w:tr2bl w:val="nil"/>
                  </w:tcBorders>
                  <w:vAlign w:val="center"/>
                </w:tcPr>
                <w:p w14:paraId="3BCA7BC2">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261-070-39</w:t>
                  </w:r>
                </w:p>
              </w:tc>
              <w:tc>
                <w:tcPr>
                  <w:tcW w:w="6222" w:type="dxa"/>
                  <w:tcBorders>
                    <w:tl2br w:val="nil"/>
                    <w:tr2bl w:val="nil"/>
                  </w:tcBorders>
                  <w:vAlign w:val="center"/>
                </w:tcPr>
                <w:p w14:paraId="1AD9024C">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酚及酚类化合物生产过程中产生的废母液和反应残余物</w:t>
                  </w:r>
                </w:p>
              </w:tc>
              <w:tc>
                <w:tcPr>
                  <w:tcW w:w="1005" w:type="dxa"/>
                  <w:tcBorders>
                    <w:tl2br w:val="nil"/>
                    <w:tr2bl w:val="nil"/>
                  </w:tcBorders>
                  <w:vAlign w:val="center"/>
                </w:tcPr>
                <w:p w14:paraId="17529399">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w:t>
                  </w:r>
                </w:p>
              </w:tc>
              <w:tc>
                <w:tcPr>
                  <w:tcW w:w="1140" w:type="dxa"/>
                  <w:tcBorders>
                    <w:tl2br w:val="nil"/>
                    <w:tr2bl w:val="nil"/>
                  </w:tcBorders>
                  <w:shd w:val="clear" w:color="auto" w:fill="auto"/>
                  <w:vAlign w:val="center"/>
                </w:tcPr>
                <w:p w14:paraId="1078D1CE">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液态/固态</w:t>
                  </w:r>
                </w:p>
              </w:tc>
              <w:tc>
                <w:tcPr>
                  <w:tcW w:w="1170" w:type="dxa"/>
                  <w:tcBorders>
                    <w:tl2br w:val="nil"/>
                    <w:tr2bl w:val="nil"/>
                  </w:tcBorders>
                  <w:shd w:val="clear" w:color="auto" w:fill="auto"/>
                  <w:vAlign w:val="center"/>
                </w:tcPr>
                <w:p w14:paraId="4B595093">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桶装/袋装</w:t>
                  </w:r>
                </w:p>
              </w:tc>
            </w:tr>
            <w:tr w14:paraId="6802D448">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58D58CA6">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414FF103">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233" w:type="dxa"/>
                  <w:tcBorders>
                    <w:tl2br w:val="nil"/>
                    <w:tr2bl w:val="nil"/>
                  </w:tcBorders>
                  <w:vAlign w:val="center"/>
                </w:tcPr>
                <w:p w14:paraId="6E245ED2">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261-071-39</w:t>
                  </w:r>
                </w:p>
              </w:tc>
              <w:tc>
                <w:tcPr>
                  <w:tcW w:w="6222" w:type="dxa"/>
                  <w:tcBorders>
                    <w:tl2br w:val="nil"/>
                    <w:tr2bl w:val="nil"/>
                  </w:tcBorders>
                  <w:vAlign w:val="center"/>
                </w:tcPr>
                <w:p w14:paraId="54492CB8">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酚及酚类化合物生产过程中产生的废过滤吸附介质、废催化剂、精馏残余物</w:t>
                  </w:r>
                </w:p>
              </w:tc>
              <w:tc>
                <w:tcPr>
                  <w:tcW w:w="1005" w:type="dxa"/>
                  <w:tcBorders>
                    <w:tl2br w:val="nil"/>
                    <w:tr2bl w:val="nil"/>
                  </w:tcBorders>
                  <w:vAlign w:val="center"/>
                </w:tcPr>
                <w:p w14:paraId="1B98ECBD">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w:t>
                  </w:r>
                </w:p>
              </w:tc>
              <w:tc>
                <w:tcPr>
                  <w:tcW w:w="1140" w:type="dxa"/>
                  <w:tcBorders>
                    <w:tl2br w:val="nil"/>
                    <w:tr2bl w:val="nil"/>
                  </w:tcBorders>
                  <w:shd w:val="clear" w:color="auto" w:fill="auto"/>
                  <w:vAlign w:val="center"/>
                </w:tcPr>
                <w:p w14:paraId="5AC54281">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液态/固态</w:t>
                  </w:r>
                </w:p>
              </w:tc>
              <w:tc>
                <w:tcPr>
                  <w:tcW w:w="1170" w:type="dxa"/>
                  <w:tcBorders>
                    <w:tl2br w:val="nil"/>
                    <w:tr2bl w:val="nil"/>
                  </w:tcBorders>
                  <w:shd w:val="clear" w:color="auto" w:fill="auto"/>
                  <w:vAlign w:val="center"/>
                </w:tcPr>
                <w:p w14:paraId="4F8C39B5">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桶装/袋装</w:t>
                  </w:r>
                </w:p>
              </w:tc>
            </w:tr>
            <w:tr w14:paraId="23F96104">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tcBorders>
                    <w:tl2br w:val="nil"/>
                    <w:tr2bl w:val="nil"/>
                  </w:tcBorders>
                  <w:vAlign w:val="center"/>
                </w:tcPr>
                <w:p w14:paraId="411A319E">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HW40</w:t>
                  </w:r>
                </w:p>
                <w:p w14:paraId="303AF52E">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含醚废物</w:t>
                  </w:r>
                </w:p>
              </w:tc>
              <w:tc>
                <w:tcPr>
                  <w:tcW w:w="1134" w:type="dxa"/>
                  <w:tcBorders>
                    <w:tl2br w:val="nil"/>
                    <w:tr2bl w:val="nil"/>
                  </w:tcBorders>
                  <w:vAlign w:val="center"/>
                </w:tcPr>
                <w:p w14:paraId="1FDAAF30">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基础化学原料制造</w:t>
                  </w:r>
                </w:p>
              </w:tc>
              <w:tc>
                <w:tcPr>
                  <w:tcW w:w="1233" w:type="dxa"/>
                  <w:tcBorders>
                    <w:tl2br w:val="nil"/>
                    <w:tr2bl w:val="nil"/>
                  </w:tcBorders>
                  <w:vAlign w:val="center"/>
                </w:tcPr>
                <w:p w14:paraId="3BCEA8ED">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261-072-40</w:t>
                  </w:r>
                </w:p>
              </w:tc>
              <w:tc>
                <w:tcPr>
                  <w:tcW w:w="6222" w:type="dxa"/>
                  <w:tcBorders>
                    <w:tl2br w:val="nil"/>
                    <w:tr2bl w:val="nil"/>
                  </w:tcBorders>
                  <w:vAlign w:val="center"/>
                </w:tcPr>
                <w:p w14:paraId="45A3894F">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醚及醚类化合物生产过程中产生的醚类残液、反应残余物、废水处理污泥（不包括废水生化处理污泥）</w:t>
                  </w:r>
                </w:p>
              </w:tc>
              <w:tc>
                <w:tcPr>
                  <w:tcW w:w="1005" w:type="dxa"/>
                  <w:tcBorders>
                    <w:tl2br w:val="nil"/>
                    <w:tr2bl w:val="nil"/>
                  </w:tcBorders>
                  <w:vAlign w:val="center"/>
                </w:tcPr>
                <w:p w14:paraId="03805F52">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w:t>
                  </w:r>
                </w:p>
              </w:tc>
              <w:tc>
                <w:tcPr>
                  <w:tcW w:w="1140" w:type="dxa"/>
                  <w:tcBorders>
                    <w:tl2br w:val="nil"/>
                    <w:tr2bl w:val="nil"/>
                  </w:tcBorders>
                  <w:shd w:val="clear" w:color="auto" w:fill="auto"/>
                  <w:vAlign w:val="center"/>
                </w:tcPr>
                <w:p w14:paraId="7B6BD4EC">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液态/固态</w:t>
                  </w:r>
                </w:p>
              </w:tc>
              <w:tc>
                <w:tcPr>
                  <w:tcW w:w="1170" w:type="dxa"/>
                  <w:tcBorders>
                    <w:tl2br w:val="nil"/>
                    <w:tr2bl w:val="nil"/>
                  </w:tcBorders>
                  <w:shd w:val="clear" w:color="auto" w:fill="auto"/>
                  <w:vAlign w:val="center"/>
                </w:tcPr>
                <w:p w14:paraId="0EE9811E">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桶装/袋装</w:t>
                  </w:r>
                </w:p>
              </w:tc>
            </w:tr>
            <w:tr w14:paraId="14A87B79">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550" w:hRule="atLeast"/>
              </w:trPr>
              <w:tc>
                <w:tcPr>
                  <w:tcW w:w="1096" w:type="dxa"/>
                  <w:tcBorders>
                    <w:tl2br w:val="nil"/>
                    <w:tr2bl w:val="nil"/>
                  </w:tcBorders>
                  <w:vAlign w:val="center"/>
                </w:tcPr>
                <w:p w14:paraId="701FF115">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HW45</w:t>
                  </w:r>
                </w:p>
                <w:p w14:paraId="6EA9E87C">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含有机卤化物废物</w:t>
                  </w:r>
                </w:p>
              </w:tc>
              <w:tc>
                <w:tcPr>
                  <w:tcW w:w="1134" w:type="dxa"/>
                  <w:tcBorders>
                    <w:tl2br w:val="nil"/>
                    <w:tr2bl w:val="nil"/>
                  </w:tcBorders>
                  <w:vAlign w:val="center"/>
                </w:tcPr>
                <w:p w14:paraId="373CA47C">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基础化学原料制造</w:t>
                  </w:r>
                </w:p>
              </w:tc>
              <w:tc>
                <w:tcPr>
                  <w:tcW w:w="1233" w:type="dxa"/>
                  <w:tcBorders>
                    <w:tl2br w:val="nil"/>
                    <w:tr2bl w:val="nil"/>
                  </w:tcBorders>
                  <w:shd w:val="clear" w:color="auto" w:fill="auto"/>
                  <w:vAlign w:val="center"/>
                </w:tcPr>
                <w:p w14:paraId="35018743">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color w:val="auto"/>
                      <w:spacing w:val="0"/>
                      <w:sz w:val="21"/>
                      <w:szCs w:val="21"/>
                    </w:rPr>
                    <w:t>261-084-45</w:t>
                  </w:r>
                </w:p>
              </w:tc>
              <w:tc>
                <w:tcPr>
                  <w:tcW w:w="6222" w:type="dxa"/>
                  <w:tcBorders>
                    <w:tl2br w:val="nil"/>
                    <w:tr2bl w:val="nil"/>
                  </w:tcBorders>
                  <w:shd w:val="clear" w:color="auto" w:fill="auto"/>
                  <w:vAlign w:val="center"/>
                </w:tcPr>
                <w:p w14:paraId="47795A85">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color w:val="auto"/>
                      <w:spacing w:val="-6"/>
                      <w:sz w:val="21"/>
                      <w:szCs w:val="21"/>
                    </w:rPr>
                    <w:t>其他有机卤化物的生产过程（不包括卤化前的生产工段）中产生的残液、废过滤吸附介质、反应残余物、废水处理污泥、废催化剂（不包括上述HW04、HW06、HW11、HW12、HW13、HW39类别的废物）</w:t>
                  </w:r>
                </w:p>
              </w:tc>
              <w:tc>
                <w:tcPr>
                  <w:tcW w:w="1005" w:type="dxa"/>
                  <w:tcBorders>
                    <w:tl2br w:val="nil"/>
                    <w:tr2bl w:val="nil"/>
                  </w:tcBorders>
                  <w:shd w:val="clear" w:color="auto" w:fill="auto"/>
                  <w:vAlign w:val="center"/>
                </w:tcPr>
                <w:p w14:paraId="78C3790E">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color w:val="auto"/>
                      <w:spacing w:val="0"/>
                      <w:sz w:val="21"/>
                      <w:szCs w:val="21"/>
                    </w:rPr>
                    <w:t>T</w:t>
                  </w:r>
                </w:p>
              </w:tc>
              <w:tc>
                <w:tcPr>
                  <w:tcW w:w="1140" w:type="dxa"/>
                  <w:tcBorders>
                    <w:tl2br w:val="nil"/>
                    <w:tr2bl w:val="nil"/>
                  </w:tcBorders>
                  <w:shd w:val="clear" w:color="auto" w:fill="auto"/>
                  <w:vAlign w:val="center"/>
                </w:tcPr>
                <w:p w14:paraId="08C0588F">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液态/固态</w:t>
                  </w:r>
                </w:p>
              </w:tc>
              <w:tc>
                <w:tcPr>
                  <w:tcW w:w="1170" w:type="dxa"/>
                  <w:tcBorders>
                    <w:tl2br w:val="nil"/>
                    <w:tr2bl w:val="nil"/>
                  </w:tcBorders>
                  <w:shd w:val="clear" w:color="auto" w:fill="auto"/>
                  <w:vAlign w:val="center"/>
                </w:tcPr>
                <w:p w14:paraId="5E22A833">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桶装/袋装</w:t>
                  </w:r>
                </w:p>
              </w:tc>
            </w:tr>
            <w:tr w14:paraId="49763950">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tcBorders>
                    <w:tl2br w:val="nil"/>
                    <w:tr2bl w:val="nil"/>
                  </w:tcBorders>
                  <w:vAlign w:val="center"/>
                </w:tcPr>
                <w:p w14:paraId="1869175D">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HW46</w:t>
                  </w:r>
                </w:p>
                <w:p w14:paraId="79F7F6D7">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含镍废物</w:t>
                  </w:r>
                </w:p>
              </w:tc>
              <w:tc>
                <w:tcPr>
                  <w:tcW w:w="1134" w:type="dxa"/>
                  <w:tcBorders>
                    <w:tl2br w:val="nil"/>
                    <w:tr2bl w:val="nil"/>
                  </w:tcBorders>
                  <w:shd w:val="clear" w:color="auto" w:fill="auto"/>
                  <w:vAlign w:val="center"/>
                </w:tcPr>
                <w:p w14:paraId="5417CEE4">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color w:val="auto"/>
                      <w:spacing w:val="-6"/>
                      <w:sz w:val="21"/>
                      <w:szCs w:val="21"/>
                    </w:rPr>
                    <w:t>非特定行业</w:t>
                  </w:r>
                </w:p>
              </w:tc>
              <w:tc>
                <w:tcPr>
                  <w:tcW w:w="1233" w:type="dxa"/>
                  <w:tcBorders>
                    <w:tl2br w:val="nil"/>
                    <w:tr2bl w:val="nil"/>
                  </w:tcBorders>
                  <w:shd w:val="clear" w:color="auto" w:fill="auto"/>
                  <w:vAlign w:val="center"/>
                </w:tcPr>
                <w:p w14:paraId="07EA2DDF">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color w:val="auto"/>
                      <w:spacing w:val="0"/>
                      <w:sz w:val="21"/>
                      <w:szCs w:val="21"/>
                    </w:rPr>
                    <w:t>900-037-46</w:t>
                  </w:r>
                </w:p>
              </w:tc>
              <w:tc>
                <w:tcPr>
                  <w:tcW w:w="6222" w:type="dxa"/>
                  <w:tcBorders>
                    <w:tl2br w:val="nil"/>
                    <w:tr2bl w:val="nil"/>
                  </w:tcBorders>
                  <w:shd w:val="clear" w:color="auto" w:fill="auto"/>
                  <w:vAlign w:val="center"/>
                </w:tcPr>
                <w:p w14:paraId="0B80723A">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color w:val="auto"/>
                      <w:spacing w:val="0"/>
                      <w:sz w:val="21"/>
                      <w:szCs w:val="21"/>
                    </w:rPr>
                    <w:t>废弃的镍催化剂</w:t>
                  </w:r>
                </w:p>
              </w:tc>
              <w:tc>
                <w:tcPr>
                  <w:tcW w:w="1005" w:type="dxa"/>
                  <w:tcBorders>
                    <w:tl2br w:val="nil"/>
                    <w:tr2bl w:val="nil"/>
                  </w:tcBorders>
                  <w:shd w:val="clear" w:color="auto" w:fill="auto"/>
                  <w:vAlign w:val="center"/>
                </w:tcPr>
                <w:p w14:paraId="71445371">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color w:val="auto"/>
                      <w:spacing w:val="0"/>
                      <w:sz w:val="21"/>
                      <w:szCs w:val="21"/>
                    </w:rPr>
                    <w:t>T，I</w:t>
                  </w:r>
                </w:p>
              </w:tc>
              <w:tc>
                <w:tcPr>
                  <w:tcW w:w="1140" w:type="dxa"/>
                  <w:tcBorders>
                    <w:tl2br w:val="nil"/>
                    <w:tr2bl w:val="nil"/>
                  </w:tcBorders>
                  <w:shd w:val="clear" w:color="auto" w:fill="auto"/>
                  <w:vAlign w:val="center"/>
                </w:tcPr>
                <w:p w14:paraId="2DFF86E4">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固态</w:t>
                  </w:r>
                </w:p>
              </w:tc>
              <w:tc>
                <w:tcPr>
                  <w:tcW w:w="1170" w:type="dxa"/>
                  <w:tcBorders>
                    <w:tl2br w:val="nil"/>
                    <w:tr2bl w:val="nil"/>
                  </w:tcBorders>
                  <w:shd w:val="clear" w:color="auto" w:fill="auto"/>
                  <w:vAlign w:val="center"/>
                </w:tcPr>
                <w:p w14:paraId="36646874">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eastAsia" w:ascii="Times New Roman" w:hAnsi="Times New Roman" w:eastAsia="宋体" w:cs="Times New Roman"/>
                      <w:color w:val="auto"/>
                      <w:spacing w:val="0"/>
                      <w:sz w:val="21"/>
                      <w:szCs w:val="21"/>
                      <w:lang w:val="en-US" w:eastAsia="zh-CN"/>
                    </w:rPr>
                  </w:pPr>
                  <w:r>
                    <w:rPr>
                      <w:rFonts w:hint="eastAsia" w:ascii="Times New Roman" w:hAnsi="Times New Roman" w:cs="Times New Roman"/>
                      <w:color w:val="auto"/>
                      <w:spacing w:val="0"/>
                      <w:sz w:val="21"/>
                      <w:szCs w:val="21"/>
                      <w:lang w:val="en-US" w:eastAsia="zh-CN"/>
                    </w:rPr>
                    <w:t>袋装</w:t>
                  </w:r>
                </w:p>
              </w:tc>
            </w:tr>
            <w:tr w14:paraId="71A4165B">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restart"/>
                  <w:tcBorders>
                    <w:tl2br w:val="nil"/>
                    <w:tr2bl w:val="nil"/>
                  </w:tcBorders>
                  <w:vAlign w:val="center"/>
                </w:tcPr>
                <w:p w14:paraId="6CFC752E">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HW49</w:t>
                  </w:r>
                </w:p>
                <w:p w14:paraId="05751BC4">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其他废物</w:t>
                  </w:r>
                </w:p>
              </w:tc>
              <w:tc>
                <w:tcPr>
                  <w:tcW w:w="1134" w:type="dxa"/>
                  <w:tcBorders>
                    <w:tl2br w:val="nil"/>
                    <w:tr2bl w:val="nil"/>
                  </w:tcBorders>
                  <w:shd w:val="clear" w:color="auto" w:fill="auto"/>
                  <w:vAlign w:val="center"/>
                </w:tcPr>
                <w:p w14:paraId="2E06A247">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color w:val="auto"/>
                      <w:spacing w:val="0"/>
                      <w:sz w:val="21"/>
                      <w:szCs w:val="21"/>
                    </w:rPr>
                    <w:t>环境治理</w:t>
                  </w:r>
                </w:p>
              </w:tc>
              <w:tc>
                <w:tcPr>
                  <w:tcW w:w="1233" w:type="dxa"/>
                  <w:tcBorders>
                    <w:tl2br w:val="nil"/>
                    <w:tr2bl w:val="nil"/>
                  </w:tcBorders>
                  <w:shd w:val="clear" w:color="auto" w:fill="auto"/>
                  <w:vAlign w:val="center"/>
                </w:tcPr>
                <w:p w14:paraId="4C591CE8">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color w:val="auto"/>
                      <w:spacing w:val="0"/>
                      <w:sz w:val="21"/>
                      <w:szCs w:val="21"/>
                    </w:rPr>
                    <w:t>772-006-49</w:t>
                  </w:r>
                </w:p>
              </w:tc>
              <w:tc>
                <w:tcPr>
                  <w:tcW w:w="6222" w:type="dxa"/>
                  <w:tcBorders>
                    <w:tl2br w:val="nil"/>
                    <w:tr2bl w:val="nil"/>
                  </w:tcBorders>
                  <w:shd w:val="clear" w:color="auto" w:fill="auto"/>
                  <w:vAlign w:val="center"/>
                </w:tcPr>
                <w:p w14:paraId="0AB5D4AE">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color w:val="auto"/>
                      <w:spacing w:val="0"/>
                      <w:sz w:val="21"/>
                      <w:szCs w:val="21"/>
                    </w:rPr>
                    <w:t>采用物理、化学、物理化学或生物方法处理或处置毒性或感染性危险废物过程中产生的废水处理污泥、残渣（液）</w:t>
                  </w:r>
                </w:p>
              </w:tc>
              <w:tc>
                <w:tcPr>
                  <w:tcW w:w="1005" w:type="dxa"/>
                  <w:tcBorders>
                    <w:tl2br w:val="nil"/>
                    <w:tr2bl w:val="nil"/>
                  </w:tcBorders>
                  <w:shd w:val="clear" w:color="auto" w:fill="auto"/>
                  <w:vAlign w:val="center"/>
                </w:tcPr>
                <w:p w14:paraId="7879B490">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color w:val="auto"/>
                      <w:spacing w:val="0"/>
                      <w:sz w:val="21"/>
                      <w:szCs w:val="21"/>
                    </w:rPr>
                    <w:t>T/In</w:t>
                  </w:r>
                </w:p>
              </w:tc>
              <w:tc>
                <w:tcPr>
                  <w:tcW w:w="1140" w:type="dxa"/>
                  <w:tcBorders>
                    <w:tl2br w:val="nil"/>
                    <w:tr2bl w:val="nil"/>
                  </w:tcBorders>
                  <w:shd w:val="clear" w:color="auto" w:fill="auto"/>
                  <w:vAlign w:val="center"/>
                </w:tcPr>
                <w:p w14:paraId="43D23B7C">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液态/固态</w:t>
                  </w:r>
                </w:p>
              </w:tc>
              <w:tc>
                <w:tcPr>
                  <w:tcW w:w="1170" w:type="dxa"/>
                  <w:tcBorders>
                    <w:tl2br w:val="nil"/>
                    <w:tr2bl w:val="nil"/>
                  </w:tcBorders>
                  <w:shd w:val="clear" w:color="auto" w:fill="auto"/>
                  <w:vAlign w:val="center"/>
                </w:tcPr>
                <w:p w14:paraId="44F70D36">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桶装/袋装</w:t>
                  </w:r>
                </w:p>
              </w:tc>
            </w:tr>
            <w:tr w14:paraId="5DAF1850">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0475276B">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restart"/>
                  <w:tcBorders>
                    <w:tl2br w:val="nil"/>
                    <w:tr2bl w:val="nil"/>
                  </w:tcBorders>
                  <w:vAlign w:val="center"/>
                </w:tcPr>
                <w:p w14:paraId="1B24CB69">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6"/>
                      <w:sz w:val="21"/>
                      <w:szCs w:val="21"/>
                    </w:rPr>
                    <w:t>非特定行业</w:t>
                  </w:r>
                </w:p>
              </w:tc>
              <w:tc>
                <w:tcPr>
                  <w:tcW w:w="1233" w:type="dxa"/>
                  <w:tcBorders>
                    <w:tl2br w:val="nil"/>
                    <w:tr2bl w:val="nil"/>
                  </w:tcBorders>
                  <w:vAlign w:val="center"/>
                </w:tcPr>
                <w:p w14:paraId="46E352E9">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900-039-49</w:t>
                  </w:r>
                </w:p>
              </w:tc>
              <w:tc>
                <w:tcPr>
                  <w:tcW w:w="6222" w:type="dxa"/>
                  <w:tcBorders>
                    <w:tl2br w:val="nil"/>
                    <w:tr2bl w:val="nil"/>
                  </w:tcBorders>
                  <w:vAlign w:val="center"/>
                </w:tcPr>
                <w:p w14:paraId="55313EBA">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烟气、</w:t>
                  </w:r>
                  <w:r>
                    <w:rPr>
                      <w:rFonts w:hint="eastAsia" w:ascii="Times New Roman" w:hAnsi="Times New Roman" w:cs="Times New Roman"/>
                      <w:color w:val="auto"/>
                      <w:spacing w:val="0"/>
                      <w:sz w:val="21"/>
                      <w:szCs w:val="21"/>
                      <w:lang w:eastAsia="zh-CN"/>
                    </w:rPr>
                    <w:t>VOCs（以非甲烷总烃计）</w:t>
                  </w:r>
                  <w:r>
                    <w:rPr>
                      <w:rFonts w:hint="default" w:ascii="Times New Roman" w:hAnsi="Times New Roman" w:eastAsia="宋体" w:cs="Times New Roman"/>
                      <w:color w:val="auto"/>
                      <w:spacing w:val="0"/>
                      <w:sz w:val="21"/>
                      <w:szCs w:val="21"/>
                    </w:rPr>
                    <w:t>治理过程（不包括餐饮行业油烟治理过程）产生的废活性炭，化学原料和化学制品脱色（不包括有机合成食品添加剂脱色）、除杂、净化过程产生的废活性炭（不包括900-405-06、772-005-18、261-053-29、265-002-29、384-003-29、387-001-29类废物）</w:t>
                  </w:r>
                </w:p>
              </w:tc>
              <w:tc>
                <w:tcPr>
                  <w:tcW w:w="1005" w:type="dxa"/>
                  <w:tcBorders>
                    <w:tl2br w:val="nil"/>
                    <w:tr2bl w:val="nil"/>
                  </w:tcBorders>
                  <w:vAlign w:val="center"/>
                </w:tcPr>
                <w:p w14:paraId="1F2E52A9">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w:t>
                  </w:r>
                </w:p>
              </w:tc>
              <w:tc>
                <w:tcPr>
                  <w:tcW w:w="1140" w:type="dxa"/>
                  <w:tcBorders>
                    <w:tl2br w:val="nil"/>
                    <w:tr2bl w:val="nil"/>
                  </w:tcBorders>
                  <w:shd w:val="clear" w:color="auto" w:fill="auto"/>
                  <w:vAlign w:val="center"/>
                </w:tcPr>
                <w:p w14:paraId="54430980">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固态</w:t>
                  </w:r>
                </w:p>
              </w:tc>
              <w:tc>
                <w:tcPr>
                  <w:tcW w:w="1170" w:type="dxa"/>
                  <w:tcBorders>
                    <w:tl2br w:val="nil"/>
                    <w:tr2bl w:val="nil"/>
                  </w:tcBorders>
                  <w:shd w:val="clear" w:color="auto" w:fill="auto"/>
                  <w:vAlign w:val="center"/>
                </w:tcPr>
                <w:p w14:paraId="69A79F63">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zh-CN" w:bidi="ar-SA"/>
                    </w:rPr>
                  </w:pPr>
                  <w:r>
                    <w:rPr>
                      <w:rFonts w:hint="eastAsia" w:ascii="Times New Roman" w:hAnsi="Times New Roman" w:cs="Times New Roman"/>
                      <w:color w:val="auto"/>
                      <w:spacing w:val="0"/>
                      <w:sz w:val="21"/>
                      <w:szCs w:val="21"/>
                      <w:lang w:val="en-US" w:eastAsia="zh-CN"/>
                    </w:rPr>
                    <w:t>袋装</w:t>
                  </w:r>
                </w:p>
              </w:tc>
            </w:tr>
            <w:tr w14:paraId="47CAF4B8">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2385088C">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5D5C9BAA">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233" w:type="dxa"/>
                  <w:tcBorders>
                    <w:tl2br w:val="nil"/>
                    <w:tr2bl w:val="nil"/>
                  </w:tcBorders>
                  <w:vAlign w:val="center"/>
                </w:tcPr>
                <w:p w14:paraId="7AC84E68">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900-041-49</w:t>
                  </w:r>
                </w:p>
              </w:tc>
              <w:tc>
                <w:tcPr>
                  <w:tcW w:w="6222" w:type="dxa"/>
                  <w:tcBorders>
                    <w:tl2br w:val="nil"/>
                    <w:tr2bl w:val="nil"/>
                  </w:tcBorders>
                  <w:vAlign w:val="center"/>
                </w:tcPr>
                <w:p w14:paraId="1C864419">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6"/>
                      <w:sz w:val="21"/>
                      <w:szCs w:val="21"/>
                    </w:rPr>
                    <w:t>含有或沾染毒性、感染性危险废物的废弃包装物、容器、过滤吸附介质</w:t>
                  </w:r>
                </w:p>
              </w:tc>
              <w:tc>
                <w:tcPr>
                  <w:tcW w:w="1005" w:type="dxa"/>
                  <w:tcBorders>
                    <w:tl2br w:val="nil"/>
                    <w:tr2bl w:val="nil"/>
                  </w:tcBorders>
                  <w:vAlign w:val="center"/>
                </w:tcPr>
                <w:p w14:paraId="0B3675C9">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T/In</w:t>
                  </w:r>
                </w:p>
              </w:tc>
              <w:tc>
                <w:tcPr>
                  <w:tcW w:w="1140" w:type="dxa"/>
                  <w:tcBorders>
                    <w:tl2br w:val="nil"/>
                    <w:tr2bl w:val="nil"/>
                  </w:tcBorders>
                  <w:shd w:val="clear" w:color="auto" w:fill="auto"/>
                  <w:vAlign w:val="center"/>
                </w:tcPr>
                <w:p w14:paraId="548C61EC">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固态</w:t>
                  </w:r>
                </w:p>
              </w:tc>
              <w:tc>
                <w:tcPr>
                  <w:tcW w:w="1170" w:type="dxa"/>
                  <w:tcBorders>
                    <w:tl2br w:val="nil"/>
                    <w:tr2bl w:val="nil"/>
                  </w:tcBorders>
                  <w:shd w:val="clear" w:color="auto" w:fill="auto"/>
                  <w:vAlign w:val="center"/>
                </w:tcPr>
                <w:p w14:paraId="537A6F80">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zh-CN" w:bidi="ar-SA"/>
                    </w:rPr>
                  </w:pPr>
                  <w:r>
                    <w:rPr>
                      <w:rFonts w:hint="eastAsia" w:ascii="Times New Roman" w:hAnsi="Times New Roman" w:cs="Times New Roman"/>
                      <w:color w:val="auto"/>
                      <w:spacing w:val="0"/>
                      <w:sz w:val="21"/>
                      <w:szCs w:val="21"/>
                      <w:lang w:val="en-US" w:eastAsia="zh-CN"/>
                    </w:rPr>
                    <w:t>袋装</w:t>
                  </w:r>
                </w:p>
              </w:tc>
            </w:tr>
            <w:tr w14:paraId="44B82D73">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7EC1ED30">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7000E4F6">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233" w:type="dxa"/>
                  <w:tcBorders>
                    <w:tl2br w:val="nil"/>
                    <w:tr2bl w:val="nil"/>
                  </w:tcBorders>
                  <w:vAlign w:val="center"/>
                </w:tcPr>
                <w:p w14:paraId="6787E089">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900-044-49</w:t>
                  </w:r>
                </w:p>
              </w:tc>
              <w:tc>
                <w:tcPr>
                  <w:tcW w:w="6222" w:type="dxa"/>
                  <w:tcBorders>
                    <w:tl2br w:val="nil"/>
                    <w:tr2bl w:val="nil"/>
                  </w:tcBorders>
                  <w:vAlign w:val="center"/>
                </w:tcPr>
                <w:p w14:paraId="4C36C458">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废弃的镉镍电池、荧光粉和阴极射线管</w:t>
                  </w:r>
                </w:p>
              </w:tc>
              <w:tc>
                <w:tcPr>
                  <w:tcW w:w="1005" w:type="dxa"/>
                  <w:tcBorders>
                    <w:tl2br w:val="nil"/>
                    <w:tr2bl w:val="nil"/>
                  </w:tcBorders>
                  <w:vAlign w:val="center"/>
                </w:tcPr>
                <w:p w14:paraId="50C1934E">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w:t>
                  </w:r>
                </w:p>
              </w:tc>
              <w:tc>
                <w:tcPr>
                  <w:tcW w:w="1140" w:type="dxa"/>
                  <w:tcBorders>
                    <w:tl2br w:val="nil"/>
                    <w:tr2bl w:val="nil"/>
                  </w:tcBorders>
                  <w:shd w:val="clear" w:color="auto" w:fill="auto"/>
                  <w:vAlign w:val="center"/>
                </w:tcPr>
                <w:p w14:paraId="6E748AAD">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固态</w:t>
                  </w:r>
                </w:p>
              </w:tc>
              <w:tc>
                <w:tcPr>
                  <w:tcW w:w="1170" w:type="dxa"/>
                  <w:tcBorders>
                    <w:tl2br w:val="nil"/>
                    <w:tr2bl w:val="nil"/>
                  </w:tcBorders>
                  <w:shd w:val="clear" w:color="auto" w:fill="auto"/>
                  <w:vAlign w:val="center"/>
                </w:tcPr>
                <w:p w14:paraId="0AC47C31">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zh-CN" w:bidi="ar-SA"/>
                    </w:rPr>
                  </w:pPr>
                  <w:r>
                    <w:rPr>
                      <w:rFonts w:hint="eastAsia" w:ascii="Times New Roman" w:hAnsi="Times New Roman" w:cs="Times New Roman"/>
                      <w:color w:val="auto"/>
                      <w:spacing w:val="0"/>
                      <w:sz w:val="21"/>
                      <w:szCs w:val="21"/>
                      <w:lang w:val="en-US" w:eastAsia="zh-CN"/>
                    </w:rPr>
                    <w:t>袋装</w:t>
                  </w:r>
                </w:p>
              </w:tc>
            </w:tr>
            <w:tr w14:paraId="0DD80B15">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2B89E9C2">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1611C6BB">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233" w:type="dxa"/>
                  <w:tcBorders>
                    <w:tl2br w:val="nil"/>
                    <w:tr2bl w:val="nil"/>
                  </w:tcBorders>
                  <w:vAlign w:val="center"/>
                </w:tcPr>
                <w:p w14:paraId="5A60AAF6">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900-045-49</w:t>
                  </w:r>
                </w:p>
              </w:tc>
              <w:tc>
                <w:tcPr>
                  <w:tcW w:w="6222" w:type="dxa"/>
                  <w:tcBorders>
                    <w:tl2br w:val="nil"/>
                    <w:tr2bl w:val="nil"/>
                  </w:tcBorders>
                  <w:vAlign w:val="center"/>
                </w:tcPr>
                <w:p w14:paraId="384F912B">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废电路板（包括已拆除或未拆除元器件的废弃电路板），及废电路板拆解过程产生的废弃CPU、显卡、声卡、内存、含电解液的电容器、含金等贵金属的连接件</w:t>
                  </w:r>
                </w:p>
              </w:tc>
              <w:tc>
                <w:tcPr>
                  <w:tcW w:w="1005" w:type="dxa"/>
                  <w:tcBorders>
                    <w:tl2br w:val="nil"/>
                    <w:tr2bl w:val="nil"/>
                  </w:tcBorders>
                  <w:vAlign w:val="center"/>
                </w:tcPr>
                <w:p w14:paraId="5CC297EC">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w:t>
                  </w:r>
                </w:p>
              </w:tc>
              <w:tc>
                <w:tcPr>
                  <w:tcW w:w="1140" w:type="dxa"/>
                  <w:tcBorders>
                    <w:tl2br w:val="nil"/>
                    <w:tr2bl w:val="nil"/>
                  </w:tcBorders>
                  <w:shd w:val="clear" w:color="auto" w:fill="auto"/>
                  <w:vAlign w:val="center"/>
                </w:tcPr>
                <w:p w14:paraId="24302063">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固态</w:t>
                  </w:r>
                </w:p>
              </w:tc>
              <w:tc>
                <w:tcPr>
                  <w:tcW w:w="1170" w:type="dxa"/>
                  <w:tcBorders>
                    <w:tl2br w:val="nil"/>
                    <w:tr2bl w:val="nil"/>
                  </w:tcBorders>
                  <w:shd w:val="clear" w:color="auto" w:fill="auto"/>
                  <w:vAlign w:val="center"/>
                </w:tcPr>
                <w:p w14:paraId="04963BBD">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zh-CN" w:bidi="ar-SA"/>
                    </w:rPr>
                  </w:pPr>
                  <w:r>
                    <w:rPr>
                      <w:rFonts w:hint="eastAsia" w:ascii="Times New Roman" w:hAnsi="Times New Roman" w:cs="Times New Roman"/>
                      <w:color w:val="auto"/>
                      <w:spacing w:val="0"/>
                      <w:sz w:val="21"/>
                      <w:szCs w:val="21"/>
                      <w:lang w:val="en-US" w:eastAsia="zh-CN"/>
                    </w:rPr>
                    <w:t>袋装</w:t>
                  </w:r>
                </w:p>
              </w:tc>
            </w:tr>
            <w:tr w14:paraId="6BE75986">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45B1B26E">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706D543C">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233" w:type="dxa"/>
                  <w:tcBorders>
                    <w:tl2br w:val="nil"/>
                    <w:tr2bl w:val="nil"/>
                  </w:tcBorders>
                  <w:vAlign w:val="center"/>
                </w:tcPr>
                <w:p w14:paraId="54E903E5">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900-046-49</w:t>
                  </w:r>
                </w:p>
              </w:tc>
              <w:tc>
                <w:tcPr>
                  <w:tcW w:w="6222" w:type="dxa"/>
                  <w:tcBorders>
                    <w:tl2br w:val="nil"/>
                    <w:tr2bl w:val="nil"/>
                  </w:tcBorders>
                  <w:vAlign w:val="center"/>
                </w:tcPr>
                <w:p w14:paraId="6E0D5EAD">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离子交换装置（不包括饮用水、工业纯水和锅炉软化水制备装置）再生过程中产生的废水处理污泥</w:t>
                  </w:r>
                </w:p>
              </w:tc>
              <w:tc>
                <w:tcPr>
                  <w:tcW w:w="1005" w:type="dxa"/>
                  <w:tcBorders>
                    <w:tl2br w:val="nil"/>
                    <w:tr2bl w:val="nil"/>
                  </w:tcBorders>
                  <w:vAlign w:val="center"/>
                </w:tcPr>
                <w:p w14:paraId="3D872E37">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w:t>
                  </w:r>
                </w:p>
              </w:tc>
              <w:tc>
                <w:tcPr>
                  <w:tcW w:w="1140" w:type="dxa"/>
                  <w:tcBorders>
                    <w:tl2br w:val="nil"/>
                    <w:tr2bl w:val="nil"/>
                  </w:tcBorders>
                  <w:vAlign w:val="center"/>
                </w:tcPr>
                <w:p w14:paraId="12BB7C5C">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固态</w:t>
                  </w:r>
                </w:p>
              </w:tc>
              <w:tc>
                <w:tcPr>
                  <w:tcW w:w="1170" w:type="dxa"/>
                  <w:tcBorders>
                    <w:tl2br w:val="nil"/>
                    <w:tr2bl w:val="nil"/>
                  </w:tcBorders>
                  <w:vAlign w:val="center"/>
                </w:tcPr>
                <w:p w14:paraId="2DDD654C">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eastAsia" w:ascii="Times New Roman" w:hAnsi="Times New Roman" w:eastAsia="宋体" w:cs="Times New Roman"/>
                      <w:color w:val="auto"/>
                      <w:spacing w:val="0"/>
                      <w:sz w:val="21"/>
                      <w:szCs w:val="21"/>
                      <w:lang w:val="en-US" w:eastAsia="zh-CN"/>
                    </w:rPr>
                  </w:pPr>
                  <w:r>
                    <w:rPr>
                      <w:rFonts w:hint="eastAsia" w:ascii="Times New Roman" w:hAnsi="Times New Roman" w:cs="Times New Roman"/>
                      <w:color w:val="auto"/>
                      <w:spacing w:val="0"/>
                      <w:sz w:val="21"/>
                      <w:szCs w:val="21"/>
                      <w:lang w:val="en-US" w:eastAsia="zh-CN"/>
                    </w:rPr>
                    <w:t>桶装</w:t>
                  </w:r>
                </w:p>
              </w:tc>
            </w:tr>
            <w:tr w14:paraId="18FC4F84">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4B1B1389">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46B714C9">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233" w:type="dxa"/>
                  <w:tcBorders>
                    <w:tl2br w:val="nil"/>
                    <w:tr2bl w:val="nil"/>
                  </w:tcBorders>
                  <w:vAlign w:val="center"/>
                </w:tcPr>
                <w:p w14:paraId="4A96909B">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900-047-49</w:t>
                  </w:r>
                </w:p>
              </w:tc>
              <w:tc>
                <w:tcPr>
                  <w:tcW w:w="6222" w:type="dxa"/>
                  <w:tcBorders>
                    <w:tl2br w:val="nil"/>
                    <w:tr2bl w:val="nil"/>
                  </w:tcBorders>
                  <w:vAlign w:val="center"/>
                </w:tcPr>
                <w:p w14:paraId="4D791DCE">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生产、研究、开发、教学、环境检测（监测）活动中，化学和生物实验室（不包含感染性医学实验室及医疗机构化验室）产生的含氰、氟、重金属无机废液及无机废液处理产生的残渣、残液，含矿物油、有机溶剂、甲醛有机废液，废酸、废碱，具有危险特性的残留样品，以及沾染上述物质的一次性实验用品（不包括按实验室管理要求进行清洗后的废弃的烧杯、量器、漏斗等实验室用品）、包装物（不包括按实验室管理要求进行清洗后的试剂包装物、容器）、过滤吸附介质等</w:t>
                  </w:r>
                </w:p>
              </w:tc>
              <w:tc>
                <w:tcPr>
                  <w:tcW w:w="1005" w:type="dxa"/>
                  <w:tcBorders>
                    <w:tl2br w:val="nil"/>
                    <w:tr2bl w:val="nil"/>
                  </w:tcBorders>
                  <w:vAlign w:val="center"/>
                </w:tcPr>
                <w:p w14:paraId="1C3812BE">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T/C/I/R</w:t>
                  </w:r>
                </w:p>
              </w:tc>
              <w:tc>
                <w:tcPr>
                  <w:tcW w:w="1140" w:type="dxa"/>
                  <w:tcBorders>
                    <w:tl2br w:val="nil"/>
                    <w:tr2bl w:val="nil"/>
                  </w:tcBorders>
                  <w:shd w:val="clear" w:color="auto" w:fill="auto"/>
                  <w:vAlign w:val="center"/>
                </w:tcPr>
                <w:p w14:paraId="66E33064">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液态/固态</w:t>
                  </w:r>
                </w:p>
              </w:tc>
              <w:tc>
                <w:tcPr>
                  <w:tcW w:w="1170" w:type="dxa"/>
                  <w:tcBorders>
                    <w:tl2br w:val="nil"/>
                    <w:tr2bl w:val="nil"/>
                  </w:tcBorders>
                  <w:shd w:val="clear" w:color="auto" w:fill="auto"/>
                  <w:vAlign w:val="center"/>
                </w:tcPr>
                <w:p w14:paraId="6A6BF362">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桶装/袋装/箱装</w:t>
                  </w:r>
                </w:p>
              </w:tc>
            </w:tr>
            <w:tr w14:paraId="14CAB39D">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459" w:hRule="atLeast"/>
              </w:trPr>
              <w:tc>
                <w:tcPr>
                  <w:tcW w:w="1096" w:type="dxa"/>
                  <w:vMerge w:val="restart"/>
                  <w:tcBorders>
                    <w:tl2br w:val="nil"/>
                    <w:tr2bl w:val="nil"/>
                  </w:tcBorders>
                  <w:vAlign w:val="center"/>
                </w:tcPr>
                <w:p w14:paraId="46FA531E">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HW50</w:t>
                  </w:r>
                </w:p>
                <w:p w14:paraId="6FD3008A">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废催化剂</w:t>
                  </w:r>
                </w:p>
              </w:tc>
              <w:tc>
                <w:tcPr>
                  <w:tcW w:w="1134" w:type="dxa"/>
                  <w:tcBorders>
                    <w:tl2br w:val="nil"/>
                    <w:tr2bl w:val="nil"/>
                  </w:tcBorders>
                  <w:vAlign w:val="center"/>
                </w:tcPr>
                <w:p w14:paraId="161683B9">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精炼石油产品制造</w:t>
                  </w:r>
                </w:p>
              </w:tc>
              <w:tc>
                <w:tcPr>
                  <w:tcW w:w="1233" w:type="dxa"/>
                  <w:tcBorders>
                    <w:tl2br w:val="nil"/>
                    <w:tr2bl w:val="nil"/>
                  </w:tcBorders>
                  <w:shd w:val="clear" w:color="auto" w:fill="auto"/>
                  <w:vAlign w:val="center"/>
                </w:tcPr>
                <w:p w14:paraId="1E82406E">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color w:val="auto"/>
                      <w:spacing w:val="0"/>
                      <w:sz w:val="21"/>
                      <w:szCs w:val="21"/>
                    </w:rPr>
                    <w:t>251-019-50</w:t>
                  </w:r>
                </w:p>
              </w:tc>
              <w:tc>
                <w:tcPr>
                  <w:tcW w:w="6222" w:type="dxa"/>
                  <w:tcBorders>
                    <w:tl2br w:val="nil"/>
                    <w:tr2bl w:val="nil"/>
                  </w:tcBorders>
                  <w:shd w:val="clear" w:color="auto" w:fill="auto"/>
                  <w:vAlign w:val="center"/>
                </w:tcPr>
                <w:p w14:paraId="34702197">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color w:val="auto"/>
                      <w:spacing w:val="0"/>
                      <w:sz w:val="21"/>
                      <w:szCs w:val="21"/>
                    </w:rPr>
                    <w:t>石油产品催化重整过程中产生的废催化剂</w:t>
                  </w:r>
                </w:p>
              </w:tc>
              <w:tc>
                <w:tcPr>
                  <w:tcW w:w="1005" w:type="dxa"/>
                  <w:tcBorders>
                    <w:tl2br w:val="nil"/>
                    <w:tr2bl w:val="nil"/>
                  </w:tcBorders>
                  <w:shd w:val="clear" w:color="auto" w:fill="auto"/>
                  <w:vAlign w:val="center"/>
                </w:tcPr>
                <w:p w14:paraId="7AE6CEB2">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snapToGrid w:val="0"/>
                      <w:color w:val="auto"/>
                      <w:spacing w:val="0"/>
                      <w:kern w:val="0"/>
                      <w:sz w:val="21"/>
                      <w:szCs w:val="21"/>
                      <w:lang w:val="en-US" w:eastAsia="en-US" w:bidi="ar-SA"/>
                    </w:rPr>
                  </w:pPr>
                  <w:r>
                    <w:rPr>
                      <w:rFonts w:hint="default" w:ascii="Times New Roman" w:hAnsi="Times New Roman" w:eastAsia="宋体" w:cs="Times New Roman"/>
                      <w:color w:val="auto"/>
                      <w:spacing w:val="0"/>
                      <w:sz w:val="21"/>
                      <w:szCs w:val="21"/>
                    </w:rPr>
                    <w:t>T</w:t>
                  </w:r>
                </w:p>
              </w:tc>
              <w:tc>
                <w:tcPr>
                  <w:tcW w:w="1140" w:type="dxa"/>
                  <w:tcBorders>
                    <w:tl2br w:val="nil"/>
                    <w:tr2bl w:val="nil"/>
                  </w:tcBorders>
                  <w:shd w:val="clear" w:color="auto" w:fill="auto"/>
                  <w:vAlign w:val="center"/>
                </w:tcPr>
                <w:p w14:paraId="244A1BFD">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en-US" w:bidi="ar-SA"/>
                    </w:rPr>
                  </w:pPr>
                  <w:r>
                    <w:rPr>
                      <w:rFonts w:hint="eastAsia" w:ascii="Times New Roman" w:hAnsi="Times New Roman" w:cs="Times New Roman"/>
                      <w:color w:val="auto"/>
                      <w:spacing w:val="0"/>
                      <w:sz w:val="21"/>
                      <w:szCs w:val="21"/>
                      <w:lang w:val="en-US" w:eastAsia="zh-CN"/>
                    </w:rPr>
                    <w:t>固态</w:t>
                  </w:r>
                </w:p>
              </w:tc>
              <w:tc>
                <w:tcPr>
                  <w:tcW w:w="1170" w:type="dxa"/>
                  <w:tcBorders>
                    <w:tl2br w:val="nil"/>
                    <w:tr2bl w:val="nil"/>
                  </w:tcBorders>
                  <w:shd w:val="clear" w:color="auto" w:fill="auto"/>
                  <w:vAlign w:val="center"/>
                </w:tcPr>
                <w:p w14:paraId="1D54D3D0">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kern w:val="2"/>
                      <w:sz w:val="21"/>
                      <w:szCs w:val="21"/>
                      <w:lang w:val="en-US" w:eastAsia="zh-CN" w:bidi="ar-SA"/>
                    </w:rPr>
                  </w:pPr>
                  <w:r>
                    <w:rPr>
                      <w:rFonts w:hint="eastAsia" w:ascii="Times New Roman" w:hAnsi="Times New Roman" w:cs="Times New Roman"/>
                      <w:color w:val="auto"/>
                      <w:spacing w:val="0"/>
                      <w:sz w:val="21"/>
                      <w:szCs w:val="21"/>
                      <w:lang w:val="en-US" w:eastAsia="zh-CN"/>
                    </w:rPr>
                    <w:t>袋装</w:t>
                  </w:r>
                </w:p>
              </w:tc>
            </w:tr>
            <w:tr w14:paraId="21CB8ED2">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62DE6718">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restart"/>
                  <w:tcBorders>
                    <w:tl2br w:val="nil"/>
                    <w:tr2bl w:val="nil"/>
                  </w:tcBorders>
                  <w:vAlign w:val="center"/>
                </w:tcPr>
                <w:p w14:paraId="230F2875">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基础化学原料制造</w:t>
                  </w:r>
                </w:p>
              </w:tc>
              <w:tc>
                <w:tcPr>
                  <w:tcW w:w="1233" w:type="dxa"/>
                  <w:tcBorders>
                    <w:tl2br w:val="nil"/>
                    <w:tr2bl w:val="nil"/>
                  </w:tcBorders>
                  <w:vAlign w:val="center"/>
                </w:tcPr>
                <w:p w14:paraId="3A0EFC53">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261-151-50</w:t>
                  </w:r>
                </w:p>
              </w:tc>
              <w:tc>
                <w:tcPr>
                  <w:tcW w:w="6222" w:type="dxa"/>
                  <w:tcBorders>
                    <w:tl2br w:val="nil"/>
                    <w:tr2bl w:val="nil"/>
                  </w:tcBorders>
                  <w:vAlign w:val="center"/>
                </w:tcPr>
                <w:p w14:paraId="4488922B">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树脂、乳胶、增塑剂、胶水/胶合剂生产过程中合成、酯化、缩合等工序产生的废催化剂</w:t>
                  </w:r>
                </w:p>
              </w:tc>
              <w:tc>
                <w:tcPr>
                  <w:tcW w:w="1005" w:type="dxa"/>
                  <w:tcBorders>
                    <w:tl2br w:val="nil"/>
                    <w:tr2bl w:val="nil"/>
                  </w:tcBorders>
                  <w:vAlign w:val="center"/>
                </w:tcPr>
                <w:p w14:paraId="1E730D9C">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w:t>
                  </w:r>
                </w:p>
              </w:tc>
              <w:tc>
                <w:tcPr>
                  <w:tcW w:w="1140" w:type="dxa"/>
                  <w:tcBorders>
                    <w:tl2br w:val="nil"/>
                    <w:tr2bl w:val="nil"/>
                  </w:tcBorders>
                  <w:vAlign w:val="center"/>
                </w:tcPr>
                <w:p w14:paraId="1A690708">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固态</w:t>
                  </w:r>
                </w:p>
              </w:tc>
              <w:tc>
                <w:tcPr>
                  <w:tcW w:w="1170" w:type="dxa"/>
                  <w:tcBorders>
                    <w:tl2br w:val="nil"/>
                    <w:tr2bl w:val="nil"/>
                  </w:tcBorders>
                  <w:vAlign w:val="center"/>
                </w:tcPr>
                <w:p w14:paraId="46881C4B">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袋装</w:t>
                  </w:r>
                </w:p>
              </w:tc>
            </w:tr>
            <w:tr w14:paraId="518558AF">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6362A5FB">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198ACF27">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233" w:type="dxa"/>
                  <w:tcBorders>
                    <w:tl2br w:val="nil"/>
                    <w:tr2bl w:val="nil"/>
                  </w:tcBorders>
                  <w:vAlign w:val="center"/>
                </w:tcPr>
                <w:p w14:paraId="67F712CB">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261-152-50</w:t>
                  </w:r>
                </w:p>
              </w:tc>
              <w:tc>
                <w:tcPr>
                  <w:tcW w:w="6222" w:type="dxa"/>
                  <w:tcBorders>
                    <w:tl2br w:val="nil"/>
                    <w:tr2bl w:val="nil"/>
                  </w:tcBorders>
                  <w:vAlign w:val="center"/>
                </w:tcPr>
                <w:p w14:paraId="740C7750">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有机溶剂生产过程中产生的废催化剂</w:t>
                  </w:r>
                </w:p>
              </w:tc>
              <w:tc>
                <w:tcPr>
                  <w:tcW w:w="1005" w:type="dxa"/>
                  <w:tcBorders>
                    <w:tl2br w:val="nil"/>
                    <w:tr2bl w:val="nil"/>
                  </w:tcBorders>
                  <w:vAlign w:val="center"/>
                </w:tcPr>
                <w:p w14:paraId="4C6F629F">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w:t>
                  </w:r>
                </w:p>
              </w:tc>
              <w:tc>
                <w:tcPr>
                  <w:tcW w:w="1140" w:type="dxa"/>
                  <w:tcBorders>
                    <w:tl2br w:val="nil"/>
                    <w:tr2bl w:val="nil"/>
                  </w:tcBorders>
                  <w:vAlign w:val="center"/>
                </w:tcPr>
                <w:p w14:paraId="02E37D85">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固态</w:t>
                  </w:r>
                </w:p>
              </w:tc>
              <w:tc>
                <w:tcPr>
                  <w:tcW w:w="1170" w:type="dxa"/>
                  <w:tcBorders>
                    <w:tl2br w:val="nil"/>
                    <w:tr2bl w:val="nil"/>
                  </w:tcBorders>
                  <w:vAlign w:val="center"/>
                </w:tcPr>
                <w:p w14:paraId="2B0CA9A9">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袋装</w:t>
                  </w:r>
                </w:p>
              </w:tc>
            </w:tr>
            <w:tr w14:paraId="19462919">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1F32D1D8">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4CF98D24">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233" w:type="dxa"/>
                  <w:tcBorders>
                    <w:tl2br w:val="nil"/>
                    <w:tr2bl w:val="nil"/>
                  </w:tcBorders>
                  <w:vAlign w:val="center"/>
                </w:tcPr>
                <w:p w14:paraId="1918552A">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261-153-50</w:t>
                  </w:r>
                </w:p>
              </w:tc>
              <w:tc>
                <w:tcPr>
                  <w:tcW w:w="6222" w:type="dxa"/>
                  <w:tcBorders>
                    <w:tl2br w:val="nil"/>
                    <w:tr2bl w:val="nil"/>
                  </w:tcBorders>
                  <w:vAlign w:val="center"/>
                </w:tcPr>
                <w:p w14:paraId="5DE0CB9A">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丙烯腈合成过程中产生的废催化剂</w:t>
                  </w:r>
                </w:p>
              </w:tc>
              <w:tc>
                <w:tcPr>
                  <w:tcW w:w="1005" w:type="dxa"/>
                  <w:tcBorders>
                    <w:tl2br w:val="nil"/>
                    <w:tr2bl w:val="nil"/>
                  </w:tcBorders>
                  <w:vAlign w:val="center"/>
                </w:tcPr>
                <w:p w14:paraId="2F8C7927">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w:t>
                  </w:r>
                </w:p>
              </w:tc>
              <w:tc>
                <w:tcPr>
                  <w:tcW w:w="1140" w:type="dxa"/>
                  <w:tcBorders>
                    <w:tl2br w:val="nil"/>
                    <w:tr2bl w:val="nil"/>
                  </w:tcBorders>
                  <w:vAlign w:val="center"/>
                </w:tcPr>
                <w:p w14:paraId="535128F8">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固态</w:t>
                  </w:r>
                </w:p>
              </w:tc>
              <w:tc>
                <w:tcPr>
                  <w:tcW w:w="1170" w:type="dxa"/>
                  <w:tcBorders>
                    <w:tl2br w:val="nil"/>
                    <w:tr2bl w:val="nil"/>
                  </w:tcBorders>
                  <w:vAlign w:val="center"/>
                </w:tcPr>
                <w:p w14:paraId="61B0BCB4">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袋装</w:t>
                  </w:r>
                </w:p>
              </w:tc>
            </w:tr>
            <w:tr w14:paraId="2C83E74D">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5857D707">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6508A03F">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233" w:type="dxa"/>
                  <w:tcBorders>
                    <w:tl2br w:val="nil"/>
                    <w:tr2bl w:val="nil"/>
                  </w:tcBorders>
                  <w:vAlign w:val="center"/>
                </w:tcPr>
                <w:p w14:paraId="07D0C4FD">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261-155-50</w:t>
                  </w:r>
                </w:p>
              </w:tc>
              <w:tc>
                <w:tcPr>
                  <w:tcW w:w="6222" w:type="dxa"/>
                  <w:tcBorders>
                    <w:tl2br w:val="nil"/>
                    <w:tr2bl w:val="nil"/>
                  </w:tcBorders>
                  <w:vAlign w:val="center"/>
                </w:tcPr>
                <w:p w14:paraId="396C70FC">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聚丙烯合成过程中产生的废催化剂</w:t>
                  </w:r>
                </w:p>
              </w:tc>
              <w:tc>
                <w:tcPr>
                  <w:tcW w:w="1005" w:type="dxa"/>
                  <w:tcBorders>
                    <w:tl2br w:val="nil"/>
                    <w:tr2bl w:val="nil"/>
                  </w:tcBorders>
                  <w:vAlign w:val="center"/>
                </w:tcPr>
                <w:p w14:paraId="53667CA0">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w:t>
                  </w:r>
                </w:p>
              </w:tc>
              <w:tc>
                <w:tcPr>
                  <w:tcW w:w="1140" w:type="dxa"/>
                  <w:tcBorders>
                    <w:tl2br w:val="nil"/>
                    <w:tr2bl w:val="nil"/>
                  </w:tcBorders>
                  <w:vAlign w:val="center"/>
                </w:tcPr>
                <w:p w14:paraId="4DFFB8C0">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固态</w:t>
                  </w:r>
                </w:p>
              </w:tc>
              <w:tc>
                <w:tcPr>
                  <w:tcW w:w="1170" w:type="dxa"/>
                  <w:tcBorders>
                    <w:tl2br w:val="nil"/>
                    <w:tr2bl w:val="nil"/>
                  </w:tcBorders>
                  <w:vAlign w:val="center"/>
                </w:tcPr>
                <w:p w14:paraId="55BD86DC">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袋装</w:t>
                  </w:r>
                </w:p>
              </w:tc>
            </w:tr>
            <w:tr w14:paraId="65F44FAD">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28205807">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0440F275">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233" w:type="dxa"/>
                  <w:tcBorders>
                    <w:tl2br w:val="nil"/>
                    <w:tr2bl w:val="nil"/>
                  </w:tcBorders>
                  <w:vAlign w:val="center"/>
                </w:tcPr>
                <w:p w14:paraId="2AA529C4">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261-157-50</w:t>
                  </w:r>
                </w:p>
              </w:tc>
              <w:tc>
                <w:tcPr>
                  <w:tcW w:w="6222" w:type="dxa"/>
                  <w:tcBorders>
                    <w:tl2br w:val="nil"/>
                    <w:tr2bl w:val="nil"/>
                  </w:tcBorders>
                  <w:vAlign w:val="center"/>
                </w:tcPr>
                <w:p w14:paraId="0BB081B4">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乙苯脱氢生产苯乙烯过程中产生的废催化剂</w:t>
                  </w:r>
                </w:p>
              </w:tc>
              <w:tc>
                <w:tcPr>
                  <w:tcW w:w="1005" w:type="dxa"/>
                  <w:tcBorders>
                    <w:tl2br w:val="nil"/>
                    <w:tr2bl w:val="nil"/>
                  </w:tcBorders>
                  <w:vAlign w:val="center"/>
                </w:tcPr>
                <w:p w14:paraId="1E1EF22C">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w:t>
                  </w:r>
                </w:p>
              </w:tc>
              <w:tc>
                <w:tcPr>
                  <w:tcW w:w="1140" w:type="dxa"/>
                  <w:tcBorders>
                    <w:tl2br w:val="nil"/>
                    <w:tr2bl w:val="nil"/>
                  </w:tcBorders>
                  <w:vAlign w:val="center"/>
                </w:tcPr>
                <w:p w14:paraId="6704B1EC">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固态</w:t>
                  </w:r>
                </w:p>
              </w:tc>
              <w:tc>
                <w:tcPr>
                  <w:tcW w:w="1170" w:type="dxa"/>
                  <w:tcBorders>
                    <w:tl2br w:val="nil"/>
                    <w:tr2bl w:val="nil"/>
                  </w:tcBorders>
                  <w:vAlign w:val="center"/>
                </w:tcPr>
                <w:p w14:paraId="19D3FD7D">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袋装</w:t>
                  </w:r>
                </w:p>
              </w:tc>
            </w:tr>
            <w:tr w14:paraId="04D77F30">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260BEA98">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46DD3ACA">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233" w:type="dxa"/>
                  <w:tcBorders>
                    <w:tl2br w:val="nil"/>
                    <w:tr2bl w:val="nil"/>
                  </w:tcBorders>
                  <w:vAlign w:val="center"/>
                </w:tcPr>
                <w:p w14:paraId="7730D99E">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261-164-50</w:t>
                  </w:r>
                </w:p>
              </w:tc>
              <w:tc>
                <w:tcPr>
                  <w:tcW w:w="6222" w:type="dxa"/>
                  <w:tcBorders>
                    <w:tl2br w:val="nil"/>
                    <w:tr2bl w:val="nil"/>
                  </w:tcBorders>
                  <w:vAlign w:val="center"/>
                </w:tcPr>
                <w:p w14:paraId="55AA0EA6">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甲醇和氨气催化合成、蒸馏制备甲胺过程中产生的废催化剂</w:t>
                  </w:r>
                </w:p>
              </w:tc>
              <w:tc>
                <w:tcPr>
                  <w:tcW w:w="1005" w:type="dxa"/>
                  <w:tcBorders>
                    <w:tl2br w:val="nil"/>
                    <w:tr2bl w:val="nil"/>
                  </w:tcBorders>
                  <w:vAlign w:val="center"/>
                </w:tcPr>
                <w:p w14:paraId="74C0184C">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w:t>
                  </w:r>
                </w:p>
              </w:tc>
              <w:tc>
                <w:tcPr>
                  <w:tcW w:w="1140" w:type="dxa"/>
                  <w:tcBorders>
                    <w:tl2br w:val="nil"/>
                    <w:tr2bl w:val="nil"/>
                  </w:tcBorders>
                  <w:vAlign w:val="center"/>
                </w:tcPr>
                <w:p w14:paraId="3E9399BC">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固态</w:t>
                  </w:r>
                </w:p>
              </w:tc>
              <w:tc>
                <w:tcPr>
                  <w:tcW w:w="1170" w:type="dxa"/>
                  <w:tcBorders>
                    <w:tl2br w:val="nil"/>
                    <w:tr2bl w:val="nil"/>
                  </w:tcBorders>
                  <w:vAlign w:val="center"/>
                </w:tcPr>
                <w:p w14:paraId="16F3D7C2">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袋装</w:t>
                  </w:r>
                </w:p>
              </w:tc>
            </w:tr>
            <w:tr w14:paraId="61539BDA">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21E5BEF4">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4B52533D">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233" w:type="dxa"/>
                  <w:tcBorders>
                    <w:tl2br w:val="nil"/>
                    <w:tr2bl w:val="nil"/>
                  </w:tcBorders>
                  <w:vAlign w:val="center"/>
                </w:tcPr>
                <w:p w14:paraId="35A4BEA3">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261-175-50</w:t>
                  </w:r>
                </w:p>
              </w:tc>
              <w:tc>
                <w:tcPr>
                  <w:tcW w:w="6222" w:type="dxa"/>
                  <w:tcBorders>
                    <w:tl2br w:val="nil"/>
                    <w:tr2bl w:val="nil"/>
                  </w:tcBorders>
                  <w:vAlign w:val="center"/>
                </w:tcPr>
                <w:p w14:paraId="766671BF">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苯氧化法生产顺丁烯二酸酐过程中产生的废催化剂</w:t>
                  </w:r>
                </w:p>
              </w:tc>
              <w:tc>
                <w:tcPr>
                  <w:tcW w:w="1005" w:type="dxa"/>
                  <w:tcBorders>
                    <w:tl2br w:val="nil"/>
                    <w:tr2bl w:val="nil"/>
                  </w:tcBorders>
                  <w:vAlign w:val="center"/>
                </w:tcPr>
                <w:p w14:paraId="2E254B32">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w:t>
                  </w:r>
                </w:p>
              </w:tc>
              <w:tc>
                <w:tcPr>
                  <w:tcW w:w="1140" w:type="dxa"/>
                  <w:tcBorders>
                    <w:tl2br w:val="nil"/>
                    <w:tr2bl w:val="nil"/>
                  </w:tcBorders>
                  <w:vAlign w:val="center"/>
                </w:tcPr>
                <w:p w14:paraId="0ED07785">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固态</w:t>
                  </w:r>
                </w:p>
              </w:tc>
              <w:tc>
                <w:tcPr>
                  <w:tcW w:w="1170" w:type="dxa"/>
                  <w:tcBorders>
                    <w:tl2br w:val="nil"/>
                    <w:tr2bl w:val="nil"/>
                  </w:tcBorders>
                  <w:vAlign w:val="center"/>
                </w:tcPr>
                <w:p w14:paraId="5FD084EF">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袋装</w:t>
                  </w:r>
                </w:p>
              </w:tc>
            </w:tr>
            <w:tr w14:paraId="2B1E467B">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19513F12">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285F5060">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233" w:type="dxa"/>
                  <w:tcBorders>
                    <w:tl2br w:val="nil"/>
                    <w:tr2bl w:val="nil"/>
                  </w:tcBorders>
                  <w:vAlign w:val="center"/>
                </w:tcPr>
                <w:p w14:paraId="2A4E70E0">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261-181-50</w:t>
                  </w:r>
                </w:p>
              </w:tc>
              <w:tc>
                <w:tcPr>
                  <w:tcW w:w="6222" w:type="dxa"/>
                  <w:tcBorders>
                    <w:tl2br w:val="nil"/>
                    <w:tr2bl w:val="nil"/>
                  </w:tcBorders>
                  <w:vAlign w:val="center"/>
                </w:tcPr>
                <w:p w14:paraId="169EAD03">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糠醛脱羰制备呋喃过程中产生的废催化剂</w:t>
                  </w:r>
                </w:p>
              </w:tc>
              <w:tc>
                <w:tcPr>
                  <w:tcW w:w="1005" w:type="dxa"/>
                  <w:tcBorders>
                    <w:tl2br w:val="nil"/>
                    <w:tr2bl w:val="nil"/>
                  </w:tcBorders>
                  <w:vAlign w:val="center"/>
                </w:tcPr>
                <w:p w14:paraId="1E30B2DC">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w:t>
                  </w:r>
                </w:p>
              </w:tc>
              <w:tc>
                <w:tcPr>
                  <w:tcW w:w="1140" w:type="dxa"/>
                  <w:tcBorders>
                    <w:tl2br w:val="nil"/>
                    <w:tr2bl w:val="nil"/>
                  </w:tcBorders>
                  <w:vAlign w:val="center"/>
                </w:tcPr>
                <w:p w14:paraId="3CD700DB">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固态</w:t>
                  </w:r>
                </w:p>
              </w:tc>
              <w:tc>
                <w:tcPr>
                  <w:tcW w:w="1170" w:type="dxa"/>
                  <w:tcBorders>
                    <w:tl2br w:val="nil"/>
                    <w:tr2bl w:val="nil"/>
                  </w:tcBorders>
                  <w:vAlign w:val="center"/>
                </w:tcPr>
                <w:p w14:paraId="3C4975BF">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袋装</w:t>
                  </w:r>
                </w:p>
              </w:tc>
            </w:tr>
            <w:tr w14:paraId="5D9C33EA">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6C392C02">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tcBorders>
                    <w:tl2br w:val="nil"/>
                    <w:tr2bl w:val="nil"/>
                  </w:tcBorders>
                  <w:vAlign w:val="center"/>
                </w:tcPr>
                <w:p w14:paraId="19B716E8">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6"/>
                      <w:sz w:val="21"/>
                      <w:szCs w:val="21"/>
                    </w:rPr>
                  </w:pPr>
                  <w:r>
                    <w:rPr>
                      <w:rFonts w:hint="default" w:ascii="Times New Roman" w:hAnsi="Times New Roman" w:eastAsia="宋体" w:cs="Times New Roman"/>
                      <w:color w:val="auto"/>
                      <w:spacing w:val="-6"/>
                      <w:sz w:val="21"/>
                      <w:szCs w:val="21"/>
                    </w:rPr>
                    <w:t>化学药品</w:t>
                  </w:r>
                </w:p>
                <w:p w14:paraId="18BFC78D">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6"/>
                      <w:sz w:val="21"/>
                      <w:szCs w:val="21"/>
                    </w:rPr>
                  </w:pPr>
                  <w:r>
                    <w:rPr>
                      <w:rFonts w:hint="default" w:ascii="Times New Roman" w:hAnsi="Times New Roman" w:eastAsia="宋体" w:cs="Times New Roman"/>
                      <w:color w:val="auto"/>
                      <w:spacing w:val="-6"/>
                      <w:sz w:val="21"/>
                      <w:szCs w:val="21"/>
                    </w:rPr>
                    <w:t>原料药制造</w:t>
                  </w:r>
                </w:p>
              </w:tc>
              <w:tc>
                <w:tcPr>
                  <w:tcW w:w="1233" w:type="dxa"/>
                  <w:tcBorders>
                    <w:tl2br w:val="nil"/>
                    <w:tr2bl w:val="nil"/>
                  </w:tcBorders>
                  <w:vAlign w:val="center"/>
                </w:tcPr>
                <w:p w14:paraId="55791A47">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271-006-50</w:t>
                  </w:r>
                </w:p>
              </w:tc>
              <w:tc>
                <w:tcPr>
                  <w:tcW w:w="6222" w:type="dxa"/>
                  <w:tcBorders>
                    <w:tl2br w:val="nil"/>
                    <w:tr2bl w:val="nil"/>
                  </w:tcBorders>
                  <w:vAlign w:val="center"/>
                </w:tcPr>
                <w:p w14:paraId="5D730C23">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化学合成原料药生产过程中产生的废催化剂</w:t>
                  </w:r>
                </w:p>
              </w:tc>
              <w:tc>
                <w:tcPr>
                  <w:tcW w:w="1005" w:type="dxa"/>
                  <w:tcBorders>
                    <w:tl2br w:val="nil"/>
                    <w:tr2bl w:val="nil"/>
                  </w:tcBorders>
                  <w:vAlign w:val="center"/>
                </w:tcPr>
                <w:p w14:paraId="3D264AA3">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w:t>
                  </w:r>
                </w:p>
              </w:tc>
              <w:tc>
                <w:tcPr>
                  <w:tcW w:w="1140" w:type="dxa"/>
                  <w:tcBorders>
                    <w:tl2br w:val="nil"/>
                    <w:tr2bl w:val="nil"/>
                  </w:tcBorders>
                  <w:vAlign w:val="center"/>
                </w:tcPr>
                <w:p w14:paraId="773E6905">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固态</w:t>
                  </w:r>
                </w:p>
              </w:tc>
              <w:tc>
                <w:tcPr>
                  <w:tcW w:w="1170" w:type="dxa"/>
                  <w:tcBorders>
                    <w:tl2br w:val="nil"/>
                    <w:tr2bl w:val="nil"/>
                  </w:tcBorders>
                  <w:vAlign w:val="center"/>
                </w:tcPr>
                <w:p w14:paraId="7E6EC8A2">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袋装</w:t>
                  </w:r>
                </w:p>
              </w:tc>
            </w:tr>
            <w:tr w14:paraId="316CE347">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4A77CC62">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tcBorders>
                    <w:tl2br w:val="nil"/>
                    <w:tr2bl w:val="nil"/>
                  </w:tcBorders>
                  <w:vAlign w:val="center"/>
                </w:tcPr>
                <w:p w14:paraId="672204C3">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6"/>
                      <w:sz w:val="21"/>
                      <w:szCs w:val="21"/>
                    </w:rPr>
                  </w:pPr>
                  <w:r>
                    <w:rPr>
                      <w:rFonts w:hint="default" w:ascii="Times New Roman" w:hAnsi="Times New Roman" w:eastAsia="宋体" w:cs="Times New Roman"/>
                      <w:color w:val="auto"/>
                      <w:spacing w:val="-6"/>
                      <w:sz w:val="21"/>
                      <w:szCs w:val="21"/>
                    </w:rPr>
                    <w:t>环境治理业</w:t>
                  </w:r>
                </w:p>
              </w:tc>
              <w:tc>
                <w:tcPr>
                  <w:tcW w:w="1233" w:type="dxa"/>
                  <w:tcBorders>
                    <w:tl2br w:val="nil"/>
                    <w:tr2bl w:val="nil"/>
                  </w:tcBorders>
                  <w:vAlign w:val="center"/>
                </w:tcPr>
                <w:p w14:paraId="2B786504">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772-007-50</w:t>
                  </w:r>
                </w:p>
              </w:tc>
              <w:tc>
                <w:tcPr>
                  <w:tcW w:w="6222" w:type="dxa"/>
                  <w:tcBorders>
                    <w:tl2br w:val="nil"/>
                    <w:tr2bl w:val="nil"/>
                  </w:tcBorders>
                  <w:vAlign w:val="center"/>
                </w:tcPr>
                <w:p w14:paraId="04F4CAD5">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烟气脱硝过程中产生的废钒钛系催化剂</w:t>
                  </w:r>
                </w:p>
              </w:tc>
              <w:tc>
                <w:tcPr>
                  <w:tcW w:w="1005" w:type="dxa"/>
                  <w:tcBorders>
                    <w:tl2br w:val="nil"/>
                    <w:tr2bl w:val="nil"/>
                  </w:tcBorders>
                  <w:vAlign w:val="center"/>
                </w:tcPr>
                <w:p w14:paraId="1F607413">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w:t>
                  </w:r>
                </w:p>
              </w:tc>
              <w:tc>
                <w:tcPr>
                  <w:tcW w:w="1140" w:type="dxa"/>
                  <w:tcBorders>
                    <w:tl2br w:val="nil"/>
                    <w:tr2bl w:val="nil"/>
                  </w:tcBorders>
                  <w:vAlign w:val="center"/>
                </w:tcPr>
                <w:p w14:paraId="3311DC6B">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固态</w:t>
                  </w:r>
                </w:p>
              </w:tc>
              <w:tc>
                <w:tcPr>
                  <w:tcW w:w="1170" w:type="dxa"/>
                  <w:tcBorders>
                    <w:tl2br w:val="nil"/>
                    <w:tr2bl w:val="nil"/>
                  </w:tcBorders>
                  <w:vAlign w:val="center"/>
                </w:tcPr>
                <w:p w14:paraId="075D55BE">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袋装</w:t>
                  </w:r>
                </w:p>
              </w:tc>
            </w:tr>
            <w:tr w14:paraId="2323343B">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372743A5">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restart"/>
                  <w:tcBorders>
                    <w:tl2br w:val="nil"/>
                    <w:tr2bl w:val="nil"/>
                  </w:tcBorders>
                  <w:vAlign w:val="center"/>
                </w:tcPr>
                <w:p w14:paraId="1099D473">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6"/>
                      <w:sz w:val="21"/>
                      <w:szCs w:val="21"/>
                    </w:rPr>
                  </w:pPr>
                  <w:r>
                    <w:rPr>
                      <w:rFonts w:hint="default" w:ascii="Times New Roman" w:hAnsi="Times New Roman" w:eastAsia="宋体" w:cs="Times New Roman"/>
                      <w:color w:val="auto"/>
                      <w:spacing w:val="-6"/>
                      <w:sz w:val="21"/>
                      <w:szCs w:val="21"/>
                    </w:rPr>
                    <w:t>非特定行业</w:t>
                  </w:r>
                </w:p>
              </w:tc>
              <w:tc>
                <w:tcPr>
                  <w:tcW w:w="1233" w:type="dxa"/>
                  <w:tcBorders>
                    <w:tl2br w:val="nil"/>
                    <w:tr2bl w:val="nil"/>
                  </w:tcBorders>
                  <w:vAlign w:val="center"/>
                </w:tcPr>
                <w:p w14:paraId="46AB14F7">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900-048-50</w:t>
                  </w:r>
                </w:p>
              </w:tc>
              <w:tc>
                <w:tcPr>
                  <w:tcW w:w="6222" w:type="dxa"/>
                  <w:tcBorders>
                    <w:tl2br w:val="nil"/>
                    <w:tr2bl w:val="nil"/>
                  </w:tcBorders>
                  <w:vAlign w:val="center"/>
                </w:tcPr>
                <w:p w14:paraId="503B9D8C">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废液体催化剂</w:t>
                  </w:r>
                </w:p>
              </w:tc>
              <w:tc>
                <w:tcPr>
                  <w:tcW w:w="1005" w:type="dxa"/>
                  <w:tcBorders>
                    <w:tl2br w:val="nil"/>
                    <w:tr2bl w:val="nil"/>
                  </w:tcBorders>
                  <w:vAlign w:val="center"/>
                </w:tcPr>
                <w:p w14:paraId="5D3C6B18">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w:t>
                  </w:r>
                </w:p>
              </w:tc>
              <w:tc>
                <w:tcPr>
                  <w:tcW w:w="1140" w:type="dxa"/>
                  <w:tcBorders>
                    <w:tl2br w:val="nil"/>
                    <w:tr2bl w:val="nil"/>
                  </w:tcBorders>
                  <w:vAlign w:val="center"/>
                </w:tcPr>
                <w:p w14:paraId="5C123B2B">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固态</w:t>
                  </w:r>
                </w:p>
              </w:tc>
              <w:tc>
                <w:tcPr>
                  <w:tcW w:w="1170" w:type="dxa"/>
                  <w:tcBorders>
                    <w:tl2br w:val="nil"/>
                    <w:tr2bl w:val="nil"/>
                  </w:tcBorders>
                  <w:vAlign w:val="center"/>
                </w:tcPr>
                <w:p w14:paraId="4BFE3D33">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袋装</w:t>
                  </w:r>
                </w:p>
              </w:tc>
            </w:tr>
            <w:tr w14:paraId="6DB11C63">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096" w:type="dxa"/>
                  <w:vMerge w:val="continue"/>
                  <w:tcBorders>
                    <w:tl2br w:val="nil"/>
                    <w:tr2bl w:val="nil"/>
                  </w:tcBorders>
                  <w:vAlign w:val="center"/>
                </w:tcPr>
                <w:p w14:paraId="41F6AEEA">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134" w:type="dxa"/>
                  <w:vMerge w:val="continue"/>
                  <w:tcBorders>
                    <w:tl2br w:val="nil"/>
                    <w:tr2bl w:val="nil"/>
                  </w:tcBorders>
                  <w:vAlign w:val="center"/>
                </w:tcPr>
                <w:p w14:paraId="79E5ED85">
                  <w:pPr>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p>
              </w:tc>
              <w:tc>
                <w:tcPr>
                  <w:tcW w:w="1233" w:type="dxa"/>
                  <w:tcBorders>
                    <w:tl2br w:val="nil"/>
                    <w:tr2bl w:val="nil"/>
                  </w:tcBorders>
                  <w:vAlign w:val="center"/>
                </w:tcPr>
                <w:p w14:paraId="255F4F9F">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900-049-50</w:t>
                  </w:r>
                </w:p>
              </w:tc>
              <w:tc>
                <w:tcPr>
                  <w:tcW w:w="6222" w:type="dxa"/>
                  <w:tcBorders>
                    <w:tl2br w:val="nil"/>
                    <w:tr2bl w:val="nil"/>
                  </w:tcBorders>
                  <w:vAlign w:val="center"/>
                </w:tcPr>
                <w:p w14:paraId="5E935597">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机动车和非道路移动机械尾气净化废催化剂</w:t>
                  </w:r>
                </w:p>
              </w:tc>
              <w:tc>
                <w:tcPr>
                  <w:tcW w:w="1005" w:type="dxa"/>
                  <w:tcBorders>
                    <w:tl2br w:val="nil"/>
                    <w:tr2bl w:val="nil"/>
                  </w:tcBorders>
                  <w:vAlign w:val="center"/>
                </w:tcPr>
                <w:p w14:paraId="59A7F3C6">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jc w:val="center"/>
                    <w:textAlignment w:val="baseline"/>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w:t>
                  </w:r>
                </w:p>
              </w:tc>
              <w:tc>
                <w:tcPr>
                  <w:tcW w:w="1140" w:type="dxa"/>
                  <w:tcBorders>
                    <w:tl2br w:val="nil"/>
                    <w:tr2bl w:val="nil"/>
                  </w:tcBorders>
                  <w:vAlign w:val="center"/>
                </w:tcPr>
                <w:p w14:paraId="1477CB3B">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固态</w:t>
                  </w:r>
                </w:p>
              </w:tc>
              <w:tc>
                <w:tcPr>
                  <w:tcW w:w="1170" w:type="dxa"/>
                  <w:tcBorders>
                    <w:tl2br w:val="nil"/>
                    <w:tr2bl w:val="nil"/>
                  </w:tcBorders>
                  <w:vAlign w:val="center"/>
                </w:tcPr>
                <w:p w14:paraId="4CA2D6A1">
                  <w:pPr>
                    <w:pStyle w:val="90"/>
                    <w:keepNext w:val="0"/>
                    <w:keepLines w:val="0"/>
                    <w:pageBreakBefore w:val="0"/>
                    <w:widowControl/>
                    <w:kinsoku w:val="0"/>
                    <w:wordWrap/>
                    <w:overflowPunct/>
                    <w:topLinePunct w:val="0"/>
                    <w:autoSpaceDE w:val="0"/>
                    <w:autoSpaceDN w:val="0"/>
                    <w:bidi w:val="0"/>
                    <w:adjustRightInd w:val="0"/>
                    <w:snapToGrid w:val="0"/>
                    <w:spacing w:line="240" w:lineRule="auto"/>
                    <w:ind w:left="63" w:leftChars="30" w:right="63" w:rightChars="30" w:firstLine="0" w:firstLineChars="0"/>
                    <w:jc w:val="center"/>
                    <w:textAlignment w:val="baseline"/>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袋装</w:t>
                  </w:r>
                </w:p>
              </w:tc>
            </w:tr>
          </w:tbl>
          <w:p w14:paraId="18CCF7E1">
            <w:pPr>
              <w:pStyle w:val="23"/>
              <w:keepNext w:val="0"/>
              <w:keepLines w:val="0"/>
              <w:pageBreakBefore w:val="0"/>
              <w:widowControl/>
              <w:numPr>
                <w:ilvl w:val="0"/>
                <w:numId w:val="0"/>
              </w:numPr>
              <w:kinsoku/>
              <w:wordWrap/>
              <w:overflowPunct/>
              <w:topLinePunct w:val="0"/>
              <w:autoSpaceDE/>
              <w:autoSpaceDN/>
              <w:bidi w:val="0"/>
              <w:adjustRightInd w:val="0"/>
              <w:snapToGrid w:val="0"/>
              <w:spacing w:before="0" w:beforeAutospacing="0" w:after="0" w:afterAutospacing="0" w:line="360" w:lineRule="auto"/>
              <w:jc w:val="center"/>
              <w:textAlignment w:val="auto"/>
              <w:outlineLvl w:val="0"/>
              <w:rPr>
                <w:rFonts w:ascii="Times New Roman" w:hAnsi="Times New Roman"/>
                <w:b/>
                <w:snapToGrid w:val="0"/>
                <w:color w:val="FF0000"/>
                <w:sz w:val="30"/>
                <w:szCs w:val="30"/>
                <w:vertAlign w:val="baseline"/>
              </w:rPr>
            </w:pPr>
          </w:p>
        </w:tc>
      </w:tr>
    </w:tbl>
    <w:p w14:paraId="7D094587">
      <w:pPr>
        <w:pStyle w:val="23"/>
        <w:keepNext w:val="0"/>
        <w:keepLines w:val="0"/>
        <w:pageBreakBefore w:val="0"/>
        <w:widowControl/>
        <w:numPr>
          <w:ilvl w:val="0"/>
          <w:numId w:val="0"/>
        </w:numPr>
        <w:kinsoku/>
        <w:wordWrap/>
        <w:overflowPunct/>
        <w:topLinePunct w:val="0"/>
        <w:autoSpaceDE/>
        <w:autoSpaceDN/>
        <w:bidi w:val="0"/>
        <w:adjustRightInd w:val="0"/>
        <w:snapToGrid w:val="0"/>
        <w:spacing w:before="0" w:beforeAutospacing="0" w:after="0" w:afterAutospacing="0" w:line="240" w:lineRule="auto"/>
        <w:jc w:val="left"/>
        <w:textAlignment w:val="auto"/>
        <w:outlineLvl w:val="9"/>
        <w:rPr>
          <w:rFonts w:ascii="Times New Roman" w:hAnsi="Times New Roman"/>
          <w:b/>
          <w:bCs/>
          <w:snapToGrid w:val="0"/>
          <w:color w:val="FF0000"/>
          <w:sz w:val="30"/>
          <w:szCs w:val="30"/>
        </w:rPr>
        <w:sectPr>
          <w:pgSz w:w="16838" w:h="11905" w:orient="landscape"/>
          <w:pgMar w:top="1417" w:right="1417" w:bottom="1417" w:left="1417" w:header="851" w:footer="850" w:gutter="0"/>
          <w:pgBorders>
            <w:top w:val="none" w:sz="0" w:space="0"/>
            <w:left w:val="none" w:sz="0" w:space="0"/>
            <w:bottom w:val="none" w:sz="0" w:space="0"/>
            <w:right w:val="none" w:sz="0" w:space="0"/>
          </w:pgBorders>
          <w:pgNumType w:fmt="decimal"/>
          <w:cols w:space="0" w:num="1"/>
          <w:rtlGutter w:val="0"/>
          <w:docGrid w:linePitch="312" w:charSpace="0"/>
        </w:sectPr>
      </w:pPr>
      <w:r>
        <w:rPr>
          <w:rFonts w:hint="eastAsia"/>
          <w:b/>
          <w:bCs/>
          <w:color w:val="auto"/>
          <w:sz w:val="24"/>
          <w:lang w:val="en-US" w:eastAsia="zh-CN"/>
        </w:rPr>
        <w:t>说明：本项目不收集、贮存感染性、爆炸性、废弃剧毒化学品及有关行政管理部门认为不宜收集、贮存的危险废物，不收集无明确利用处置途径的危险废物。</w:t>
      </w:r>
    </w:p>
    <w:tbl>
      <w:tblPr>
        <w:tblStyle w:val="27"/>
        <w:tblW w:w="4999"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613"/>
        <w:gridCol w:w="8672"/>
      </w:tblGrid>
      <w:tr w14:paraId="2B75EF7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523" w:hRule="atLeast"/>
          <w:jc w:val="center"/>
        </w:trPr>
        <w:tc>
          <w:tcPr>
            <w:tcW w:w="418" w:type="pct"/>
            <w:vAlign w:val="center"/>
          </w:tcPr>
          <w:p w14:paraId="2CDDC9D0">
            <w:pPr>
              <w:pStyle w:val="23"/>
              <w:adjustRightInd w:val="0"/>
              <w:snapToGrid w:val="0"/>
              <w:spacing w:before="0" w:beforeAutospacing="0" w:after="0" w:afterAutospacing="0"/>
              <w:jc w:val="center"/>
              <w:rPr>
                <w:rFonts w:ascii="Times New Roman" w:hAnsi="Times New Roman"/>
                <w:color w:val="FF0000"/>
                <w:szCs w:val="24"/>
              </w:rPr>
            </w:pPr>
          </w:p>
        </w:tc>
        <w:tc>
          <w:tcPr>
            <w:tcW w:w="4581" w:type="pct"/>
          </w:tcPr>
          <w:p w14:paraId="3EFAE6D5">
            <w:pPr>
              <w:keepNext w:val="0"/>
              <w:keepLines w:val="0"/>
              <w:pageBreakBefore w:val="0"/>
              <w:widowControl w:val="0"/>
              <w:numPr>
                <w:ilvl w:val="0"/>
                <w:numId w:val="12"/>
              </w:numPr>
              <w:kinsoku/>
              <w:wordWrap/>
              <w:overflowPunct/>
              <w:topLinePunct w:val="0"/>
              <w:autoSpaceDE/>
              <w:autoSpaceDN/>
              <w:bidi w:val="0"/>
              <w:adjustRightInd w:val="0"/>
              <w:snapToGrid w:val="0"/>
              <w:spacing w:line="360" w:lineRule="auto"/>
              <w:ind w:left="0" w:leftChars="0" w:firstLine="482" w:firstLineChars="200"/>
              <w:textAlignment w:val="auto"/>
              <w:rPr>
                <w:rFonts w:ascii="Times New Roman" w:hAnsi="Times New Roman" w:eastAsia="宋体" w:cs="Times New Roman"/>
                <w:b/>
                <w:color w:val="auto"/>
                <w:sz w:val="24"/>
              </w:rPr>
            </w:pPr>
            <w:r>
              <w:rPr>
                <w:rFonts w:hint="eastAsia" w:cs="Times New Roman"/>
                <w:b/>
                <w:color w:val="auto"/>
                <w:sz w:val="24"/>
                <w:lang w:val="en-US" w:eastAsia="zh-CN"/>
              </w:rPr>
              <w:t>收集、储存、转运及接收方案</w:t>
            </w:r>
          </w:p>
          <w:p w14:paraId="7387474F">
            <w:pPr>
              <w:keepNext w:val="0"/>
              <w:keepLines w:val="0"/>
              <w:pageBreakBefore w:val="0"/>
              <w:widowControl w:val="0"/>
              <w:numPr>
                <w:ilvl w:val="0"/>
                <w:numId w:val="15"/>
              </w:numPr>
              <w:kinsoku/>
              <w:wordWrap/>
              <w:overflowPunct/>
              <w:topLinePunct w:val="0"/>
              <w:autoSpaceDE/>
              <w:autoSpaceDN/>
              <w:bidi w:val="0"/>
              <w:adjustRightInd w:val="0"/>
              <w:snapToGrid/>
              <w:spacing w:line="360" w:lineRule="auto"/>
              <w:ind w:left="0" w:leftChars="0" w:firstLine="425" w:firstLineChars="0"/>
              <w:textAlignment w:val="auto"/>
              <w:rPr>
                <w:rFonts w:hint="eastAsia"/>
                <w:color w:val="auto"/>
                <w:sz w:val="24"/>
              </w:rPr>
            </w:pPr>
            <w:r>
              <w:rPr>
                <w:rFonts w:hint="eastAsia"/>
                <w:color w:val="auto"/>
                <w:sz w:val="24"/>
              </w:rPr>
              <w:t>收集范围</w:t>
            </w:r>
          </w:p>
          <w:p w14:paraId="32C2503D">
            <w:pPr>
              <w:keepNext w:val="0"/>
              <w:keepLines w:val="0"/>
              <w:pageBreakBefore w:val="0"/>
              <w:widowControl w:val="0"/>
              <w:kinsoku/>
              <w:wordWrap/>
              <w:overflowPunct/>
              <w:topLinePunct w:val="0"/>
              <w:bidi w:val="0"/>
              <w:adjustRightInd w:val="0"/>
              <w:snapToGrid/>
              <w:spacing w:line="360" w:lineRule="auto"/>
              <w:ind w:firstLine="480" w:firstLineChars="200"/>
              <w:textAlignment w:val="auto"/>
              <w:rPr>
                <w:rFonts w:hint="eastAsia"/>
                <w:color w:val="auto"/>
                <w:sz w:val="24"/>
                <w:lang w:val="en-US" w:eastAsia="zh-CN"/>
              </w:rPr>
            </w:pPr>
            <w:r>
              <w:rPr>
                <w:rFonts w:hint="eastAsia"/>
                <w:color w:val="auto"/>
                <w:sz w:val="24"/>
                <w:lang w:val="en-US" w:eastAsia="zh-CN"/>
              </w:rPr>
              <w:t>本项目收集范围为淄博市内（除900-214-08外）危险废物，仅收集年产生危险废物50吨以下企业、实验室危险废物产生单位、机动车维修拆解单位产生且自愿委托的危险废物。</w:t>
            </w:r>
          </w:p>
          <w:p w14:paraId="68A8CDD3">
            <w:pPr>
              <w:keepNext w:val="0"/>
              <w:keepLines w:val="0"/>
              <w:pageBreakBefore w:val="0"/>
              <w:widowControl w:val="0"/>
              <w:numPr>
                <w:ilvl w:val="0"/>
                <w:numId w:val="15"/>
              </w:numPr>
              <w:kinsoku/>
              <w:wordWrap/>
              <w:overflowPunct/>
              <w:topLinePunct w:val="0"/>
              <w:autoSpaceDE/>
              <w:autoSpaceDN/>
              <w:bidi w:val="0"/>
              <w:adjustRightInd w:val="0"/>
              <w:snapToGrid/>
              <w:spacing w:line="360" w:lineRule="auto"/>
              <w:ind w:left="0" w:leftChars="0" w:firstLine="425" w:firstLineChars="0"/>
              <w:textAlignment w:val="auto"/>
              <w:rPr>
                <w:rFonts w:hint="eastAsia"/>
                <w:color w:val="auto"/>
                <w:sz w:val="24"/>
              </w:rPr>
            </w:pPr>
            <w:r>
              <w:rPr>
                <w:rFonts w:hint="eastAsia"/>
                <w:color w:val="auto"/>
                <w:sz w:val="24"/>
              </w:rPr>
              <w:t>收运要求</w:t>
            </w:r>
          </w:p>
          <w:p w14:paraId="1122C7BE">
            <w:pPr>
              <w:keepNext w:val="0"/>
              <w:keepLines w:val="0"/>
              <w:pageBreakBefore w:val="0"/>
              <w:widowControl w:val="0"/>
              <w:kinsoku/>
              <w:wordWrap/>
              <w:overflowPunct/>
              <w:topLinePunct w:val="0"/>
              <w:bidi w:val="0"/>
              <w:adjustRightInd w:val="0"/>
              <w:snapToGrid/>
              <w:spacing w:line="360" w:lineRule="auto"/>
              <w:ind w:firstLine="480" w:firstLineChars="200"/>
              <w:textAlignment w:val="auto"/>
              <w:rPr>
                <w:rFonts w:hint="default"/>
                <w:color w:val="auto"/>
                <w:sz w:val="24"/>
                <w:lang w:val="en-US" w:eastAsia="zh-CN"/>
              </w:rPr>
            </w:pPr>
            <w:r>
              <w:rPr>
                <w:rFonts w:hint="eastAsia"/>
                <w:color w:val="auto"/>
                <w:sz w:val="24"/>
                <w:lang w:val="en-US" w:eastAsia="zh-CN"/>
              </w:rPr>
              <w:t>厂内外的运输、转移均严格按照《危险废物收集 贮存 运输技术规范》（HJ 2025-2012）、《危险废物转移管理办法》等相关要求进行。</w:t>
            </w:r>
          </w:p>
          <w:p w14:paraId="0235F346">
            <w:pPr>
              <w:keepNext w:val="0"/>
              <w:keepLines w:val="0"/>
              <w:pageBreakBefore w:val="0"/>
              <w:widowControl w:val="0"/>
              <w:kinsoku/>
              <w:wordWrap/>
              <w:overflowPunct/>
              <w:topLinePunct w:val="0"/>
              <w:bidi w:val="0"/>
              <w:adjustRightInd w:val="0"/>
              <w:snapToGrid/>
              <w:spacing w:line="360" w:lineRule="auto"/>
              <w:ind w:firstLine="480" w:firstLineChars="200"/>
              <w:textAlignment w:val="auto"/>
              <w:rPr>
                <w:rFonts w:hint="eastAsia"/>
                <w:color w:val="auto"/>
                <w:sz w:val="24"/>
              </w:rPr>
            </w:pPr>
            <w:r>
              <w:rPr>
                <w:rFonts w:hint="eastAsia"/>
                <w:color w:val="auto"/>
                <w:sz w:val="24"/>
              </w:rPr>
              <w:t>危险废物产生地至项目贮存区的运输委托</w:t>
            </w:r>
            <w:r>
              <w:rPr>
                <w:rFonts w:hint="eastAsia"/>
                <w:color w:val="auto"/>
                <w:sz w:val="24"/>
                <w:lang w:val="en-US" w:eastAsia="zh-CN"/>
              </w:rPr>
              <w:t>专业运输</w:t>
            </w:r>
            <w:r>
              <w:rPr>
                <w:rFonts w:hint="eastAsia"/>
                <w:color w:val="auto"/>
                <w:sz w:val="24"/>
              </w:rPr>
              <w:t>单位负责。公司与运输单位签订危险废物运输协议。</w:t>
            </w:r>
          </w:p>
          <w:p w14:paraId="10537769">
            <w:pPr>
              <w:keepNext w:val="0"/>
              <w:keepLines w:val="0"/>
              <w:pageBreakBefore w:val="0"/>
              <w:widowControl w:val="0"/>
              <w:kinsoku/>
              <w:wordWrap/>
              <w:overflowPunct/>
              <w:topLinePunct w:val="0"/>
              <w:bidi w:val="0"/>
              <w:adjustRightInd w:val="0"/>
              <w:snapToGrid/>
              <w:spacing w:line="360" w:lineRule="auto"/>
              <w:ind w:firstLine="480" w:firstLineChars="200"/>
              <w:textAlignment w:val="auto"/>
              <w:rPr>
                <w:color w:val="auto"/>
                <w:sz w:val="24"/>
              </w:rPr>
            </w:pPr>
            <w:r>
              <w:rPr>
                <w:rFonts w:hint="eastAsia"/>
                <w:color w:val="auto"/>
                <w:sz w:val="24"/>
              </w:rPr>
              <w:t>由于周边地区回收点多而分散，每个回收点一定时期内收集到的数量也不一致，收集时间也不统一，回收过程不具备固定线路条件，不做固定线路要求。</w:t>
            </w:r>
            <w:r>
              <w:rPr>
                <w:rFonts w:hint="eastAsia"/>
                <w:color w:val="auto"/>
                <w:sz w:val="24"/>
                <w:lang w:val="en-US" w:eastAsia="zh-CN"/>
              </w:rPr>
              <w:t>但</w:t>
            </w:r>
            <w:r>
              <w:rPr>
                <w:rFonts w:hint="eastAsia"/>
                <w:color w:val="auto"/>
                <w:sz w:val="24"/>
              </w:rPr>
              <w:t>总体运输路线应避开人口密集区、饮用水源保护区等生态环境敏感区。</w:t>
            </w:r>
          </w:p>
          <w:p w14:paraId="7B7CC216">
            <w:pPr>
              <w:keepNext w:val="0"/>
              <w:keepLines w:val="0"/>
              <w:pageBreakBefore w:val="0"/>
              <w:widowControl w:val="0"/>
              <w:kinsoku/>
              <w:wordWrap/>
              <w:overflowPunct/>
              <w:topLinePunct w:val="0"/>
              <w:bidi w:val="0"/>
              <w:adjustRightInd w:val="0"/>
              <w:snapToGrid/>
              <w:spacing w:line="360" w:lineRule="auto"/>
              <w:ind w:firstLine="480" w:firstLineChars="200"/>
              <w:textAlignment w:val="auto"/>
              <w:rPr>
                <w:rFonts w:hint="eastAsia"/>
                <w:color w:val="auto"/>
                <w:sz w:val="24"/>
              </w:rPr>
            </w:pPr>
            <w:r>
              <w:rPr>
                <w:rFonts w:hint="eastAsia"/>
                <w:color w:val="auto"/>
                <w:sz w:val="24"/>
              </w:rPr>
              <w:t>危险废物运输车辆在醒目处标有特殊标志，告知公众为危险品运输车辆，车厢、底板必须完好，周围栏板牢固，车辆应具有防雨、防潮、防晒功能，并配备相应的防泄漏措施。危险废物统一收集后定期按照规定的路线运输至处置单位进行最终处置。</w:t>
            </w:r>
          </w:p>
          <w:p w14:paraId="263EEB3B">
            <w:pPr>
              <w:keepNext w:val="0"/>
              <w:keepLines w:val="0"/>
              <w:pageBreakBefore w:val="0"/>
              <w:widowControl w:val="0"/>
              <w:numPr>
                <w:ilvl w:val="0"/>
                <w:numId w:val="15"/>
              </w:numPr>
              <w:kinsoku/>
              <w:wordWrap/>
              <w:overflowPunct/>
              <w:topLinePunct w:val="0"/>
              <w:autoSpaceDE/>
              <w:autoSpaceDN/>
              <w:bidi w:val="0"/>
              <w:adjustRightInd w:val="0"/>
              <w:snapToGrid/>
              <w:spacing w:line="360" w:lineRule="auto"/>
              <w:ind w:left="0" w:leftChars="0" w:firstLine="425" w:firstLineChars="0"/>
              <w:textAlignment w:val="auto"/>
              <w:rPr>
                <w:rFonts w:hint="default"/>
                <w:color w:val="auto"/>
                <w:sz w:val="24"/>
                <w:lang w:val="en-US" w:eastAsia="zh-CN"/>
              </w:rPr>
            </w:pPr>
            <w:r>
              <w:rPr>
                <w:rFonts w:hint="eastAsia"/>
                <w:color w:val="auto"/>
                <w:sz w:val="24"/>
                <w:lang w:val="en-US" w:eastAsia="zh-CN"/>
              </w:rPr>
              <w:t>厂内储存</w:t>
            </w:r>
          </w:p>
          <w:p w14:paraId="72C3D4F9">
            <w:pPr>
              <w:keepNext w:val="0"/>
              <w:keepLines w:val="0"/>
              <w:pageBreakBefore w:val="0"/>
              <w:widowControl w:val="0"/>
              <w:kinsoku/>
              <w:wordWrap/>
              <w:overflowPunct/>
              <w:topLinePunct w:val="0"/>
              <w:bidi w:val="0"/>
              <w:adjustRightInd w:val="0"/>
              <w:snapToGrid/>
              <w:spacing w:line="360" w:lineRule="auto"/>
              <w:ind w:firstLine="480" w:firstLineChars="200"/>
              <w:textAlignment w:val="auto"/>
              <w:rPr>
                <w:rFonts w:hint="eastAsia"/>
                <w:color w:val="auto"/>
                <w:sz w:val="24"/>
              </w:rPr>
            </w:pPr>
            <w:r>
              <w:rPr>
                <w:rFonts w:hint="eastAsia"/>
                <w:color w:val="auto"/>
                <w:sz w:val="24"/>
              </w:rPr>
              <w:t>项目厂区场地按照按</w:t>
            </w:r>
            <w:r>
              <w:rPr>
                <w:rFonts w:hint="eastAsia"/>
                <w:color w:val="auto"/>
                <w:sz w:val="24"/>
                <w:lang w:val="en-US" w:eastAsia="zh-CN"/>
              </w:rPr>
              <w:t>《危险废物收集 贮存 运输技术规范》（HJ 2025-2012）、</w:t>
            </w:r>
            <w:r>
              <w:rPr>
                <w:rFonts w:hint="eastAsia"/>
                <w:color w:val="auto"/>
                <w:sz w:val="24"/>
              </w:rPr>
              <w:t>《危险废物贮存污染控制标准》</w:t>
            </w:r>
            <w:r>
              <w:rPr>
                <w:rFonts w:hint="eastAsia"/>
                <w:color w:val="auto"/>
                <w:sz w:val="24"/>
                <w:lang w:eastAsia="zh-CN"/>
              </w:rPr>
              <w:t>（</w:t>
            </w:r>
            <w:r>
              <w:rPr>
                <w:rFonts w:hint="eastAsia"/>
                <w:color w:val="auto"/>
                <w:sz w:val="24"/>
              </w:rPr>
              <w:t>GB18597-2023</w:t>
            </w:r>
            <w:r>
              <w:rPr>
                <w:rFonts w:hint="eastAsia"/>
                <w:color w:val="auto"/>
                <w:sz w:val="24"/>
                <w:lang w:eastAsia="zh-CN"/>
              </w:rPr>
              <w:t>）</w:t>
            </w:r>
            <w:r>
              <w:rPr>
                <w:rFonts w:hint="eastAsia"/>
                <w:color w:val="auto"/>
                <w:sz w:val="24"/>
                <w:lang w:val="en-US" w:eastAsia="zh-CN"/>
              </w:rPr>
              <w:t>中</w:t>
            </w:r>
            <w:r>
              <w:rPr>
                <w:rFonts w:hint="eastAsia"/>
                <w:color w:val="auto"/>
                <w:sz w:val="24"/>
              </w:rPr>
              <w:t>的</w:t>
            </w:r>
            <w:r>
              <w:rPr>
                <w:rFonts w:hint="eastAsia"/>
                <w:color w:val="auto"/>
                <w:sz w:val="24"/>
                <w:lang w:val="en-US" w:eastAsia="zh-CN"/>
              </w:rPr>
              <w:t>相关</w:t>
            </w:r>
            <w:r>
              <w:rPr>
                <w:rFonts w:hint="eastAsia"/>
                <w:color w:val="auto"/>
                <w:sz w:val="24"/>
              </w:rPr>
              <w:t>要求进行改造、防渗防腐处理后作为危险废物暂存仓库，</w:t>
            </w:r>
            <w:r>
              <w:rPr>
                <w:rFonts w:hint="eastAsia"/>
                <w:color w:val="auto"/>
                <w:sz w:val="24"/>
                <w:lang w:val="en-US" w:eastAsia="zh-CN"/>
              </w:rPr>
              <w:t>库内分类分区。项目危险废物收集入库与转运出库的包装方式不变，在仓库内均不拆包装、不分装。</w:t>
            </w:r>
            <w:r>
              <w:rPr>
                <w:rFonts w:hint="eastAsia"/>
                <w:color w:val="auto"/>
                <w:sz w:val="24"/>
              </w:rPr>
              <w:t>危险废物贮存区须施行上锁管理制度，全厂区监控覆盖，以防丢失。</w:t>
            </w:r>
          </w:p>
          <w:p w14:paraId="5AA9D0D2">
            <w:pPr>
              <w:keepNext w:val="0"/>
              <w:keepLines w:val="0"/>
              <w:pageBreakBefore w:val="0"/>
              <w:widowControl w:val="0"/>
              <w:numPr>
                <w:ilvl w:val="0"/>
                <w:numId w:val="15"/>
              </w:numPr>
              <w:kinsoku/>
              <w:wordWrap/>
              <w:overflowPunct/>
              <w:topLinePunct w:val="0"/>
              <w:autoSpaceDE/>
              <w:autoSpaceDN/>
              <w:bidi w:val="0"/>
              <w:adjustRightInd w:val="0"/>
              <w:snapToGrid/>
              <w:spacing w:line="360" w:lineRule="auto"/>
              <w:ind w:left="0" w:leftChars="0" w:firstLine="425" w:firstLineChars="0"/>
              <w:textAlignment w:val="auto"/>
              <w:rPr>
                <w:rFonts w:hint="default"/>
                <w:color w:val="auto"/>
                <w:sz w:val="24"/>
                <w:lang w:val="en-US" w:eastAsia="zh-CN"/>
              </w:rPr>
            </w:pPr>
            <w:r>
              <w:rPr>
                <w:rFonts w:hint="eastAsia"/>
                <w:color w:val="auto"/>
                <w:sz w:val="24"/>
                <w:lang w:val="en-US" w:eastAsia="zh-CN"/>
              </w:rPr>
              <w:t>危废处置</w:t>
            </w:r>
          </w:p>
          <w:p w14:paraId="5FC3DC5D">
            <w:pPr>
              <w:keepNext w:val="0"/>
              <w:keepLines w:val="0"/>
              <w:pageBreakBefore w:val="0"/>
              <w:widowControl w:val="0"/>
              <w:kinsoku/>
              <w:wordWrap/>
              <w:overflowPunct/>
              <w:topLinePunct w:val="0"/>
              <w:bidi w:val="0"/>
              <w:adjustRightInd w:val="0"/>
              <w:snapToGrid/>
              <w:spacing w:line="360" w:lineRule="auto"/>
              <w:ind w:firstLine="480" w:firstLineChars="200"/>
              <w:textAlignment w:val="auto"/>
              <w:rPr>
                <w:rFonts w:hint="eastAsia"/>
                <w:color w:val="auto"/>
                <w:sz w:val="24"/>
                <w:lang w:val="en-US" w:eastAsia="zh-CN"/>
              </w:rPr>
            </w:pPr>
            <w:r>
              <w:rPr>
                <w:rFonts w:hint="eastAsia"/>
                <w:color w:val="auto"/>
                <w:sz w:val="24"/>
                <w:lang w:val="en-US" w:eastAsia="zh-CN"/>
              </w:rPr>
              <w:t>由于项目涉及危废类别较多，收集到的时间、数量不统一，处置单位即时处置能力的不确定性，不具备固定终端处置单位的条件。企业已与多家满足条件的处置单位合作，做到危险废物的规范管理、及时转移和处置、减少贮存过程污染物产生和排放，降低危险废物贮存过程的环境风险。</w:t>
            </w:r>
          </w:p>
          <w:p w14:paraId="3EB74610">
            <w:pPr>
              <w:keepNext w:val="0"/>
              <w:keepLines w:val="0"/>
              <w:pageBreakBefore w:val="0"/>
              <w:widowControl w:val="0"/>
              <w:kinsoku/>
              <w:wordWrap/>
              <w:overflowPunct/>
              <w:topLinePunct w:val="0"/>
              <w:bidi w:val="0"/>
              <w:adjustRightInd w:val="0"/>
              <w:snapToGrid/>
              <w:spacing w:line="360" w:lineRule="auto"/>
              <w:ind w:firstLine="480" w:firstLineChars="200"/>
              <w:textAlignment w:val="auto"/>
              <w:rPr>
                <w:rFonts w:hint="default"/>
                <w:color w:val="auto"/>
                <w:sz w:val="24"/>
                <w:lang w:val="en-US" w:eastAsia="zh-CN"/>
              </w:rPr>
            </w:pPr>
            <w:r>
              <w:rPr>
                <w:rFonts w:hint="eastAsia"/>
                <w:color w:val="auto"/>
                <w:sz w:val="24"/>
                <w:lang w:val="en-US" w:eastAsia="zh-CN"/>
              </w:rPr>
              <w:t>企业将严格按照相关法律法规、政策文件中的要求进行委托，对受托方的主体资格和技术能力进行核实，依法签订书面合同，在合同中约定污染防治要求；转移危险废物的，应当按照国家有关规定填写、运行危险废物转移联单等。</w:t>
            </w:r>
          </w:p>
          <w:p w14:paraId="49305E8B">
            <w:pPr>
              <w:keepNext w:val="0"/>
              <w:keepLines w:val="0"/>
              <w:pageBreakBefore w:val="0"/>
              <w:widowControl w:val="0"/>
              <w:numPr>
                <w:ilvl w:val="0"/>
                <w:numId w:val="12"/>
              </w:numPr>
              <w:kinsoku/>
              <w:wordWrap/>
              <w:overflowPunct/>
              <w:topLinePunct w:val="0"/>
              <w:autoSpaceDE/>
              <w:autoSpaceDN/>
              <w:bidi w:val="0"/>
              <w:adjustRightInd w:val="0"/>
              <w:snapToGrid w:val="0"/>
              <w:spacing w:line="360" w:lineRule="auto"/>
              <w:ind w:left="0" w:leftChars="0" w:firstLine="482" w:firstLineChars="200"/>
              <w:textAlignment w:val="auto"/>
              <w:rPr>
                <w:rFonts w:ascii="Times New Roman" w:hAnsi="Times New Roman" w:eastAsia="宋体" w:cs="Times New Roman"/>
                <w:b/>
                <w:color w:val="auto"/>
                <w:sz w:val="24"/>
              </w:rPr>
            </w:pPr>
            <w:r>
              <w:rPr>
                <w:rFonts w:hint="eastAsia" w:cs="Times New Roman"/>
                <w:b/>
                <w:color w:val="auto"/>
                <w:sz w:val="24"/>
                <w:lang w:val="en-US" w:eastAsia="zh-CN"/>
              </w:rPr>
              <w:t>主要</w:t>
            </w:r>
            <w:r>
              <w:rPr>
                <w:rFonts w:ascii="Times New Roman" w:hAnsi="Times New Roman" w:eastAsia="宋体" w:cs="Times New Roman"/>
                <w:b/>
                <w:color w:val="auto"/>
                <w:sz w:val="24"/>
              </w:rPr>
              <w:t>设备清单</w:t>
            </w:r>
          </w:p>
          <w:p w14:paraId="0204813B">
            <w:pPr>
              <w:keepNext w:val="0"/>
              <w:keepLines w:val="0"/>
              <w:pageBreakBefore w:val="0"/>
              <w:widowControl w:val="0"/>
              <w:kinsoku/>
              <w:wordWrap/>
              <w:overflowPunct/>
              <w:topLinePunct w:val="0"/>
              <w:bidi w:val="0"/>
              <w:adjustRightInd w:val="0"/>
              <w:snapToGrid/>
              <w:spacing w:line="360" w:lineRule="auto"/>
              <w:ind w:firstLine="480" w:firstLineChars="200"/>
              <w:textAlignment w:val="auto"/>
              <w:rPr>
                <w:color w:val="auto"/>
                <w:sz w:val="24"/>
              </w:rPr>
            </w:pPr>
            <w:r>
              <w:rPr>
                <w:color w:val="auto"/>
                <w:sz w:val="24"/>
              </w:rPr>
              <w:t>本项目</w:t>
            </w:r>
            <w:r>
              <w:rPr>
                <w:rFonts w:hint="eastAsia"/>
                <w:color w:val="auto"/>
                <w:sz w:val="24"/>
                <w:lang w:val="en-US" w:eastAsia="zh-CN"/>
              </w:rPr>
              <w:t>搬迁前后</w:t>
            </w:r>
            <w:r>
              <w:rPr>
                <w:color w:val="auto"/>
                <w:sz w:val="24"/>
              </w:rPr>
              <w:t>主要设备详见</w:t>
            </w:r>
            <w:r>
              <w:rPr>
                <w:rFonts w:hint="eastAsia"/>
                <w:color w:val="auto"/>
                <w:sz w:val="24"/>
                <w:lang w:val="en-US" w:eastAsia="zh-CN"/>
              </w:rPr>
              <w:t>下表</w:t>
            </w:r>
            <w:r>
              <w:rPr>
                <w:color w:val="auto"/>
                <w:sz w:val="24"/>
              </w:rPr>
              <w:t>。</w:t>
            </w:r>
          </w:p>
          <w:p w14:paraId="0549BE78">
            <w:pPr>
              <w:keepNext w:val="0"/>
              <w:keepLines w:val="0"/>
              <w:pageBreakBefore w:val="0"/>
              <w:widowControl w:val="0"/>
              <w:numPr>
                <w:ilvl w:val="0"/>
                <w:numId w:val="14"/>
              </w:numPr>
              <w:kinsoku/>
              <w:wordWrap/>
              <w:overflowPunct/>
              <w:topLinePunct w:val="0"/>
              <w:autoSpaceDE w:val="0"/>
              <w:autoSpaceDN w:val="0"/>
              <w:bidi w:val="0"/>
              <w:adjustRightInd w:val="0"/>
              <w:snapToGrid/>
              <w:spacing w:line="360" w:lineRule="auto"/>
              <w:ind w:left="3150" w:leftChars="0" w:hanging="3110" w:firstLineChars="0"/>
              <w:jc w:val="center"/>
              <w:textAlignment w:val="auto"/>
              <w:rPr>
                <w:rFonts w:hint="eastAsia" w:ascii="宋体" w:hAnsi="宋体" w:eastAsia="宋体" w:cs="宋体"/>
                <w:b/>
                <w:bCs/>
                <w:color w:val="auto"/>
                <w:kern w:val="0"/>
                <w:sz w:val="24"/>
                <w:szCs w:val="24"/>
                <w:lang w:val="en-US" w:eastAsia="zh-CN" w:bidi="ar"/>
              </w:rPr>
            </w:pPr>
            <w:r>
              <w:rPr>
                <w:rFonts w:hint="eastAsia" w:ascii="宋体" w:hAnsi="宋体" w:eastAsia="宋体" w:cs="宋体"/>
                <w:b/>
                <w:bCs/>
                <w:color w:val="auto"/>
                <w:kern w:val="0"/>
                <w:sz w:val="24"/>
                <w:szCs w:val="24"/>
                <w:lang w:val="en-US" w:eastAsia="zh-CN" w:bidi="ar"/>
              </w:rPr>
              <w:t>本项目主要设备一览表</w:t>
            </w:r>
          </w:p>
          <w:tbl>
            <w:tblPr>
              <w:tblStyle w:val="27"/>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Layout w:type="autofit"/>
              <w:tblCellMar>
                <w:top w:w="0" w:type="dxa"/>
                <w:left w:w="108" w:type="dxa"/>
                <w:bottom w:w="0" w:type="dxa"/>
                <w:right w:w="108" w:type="dxa"/>
              </w:tblCellMar>
            </w:tblPr>
            <w:tblGrid>
              <w:gridCol w:w="765"/>
              <w:gridCol w:w="2030"/>
              <w:gridCol w:w="1017"/>
              <w:gridCol w:w="1020"/>
              <w:gridCol w:w="3611"/>
            </w:tblGrid>
            <w:tr w14:paraId="145BC7D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90" w:hRule="atLeast"/>
              </w:trPr>
              <w:tc>
                <w:tcPr>
                  <w:tcW w:w="453" w:type="pct"/>
                  <w:vMerge w:val="restart"/>
                  <w:tcBorders>
                    <w:tl2br w:val="nil"/>
                    <w:tr2bl w:val="nil"/>
                  </w:tcBorders>
                  <w:shd w:val="clear" w:color="auto" w:fill="auto"/>
                  <w:noWrap/>
                  <w:vAlign w:val="center"/>
                </w:tcPr>
                <w:p w14:paraId="5336DEE2">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序号</w:t>
                  </w:r>
                </w:p>
              </w:tc>
              <w:tc>
                <w:tcPr>
                  <w:tcW w:w="1202" w:type="pct"/>
                  <w:vMerge w:val="restart"/>
                  <w:tcBorders>
                    <w:tl2br w:val="nil"/>
                    <w:tr2bl w:val="nil"/>
                  </w:tcBorders>
                  <w:shd w:val="clear" w:color="auto" w:fill="auto"/>
                  <w:noWrap/>
                  <w:vAlign w:val="center"/>
                </w:tcPr>
                <w:p w14:paraId="58C5D2F8">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名称</w:t>
                  </w:r>
                </w:p>
              </w:tc>
              <w:tc>
                <w:tcPr>
                  <w:tcW w:w="1206" w:type="pct"/>
                  <w:gridSpan w:val="2"/>
                  <w:tcBorders>
                    <w:tl2br w:val="nil"/>
                    <w:tr2bl w:val="nil"/>
                  </w:tcBorders>
                  <w:shd w:val="clear" w:color="auto" w:fill="auto"/>
                  <w:noWrap/>
                  <w:vAlign w:val="center"/>
                </w:tcPr>
                <w:p w14:paraId="7541C56A">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eastAsia"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数量</w:t>
                  </w:r>
                </w:p>
              </w:tc>
              <w:tc>
                <w:tcPr>
                  <w:tcW w:w="2138" w:type="pct"/>
                  <w:tcBorders>
                    <w:tl2br w:val="nil"/>
                    <w:tr2bl w:val="nil"/>
                  </w:tcBorders>
                  <w:shd w:val="clear" w:color="auto" w:fill="auto"/>
                  <w:noWrap/>
                  <w:vAlign w:val="center"/>
                </w:tcPr>
                <w:p w14:paraId="20D2104E">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备注</w:t>
                  </w:r>
                </w:p>
              </w:tc>
            </w:tr>
            <w:tr w14:paraId="23990FF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90" w:hRule="atLeast"/>
              </w:trPr>
              <w:tc>
                <w:tcPr>
                  <w:tcW w:w="453" w:type="pct"/>
                  <w:vMerge w:val="continue"/>
                  <w:tcBorders>
                    <w:tl2br w:val="nil"/>
                    <w:tr2bl w:val="nil"/>
                  </w:tcBorders>
                  <w:shd w:val="clear" w:color="auto" w:fill="auto"/>
                  <w:noWrap/>
                  <w:vAlign w:val="center"/>
                </w:tcPr>
                <w:p w14:paraId="597E7FA8">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i w:val="0"/>
                      <w:iCs w:val="0"/>
                      <w:color w:val="auto"/>
                      <w:kern w:val="0"/>
                      <w:sz w:val="21"/>
                      <w:szCs w:val="21"/>
                      <w:u w:val="none"/>
                      <w:lang w:val="en-US" w:eastAsia="zh-CN" w:bidi="ar"/>
                    </w:rPr>
                  </w:pPr>
                </w:p>
              </w:tc>
              <w:tc>
                <w:tcPr>
                  <w:tcW w:w="1202" w:type="pct"/>
                  <w:vMerge w:val="continue"/>
                  <w:tcBorders>
                    <w:tl2br w:val="nil"/>
                    <w:tr2bl w:val="nil"/>
                  </w:tcBorders>
                  <w:shd w:val="clear" w:color="auto" w:fill="auto"/>
                  <w:noWrap/>
                  <w:vAlign w:val="center"/>
                </w:tcPr>
                <w:p w14:paraId="4DB649B9">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i w:val="0"/>
                      <w:iCs w:val="0"/>
                      <w:color w:val="auto"/>
                      <w:kern w:val="0"/>
                      <w:sz w:val="21"/>
                      <w:szCs w:val="21"/>
                      <w:u w:val="none"/>
                      <w:lang w:val="en-US" w:eastAsia="zh-CN" w:bidi="ar"/>
                    </w:rPr>
                  </w:pPr>
                </w:p>
              </w:tc>
              <w:tc>
                <w:tcPr>
                  <w:tcW w:w="602" w:type="pct"/>
                  <w:tcBorders>
                    <w:tl2br w:val="nil"/>
                    <w:tr2bl w:val="nil"/>
                  </w:tcBorders>
                  <w:shd w:val="clear" w:color="auto" w:fill="auto"/>
                  <w:noWrap/>
                  <w:vAlign w:val="center"/>
                </w:tcPr>
                <w:p w14:paraId="44AF584B">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搬迁前</w:t>
                  </w:r>
                </w:p>
              </w:tc>
              <w:tc>
                <w:tcPr>
                  <w:tcW w:w="603" w:type="pct"/>
                  <w:tcBorders>
                    <w:tl2br w:val="nil"/>
                    <w:tr2bl w:val="nil"/>
                  </w:tcBorders>
                  <w:shd w:val="clear" w:color="auto" w:fill="auto"/>
                  <w:noWrap/>
                  <w:vAlign w:val="center"/>
                </w:tcPr>
                <w:p w14:paraId="2B67742E">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搬迁后</w:t>
                  </w:r>
                </w:p>
              </w:tc>
              <w:tc>
                <w:tcPr>
                  <w:tcW w:w="2138" w:type="pct"/>
                  <w:tcBorders>
                    <w:tl2br w:val="nil"/>
                    <w:tr2bl w:val="nil"/>
                  </w:tcBorders>
                  <w:shd w:val="clear" w:color="auto" w:fill="auto"/>
                  <w:noWrap/>
                  <w:vAlign w:val="center"/>
                </w:tcPr>
                <w:p w14:paraId="63048528">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eastAsia" w:cs="Times New Roman"/>
                      <w:i w:val="0"/>
                      <w:iCs w:val="0"/>
                      <w:color w:val="auto"/>
                      <w:kern w:val="0"/>
                      <w:sz w:val="21"/>
                      <w:szCs w:val="21"/>
                      <w:u w:val="none"/>
                      <w:lang w:val="en-US" w:eastAsia="zh-CN" w:bidi="ar"/>
                    </w:rPr>
                  </w:pPr>
                </w:p>
              </w:tc>
            </w:tr>
            <w:tr w14:paraId="010481A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90" w:hRule="atLeast"/>
              </w:trPr>
              <w:tc>
                <w:tcPr>
                  <w:tcW w:w="453" w:type="pct"/>
                  <w:tcBorders>
                    <w:tl2br w:val="nil"/>
                    <w:tr2bl w:val="nil"/>
                  </w:tcBorders>
                  <w:shd w:val="clear" w:color="auto" w:fill="auto"/>
                  <w:noWrap/>
                  <w:vAlign w:val="center"/>
                </w:tcPr>
                <w:p w14:paraId="063C14AB">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w:t>
                  </w:r>
                </w:p>
              </w:tc>
              <w:tc>
                <w:tcPr>
                  <w:tcW w:w="1202" w:type="pct"/>
                  <w:tcBorders>
                    <w:tl2br w:val="nil"/>
                    <w:tr2bl w:val="nil"/>
                  </w:tcBorders>
                  <w:shd w:val="clear" w:color="auto" w:fill="auto"/>
                  <w:noWrap/>
                  <w:vAlign w:val="center"/>
                </w:tcPr>
                <w:p w14:paraId="28C7D000">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eastAsia" w:ascii="Times New Roman" w:hAnsi="Times New Roman" w:eastAsia="宋体" w:cs="Times New Roman"/>
                      <w:i w:val="0"/>
                      <w:iCs w:val="0"/>
                      <w:color w:val="auto"/>
                      <w:kern w:val="2"/>
                      <w:sz w:val="21"/>
                      <w:szCs w:val="21"/>
                      <w:u w:val="none"/>
                      <w:lang w:val="en-US" w:eastAsia="zh-CN" w:bidi="ar-SA"/>
                    </w:rPr>
                  </w:pPr>
                  <w:r>
                    <w:rPr>
                      <w:rFonts w:hint="eastAsia" w:cs="Times New Roman"/>
                      <w:i w:val="0"/>
                      <w:iCs w:val="0"/>
                      <w:color w:val="auto"/>
                      <w:kern w:val="2"/>
                      <w:sz w:val="21"/>
                      <w:szCs w:val="21"/>
                      <w:u w:val="none"/>
                      <w:lang w:val="en-US" w:eastAsia="zh-CN" w:bidi="ar-SA"/>
                    </w:rPr>
                    <w:t>活性炭吸附装置</w:t>
                  </w:r>
                </w:p>
              </w:tc>
              <w:tc>
                <w:tcPr>
                  <w:tcW w:w="602" w:type="pct"/>
                  <w:tcBorders>
                    <w:tl2br w:val="nil"/>
                    <w:tr2bl w:val="nil"/>
                  </w:tcBorders>
                  <w:shd w:val="clear" w:color="auto" w:fill="auto"/>
                  <w:noWrap/>
                  <w:vAlign w:val="center"/>
                </w:tcPr>
                <w:p w14:paraId="4F6C20EA">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宋体" w:hAnsi="宋体" w:eastAsia="宋体" w:cs="宋体"/>
                      <w:i w:val="0"/>
                      <w:iCs w:val="0"/>
                      <w:color w:val="auto"/>
                      <w:kern w:val="0"/>
                      <w:sz w:val="21"/>
                      <w:szCs w:val="21"/>
                      <w:u w:val="none"/>
                      <w:lang w:val="en-US" w:eastAsia="zh-CN" w:bidi="ar"/>
                    </w:rPr>
                  </w:pPr>
                  <w:r>
                    <w:rPr>
                      <w:rFonts w:hint="eastAsia" w:ascii="宋体" w:hAnsi="宋体" w:cs="宋体"/>
                      <w:i w:val="0"/>
                      <w:iCs w:val="0"/>
                      <w:color w:val="auto"/>
                      <w:kern w:val="0"/>
                      <w:sz w:val="21"/>
                      <w:szCs w:val="21"/>
                      <w:u w:val="none"/>
                      <w:lang w:val="en-US" w:eastAsia="zh-CN" w:bidi="ar"/>
                    </w:rPr>
                    <w:t>1套</w:t>
                  </w:r>
                </w:p>
              </w:tc>
              <w:tc>
                <w:tcPr>
                  <w:tcW w:w="603" w:type="pct"/>
                  <w:tcBorders>
                    <w:tl2br w:val="nil"/>
                    <w:tr2bl w:val="nil"/>
                  </w:tcBorders>
                  <w:shd w:val="clear" w:color="auto" w:fill="auto"/>
                  <w:noWrap/>
                  <w:vAlign w:val="center"/>
                </w:tcPr>
                <w:p w14:paraId="36DED1C4">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宋体" w:hAnsi="宋体" w:eastAsia="宋体" w:cs="宋体"/>
                      <w:i w:val="0"/>
                      <w:iCs w:val="0"/>
                      <w:color w:val="auto"/>
                      <w:kern w:val="0"/>
                      <w:sz w:val="21"/>
                      <w:szCs w:val="21"/>
                      <w:u w:val="none"/>
                      <w:lang w:val="en-US" w:eastAsia="zh-CN" w:bidi="ar"/>
                    </w:rPr>
                  </w:pPr>
                  <w:r>
                    <w:rPr>
                      <w:rFonts w:hint="eastAsia" w:ascii="宋体" w:hAnsi="宋体" w:cs="宋体"/>
                      <w:i w:val="0"/>
                      <w:iCs w:val="0"/>
                      <w:color w:val="auto"/>
                      <w:kern w:val="0"/>
                      <w:sz w:val="21"/>
                      <w:szCs w:val="21"/>
                      <w:u w:val="none"/>
                      <w:lang w:val="en-US" w:eastAsia="zh-CN" w:bidi="ar"/>
                    </w:rPr>
                    <w:t>1套</w:t>
                  </w:r>
                </w:p>
              </w:tc>
              <w:tc>
                <w:tcPr>
                  <w:tcW w:w="2138" w:type="pct"/>
                  <w:tcBorders>
                    <w:tl2br w:val="nil"/>
                    <w:tr2bl w:val="nil"/>
                  </w:tcBorders>
                  <w:shd w:val="clear" w:color="auto" w:fill="auto"/>
                  <w:noWrap/>
                  <w:vAlign w:val="center"/>
                </w:tcPr>
                <w:p w14:paraId="7F8B9B7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cs="宋体"/>
                      <w:i w:val="0"/>
                      <w:iCs w:val="0"/>
                      <w:color w:val="auto"/>
                      <w:kern w:val="0"/>
                      <w:sz w:val="21"/>
                      <w:szCs w:val="21"/>
                      <w:u w:val="none"/>
                      <w:lang w:val="en-US" w:eastAsia="zh-CN" w:bidi="ar"/>
                    </w:rPr>
                    <w:t>两级活性炭吸附+DA001排气筒</w:t>
                  </w:r>
                </w:p>
              </w:tc>
            </w:tr>
            <w:tr w14:paraId="4A776CA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90" w:hRule="atLeast"/>
              </w:trPr>
              <w:tc>
                <w:tcPr>
                  <w:tcW w:w="453" w:type="pct"/>
                  <w:tcBorders>
                    <w:tl2br w:val="nil"/>
                    <w:tr2bl w:val="nil"/>
                  </w:tcBorders>
                  <w:shd w:val="clear" w:color="auto" w:fill="auto"/>
                  <w:noWrap/>
                  <w:vAlign w:val="center"/>
                </w:tcPr>
                <w:p w14:paraId="3084E3D3">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w:t>
                  </w:r>
                </w:p>
              </w:tc>
              <w:tc>
                <w:tcPr>
                  <w:tcW w:w="1202" w:type="pct"/>
                  <w:tcBorders>
                    <w:tl2br w:val="nil"/>
                    <w:tr2bl w:val="nil"/>
                  </w:tcBorders>
                  <w:shd w:val="clear" w:color="auto" w:fill="auto"/>
                  <w:noWrap/>
                  <w:vAlign w:val="center"/>
                </w:tcPr>
                <w:p w14:paraId="03C9B251">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eastAsia" w:cs="Times New Roman"/>
                      <w:i w:val="0"/>
                      <w:iCs w:val="0"/>
                      <w:color w:val="auto"/>
                      <w:kern w:val="2"/>
                      <w:sz w:val="21"/>
                      <w:szCs w:val="21"/>
                      <w:u w:val="none"/>
                      <w:lang w:val="en-US" w:eastAsia="zh-CN" w:bidi="ar-SA"/>
                    </w:rPr>
                    <w:t>碱喷淋塔</w:t>
                  </w:r>
                </w:p>
              </w:tc>
              <w:tc>
                <w:tcPr>
                  <w:tcW w:w="602" w:type="pct"/>
                  <w:tcBorders>
                    <w:tl2br w:val="nil"/>
                    <w:tr2bl w:val="nil"/>
                  </w:tcBorders>
                  <w:shd w:val="clear" w:color="auto" w:fill="auto"/>
                  <w:noWrap/>
                  <w:vAlign w:val="center"/>
                </w:tcPr>
                <w:p w14:paraId="08E9A1F7">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宋体" w:hAnsi="宋体" w:eastAsia="宋体" w:cs="宋体"/>
                      <w:i w:val="0"/>
                      <w:iCs w:val="0"/>
                      <w:color w:val="auto"/>
                      <w:kern w:val="0"/>
                      <w:sz w:val="21"/>
                      <w:szCs w:val="21"/>
                      <w:u w:val="none"/>
                      <w:lang w:val="en-US" w:eastAsia="zh-CN" w:bidi="ar"/>
                    </w:rPr>
                  </w:pPr>
                  <w:r>
                    <w:rPr>
                      <w:rFonts w:hint="eastAsia" w:ascii="宋体" w:hAnsi="宋体" w:cs="宋体"/>
                      <w:i w:val="0"/>
                      <w:iCs w:val="0"/>
                      <w:color w:val="auto"/>
                      <w:kern w:val="0"/>
                      <w:sz w:val="21"/>
                      <w:szCs w:val="21"/>
                      <w:u w:val="none"/>
                      <w:lang w:val="en-US" w:eastAsia="zh-CN" w:bidi="ar"/>
                    </w:rPr>
                    <w:t>1套</w:t>
                  </w:r>
                </w:p>
              </w:tc>
              <w:tc>
                <w:tcPr>
                  <w:tcW w:w="603" w:type="pct"/>
                  <w:tcBorders>
                    <w:tl2br w:val="nil"/>
                    <w:tr2bl w:val="nil"/>
                  </w:tcBorders>
                  <w:shd w:val="clear" w:color="auto" w:fill="auto"/>
                  <w:noWrap/>
                  <w:vAlign w:val="center"/>
                </w:tcPr>
                <w:p w14:paraId="61FFBF3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宋体" w:hAnsi="宋体" w:eastAsia="宋体" w:cs="宋体"/>
                      <w:i w:val="0"/>
                      <w:iCs w:val="0"/>
                      <w:color w:val="auto"/>
                      <w:kern w:val="0"/>
                      <w:sz w:val="21"/>
                      <w:szCs w:val="21"/>
                      <w:u w:val="none"/>
                      <w:lang w:val="en-US" w:eastAsia="zh-CN" w:bidi="ar"/>
                    </w:rPr>
                  </w:pPr>
                  <w:r>
                    <w:rPr>
                      <w:rFonts w:hint="eastAsia" w:ascii="宋体" w:hAnsi="宋体" w:cs="宋体"/>
                      <w:i w:val="0"/>
                      <w:iCs w:val="0"/>
                      <w:color w:val="auto"/>
                      <w:kern w:val="0"/>
                      <w:sz w:val="21"/>
                      <w:szCs w:val="21"/>
                      <w:u w:val="none"/>
                      <w:lang w:val="en-US" w:eastAsia="zh-CN" w:bidi="ar"/>
                    </w:rPr>
                    <w:t>1套</w:t>
                  </w:r>
                </w:p>
              </w:tc>
              <w:tc>
                <w:tcPr>
                  <w:tcW w:w="2138" w:type="pct"/>
                  <w:tcBorders>
                    <w:tl2br w:val="nil"/>
                    <w:tr2bl w:val="nil"/>
                  </w:tcBorders>
                  <w:shd w:val="clear" w:color="auto" w:fill="auto"/>
                  <w:noWrap/>
                  <w:vAlign w:val="center"/>
                </w:tcPr>
                <w:p w14:paraId="1C67D26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宋体" w:hAnsi="宋体" w:eastAsia="宋体" w:cs="宋体"/>
                      <w:i w:val="0"/>
                      <w:iCs w:val="0"/>
                      <w:color w:val="auto"/>
                      <w:kern w:val="0"/>
                      <w:sz w:val="21"/>
                      <w:szCs w:val="21"/>
                      <w:u w:val="none"/>
                      <w:lang w:val="en-US" w:eastAsia="zh-CN" w:bidi="ar"/>
                    </w:rPr>
                  </w:pPr>
                  <w:r>
                    <w:rPr>
                      <w:rFonts w:hint="eastAsia" w:ascii="宋体" w:hAnsi="宋体" w:cs="宋体"/>
                      <w:i w:val="0"/>
                      <w:iCs w:val="0"/>
                      <w:color w:val="auto"/>
                      <w:kern w:val="0"/>
                      <w:sz w:val="21"/>
                      <w:szCs w:val="21"/>
                      <w:u w:val="none"/>
                      <w:lang w:val="en-US" w:eastAsia="zh-CN" w:bidi="ar"/>
                    </w:rPr>
                    <w:t>氢氧化钠碱液喷淋+DA002排气筒</w:t>
                  </w:r>
                </w:p>
              </w:tc>
            </w:tr>
          </w:tbl>
          <w:p w14:paraId="066378E0">
            <w:pPr>
              <w:keepNext w:val="0"/>
              <w:keepLines w:val="0"/>
              <w:pageBreakBefore w:val="0"/>
              <w:widowControl w:val="0"/>
              <w:numPr>
                <w:ilvl w:val="0"/>
                <w:numId w:val="12"/>
              </w:numPr>
              <w:kinsoku/>
              <w:wordWrap/>
              <w:overflowPunct/>
              <w:topLinePunct w:val="0"/>
              <w:autoSpaceDE/>
              <w:autoSpaceDN/>
              <w:bidi w:val="0"/>
              <w:adjustRightInd w:val="0"/>
              <w:snapToGrid w:val="0"/>
              <w:spacing w:line="360" w:lineRule="auto"/>
              <w:ind w:left="0" w:leftChars="0" w:firstLine="482" w:firstLineChars="200"/>
              <w:textAlignment w:val="auto"/>
              <w:rPr>
                <w:rFonts w:ascii="Times New Roman" w:hAnsi="Times New Roman" w:eastAsia="宋体" w:cs="Times New Roman"/>
                <w:b/>
                <w:color w:val="auto"/>
                <w:sz w:val="24"/>
              </w:rPr>
            </w:pPr>
            <w:r>
              <w:rPr>
                <w:rFonts w:hint="eastAsia" w:cs="Times New Roman"/>
                <w:b/>
                <w:color w:val="auto"/>
                <w:sz w:val="24"/>
                <w:lang w:val="en-US" w:eastAsia="zh-CN"/>
              </w:rPr>
              <w:t>原辅材料及能源消耗</w:t>
            </w:r>
          </w:p>
          <w:p w14:paraId="274CDB6A">
            <w:pPr>
              <w:keepNext w:val="0"/>
              <w:keepLines w:val="0"/>
              <w:pageBreakBefore w:val="0"/>
              <w:widowControl w:val="0"/>
              <w:kinsoku/>
              <w:wordWrap/>
              <w:overflowPunct/>
              <w:topLinePunct w:val="0"/>
              <w:bidi w:val="0"/>
              <w:adjustRightInd w:val="0"/>
              <w:snapToGrid/>
              <w:spacing w:line="360" w:lineRule="auto"/>
              <w:ind w:firstLine="480" w:firstLineChars="200"/>
              <w:textAlignment w:val="auto"/>
              <w:rPr>
                <w:color w:val="auto"/>
                <w:sz w:val="24"/>
              </w:rPr>
            </w:pPr>
            <w:r>
              <w:rPr>
                <w:color w:val="auto"/>
                <w:sz w:val="24"/>
              </w:rPr>
              <w:t>本项目</w:t>
            </w:r>
            <w:r>
              <w:rPr>
                <w:rFonts w:hint="eastAsia"/>
                <w:color w:val="auto"/>
                <w:sz w:val="24"/>
                <w:lang w:val="en-US" w:eastAsia="zh-CN"/>
              </w:rPr>
              <w:t>物料及能源消耗情况</w:t>
            </w:r>
            <w:r>
              <w:rPr>
                <w:color w:val="auto"/>
                <w:sz w:val="24"/>
              </w:rPr>
              <w:t>详见</w:t>
            </w:r>
            <w:r>
              <w:rPr>
                <w:rFonts w:hint="eastAsia"/>
                <w:color w:val="auto"/>
                <w:sz w:val="24"/>
                <w:lang w:val="en-US" w:eastAsia="zh-CN"/>
              </w:rPr>
              <w:t>下表</w:t>
            </w:r>
            <w:r>
              <w:rPr>
                <w:color w:val="auto"/>
                <w:sz w:val="24"/>
              </w:rPr>
              <w:t>。</w:t>
            </w:r>
          </w:p>
          <w:p w14:paraId="0751F461">
            <w:pPr>
              <w:keepNext w:val="0"/>
              <w:keepLines w:val="0"/>
              <w:pageBreakBefore w:val="0"/>
              <w:widowControl w:val="0"/>
              <w:numPr>
                <w:ilvl w:val="0"/>
                <w:numId w:val="14"/>
              </w:numPr>
              <w:kinsoku/>
              <w:wordWrap/>
              <w:overflowPunct/>
              <w:topLinePunct w:val="0"/>
              <w:autoSpaceDE w:val="0"/>
              <w:autoSpaceDN w:val="0"/>
              <w:bidi w:val="0"/>
              <w:adjustRightInd w:val="0"/>
              <w:snapToGrid/>
              <w:spacing w:line="360" w:lineRule="auto"/>
              <w:ind w:left="3150" w:leftChars="0" w:hanging="3110" w:firstLineChars="0"/>
              <w:jc w:val="center"/>
              <w:textAlignment w:val="auto"/>
              <w:rPr>
                <w:rFonts w:hint="eastAsia" w:ascii="宋体" w:hAnsi="宋体" w:eastAsia="宋体" w:cs="宋体"/>
                <w:b/>
                <w:bCs/>
                <w:color w:val="auto"/>
                <w:kern w:val="0"/>
                <w:sz w:val="24"/>
                <w:szCs w:val="24"/>
                <w:lang w:val="en-US" w:eastAsia="zh-CN" w:bidi="ar"/>
              </w:rPr>
            </w:pPr>
            <w:r>
              <w:rPr>
                <w:rFonts w:hint="eastAsia" w:ascii="宋体" w:hAnsi="宋体" w:eastAsia="宋体" w:cs="宋体"/>
                <w:b/>
                <w:bCs/>
                <w:color w:val="auto"/>
                <w:kern w:val="0"/>
                <w:sz w:val="24"/>
                <w:szCs w:val="24"/>
                <w:lang w:val="en-US" w:eastAsia="zh-CN" w:bidi="ar"/>
              </w:rPr>
              <w:t>物料及能源消耗一览表</w:t>
            </w:r>
          </w:p>
          <w:tbl>
            <w:tblPr>
              <w:tblStyle w:val="27"/>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Layout w:type="autofit"/>
              <w:tblCellMar>
                <w:top w:w="0" w:type="dxa"/>
                <w:left w:w="108" w:type="dxa"/>
                <w:bottom w:w="0" w:type="dxa"/>
                <w:right w:w="108" w:type="dxa"/>
              </w:tblCellMar>
            </w:tblPr>
            <w:tblGrid>
              <w:gridCol w:w="1181"/>
              <w:gridCol w:w="1573"/>
              <w:gridCol w:w="1573"/>
              <w:gridCol w:w="1576"/>
              <w:gridCol w:w="1358"/>
              <w:gridCol w:w="1182"/>
            </w:tblGrid>
            <w:tr w14:paraId="6425FD4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90" w:hRule="atLeast"/>
              </w:trPr>
              <w:tc>
                <w:tcPr>
                  <w:tcW w:w="699" w:type="pct"/>
                  <w:vMerge w:val="restart"/>
                  <w:tcBorders>
                    <w:tl2br w:val="nil"/>
                    <w:tr2bl w:val="nil"/>
                  </w:tcBorders>
                  <w:shd w:val="clear" w:color="auto" w:fill="auto"/>
                  <w:noWrap/>
                  <w:vAlign w:val="center"/>
                </w:tcPr>
                <w:p w14:paraId="49D9F611">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序号</w:t>
                  </w:r>
                </w:p>
              </w:tc>
              <w:tc>
                <w:tcPr>
                  <w:tcW w:w="931" w:type="pct"/>
                  <w:vMerge w:val="restart"/>
                  <w:tcBorders>
                    <w:right w:val="single" w:color="auto" w:sz="4" w:space="0"/>
                    <w:tl2br w:val="nil"/>
                    <w:tr2bl w:val="nil"/>
                  </w:tcBorders>
                  <w:shd w:val="clear" w:color="auto" w:fill="auto"/>
                  <w:noWrap/>
                  <w:vAlign w:val="center"/>
                </w:tcPr>
                <w:p w14:paraId="20011CF4">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名称</w:t>
                  </w:r>
                </w:p>
              </w:tc>
              <w:tc>
                <w:tcPr>
                  <w:tcW w:w="1864" w:type="pct"/>
                  <w:gridSpan w:val="2"/>
                  <w:tcBorders>
                    <w:left w:val="single" w:color="auto" w:sz="4" w:space="0"/>
                    <w:tl2br w:val="nil"/>
                    <w:tr2bl w:val="nil"/>
                  </w:tcBorders>
                  <w:shd w:val="clear" w:color="auto" w:fill="auto"/>
                  <w:noWrap/>
                  <w:vAlign w:val="center"/>
                </w:tcPr>
                <w:p w14:paraId="7110D1B9">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数量</w:t>
                  </w:r>
                </w:p>
              </w:tc>
              <w:tc>
                <w:tcPr>
                  <w:tcW w:w="804" w:type="pct"/>
                  <w:vMerge w:val="restart"/>
                  <w:tcBorders>
                    <w:tl2br w:val="nil"/>
                    <w:tr2bl w:val="nil"/>
                  </w:tcBorders>
                  <w:shd w:val="clear" w:color="auto" w:fill="auto"/>
                  <w:noWrap/>
                  <w:vAlign w:val="center"/>
                </w:tcPr>
                <w:p w14:paraId="28FBF836">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eastAsia" w:ascii="Times New Roman" w:hAnsi="Times New Roman" w:eastAsia="宋体" w:cs="Times New Roman"/>
                      <w:i w:val="0"/>
                      <w:iCs w:val="0"/>
                      <w:color w:val="auto"/>
                      <w:sz w:val="21"/>
                      <w:szCs w:val="21"/>
                      <w:u w:val="none"/>
                      <w:lang w:val="en-US" w:eastAsia="zh-CN"/>
                    </w:rPr>
                  </w:pPr>
                  <w:r>
                    <w:rPr>
                      <w:rFonts w:hint="eastAsia" w:cs="Times New Roman"/>
                      <w:i w:val="0"/>
                      <w:iCs w:val="0"/>
                      <w:color w:val="auto"/>
                      <w:sz w:val="21"/>
                      <w:szCs w:val="21"/>
                      <w:u w:val="none"/>
                      <w:lang w:val="en-US" w:eastAsia="zh-CN"/>
                    </w:rPr>
                    <w:t>单位</w:t>
                  </w:r>
                </w:p>
              </w:tc>
              <w:tc>
                <w:tcPr>
                  <w:tcW w:w="699" w:type="pct"/>
                  <w:vMerge w:val="restart"/>
                  <w:tcBorders>
                    <w:tl2br w:val="nil"/>
                    <w:tr2bl w:val="nil"/>
                  </w:tcBorders>
                  <w:shd w:val="clear" w:color="auto" w:fill="auto"/>
                  <w:noWrap/>
                  <w:vAlign w:val="center"/>
                </w:tcPr>
                <w:p w14:paraId="41BBB907">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i w:val="0"/>
                      <w:iCs w:val="0"/>
                      <w:color w:val="auto"/>
                      <w:sz w:val="21"/>
                      <w:szCs w:val="21"/>
                      <w:u w:val="none"/>
                      <w:lang w:val="en-US" w:eastAsia="zh-CN"/>
                    </w:rPr>
                  </w:pPr>
                  <w:r>
                    <w:rPr>
                      <w:rFonts w:hint="eastAsia" w:cs="Times New Roman"/>
                      <w:i w:val="0"/>
                      <w:iCs w:val="0"/>
                      <w:color w:val="auto"/>
                      <w:sz w:val="21"/>
                      <w:szCs w:val="21"/>
                      <w:u w:val="none"/>
                      <w:lang w:val="en-US" w:eastAsia="zh-CN"/>
                    </w:rPr>
                    <w:t>备注</w:t>
                  </w:r>
                </w:p>
              </w:tc>
            </w:tr>
            <w:tr w14:paraId="3BE3038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90" w:hRule="atLeast"/>
              </w:trPr>
              <w:tc>
                <w:tcPr>
                  <w:tcW w:w="699" w:type="pct"/>
                  <w:vMerge w:val="continue"/>
                  <w:tcBorders>
                    <w:tl2br w:val="nil"/>
                    <w:tr2bl w:val="nil"/>
                  </w:tcBorders>
                  <w:shd w:val="clear" w:color="auto" w:fill="auto"/>
                  <w:noWrap/>
                  <w:vAlign w:val="center"/>
                </w:tcPr>
                <w:p w14:paraId="6A12039B">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i w:val="0"/>
                      <w:iCs w:val="0"/>
                      <w:color w:val="auto"/>
                      <w:kern w:val="0"/>
                      <w:sz w:val="21"/>
                      <w:szCs w:val="21"/>
                      <w:u w:val="none"/>
                      <w:lang w:val="en-US" w:eastAsia="zh-CN" w:bidi="ar"/>
                    </w:rPr>
                  </w:pPr>
                </w:p>
              </w:tc>
              <w:tc>
                <w:tcPr>
                  <w:tcW w:w="931" w:type="pct"/>
                  <w:vMerge w:val="continue"/>
                  <w:tcBorders>
                    <w:right w:val="single" w:color="auto" w:sz="4" w:space="0"/>
                    <w:tl2br w:val="nil"/>
                    <w:tr2bl w:val="nil"/>
                  </w:tcBorders>
                  <w:shd w:val="clear" w:color="auto" w:fill="auto"/>
                  <w:noWrap/>
                  <w:vAlign w:val="center"/>
                </w:tcPr>
                <w:p w14:paraId="01733593">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i w:val="0"/>
                      <w:iCs w:val="0"/>
                      <w:color w:val="auto"/>
                      <w:kern w:val="0"/>
                      <w:sz w:val="21"/>
                      <w:szCs w:val="21"/>
                      <w:u w:val="none"/>
                      <w:lang w:val="en-US" w:eastAsia="zh-CN" w:bidi="ar"/>
                    </w:rPr>
                  </w:pPr>
                </w:p>
              </w:tc>
              <w:tc>
                <w:tcPr>
                  <w:tcW w:w="931" w:type="pct"/>
                  <w:tcBorders>
                    <w:left w:val="single" w:color="auto" w:sz="4" w:space="0"/>
                    <w:tl2br w:val="nil"/>
                    <w:tr2bl w:val="nil"/>
                  </w:tcBorders>
                  <w:shd w:val="clear" w:color="auto" w:fill="auto"/>
                  <w:noWrap/>
                  <w:vAlign w:val="center"/>
                </w:tcPr>
                <w:p w14:paraId="7A7C60EC">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搬迁前</w:t>
                  </w:r>
                </w:p>
              </w:tc>
              <w:tc>
                <w:tcPr>
                  <w:tcW w:w="933" w:type="pct"/>
                  <w:tcBorders>
                    <w:tl2br w:val="nil"/>
                    <w:tr2bl w:val="nil"/>
                  </w:tcBorders>
                  <w:shd w:val="clear" w:color="auto" w:fill="auto"/>
                  <w:noWrap/>
                  <w:vAlign w:val="center"/>
                </w:tcPr>
                <w:p w14:paraId="59E7CF1A">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搬迁后</w:t>
                  </w:r>
                </w:p>
              </w:tc>
              <w:tc>
                <w:tcPr>
                  <w:tcW w:w="804" w:type="pct"/>
                  <w:vMerge w:val="continue"/>
                  <w:tcBorders>
                    <w:tl2br w:val="nil"/>
                    <w:tr2bl w:val="nil"/>
                  </w:tcBorders>
                  <w:shd w:val="clear" w:color="auto" w:fill="auto"/>
                  <w:noWrap/>
                  <w:vAlign w:val="center"/>
                </w:tcPr>
                <w:p w14:paraId="525BB613">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eastAsia" w:cs="Times New Roman"/>
                      <w:i w:val="0"/>
                      <w:iCs w:val="0"/>
                      <w:color w:val="auto"/>
                      <w:sz w:val="21"/>
                      <w:szCs w:val="21"/>
                      <w:u w:val="none"/>
                      <w:lang w:val="en-US" w:eastAsia="zh-CN"/>
                    </w:rPr>
                  </w:pPr>
                </w:p>
              </w:tc>
              <w:tc>
                <w:tcPr>
                  <w:tcW w:w="699" w:type="pct"/>
                  <w:vMerge w:val="continue"/>
                  <w:tcBorders>
                    <w:tl2br w:val="nil"/>
                    <w:tr2bl w:val="nil"/>
                  </w:tcBorders>
                  <w:shd w:val="clear" w:color="auto" w:fill="auto"/>
                  <w:noWrap/>
                  <w:vAlign w:val="center"/>
                </w:tcPr>
                <w:p w14:paraId="1AAC25EB">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eastAsia" w:cs="Times New Roman"/>
                      <w:i w:val="0"/>
                      <w:iCs w:val="0"/>
                      <w:color w:val="auto"/>
                      <w:sz w:val="21"/>
                      <w:szCs w:val="21"/>
                      <w:u w:val="none"/>
                      <w:lang w:val="en-US" w:eastAsia="zh-CN"/>
                    </w:rPr>
                  </w:pPr>
                </w:p>
              </w:tc>
            </w:tr>
            <w:tr w14:paraId="1CA1A1B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90" w:hRule="atLeast"/>
              </w:trPr>
              <w:tc>
                <w:tcPr>
                  <w:tcW w:w="699" w:type="pct"/>
                  <w:tcBorders>
                    <w:tl2br w:val="nil"/>
                    <w:tr2bl w:val="nil"/>
                  </w:tcBorders>
                  <w:shd w:val="clear" w:color="auto" w:fill="auto"/>
                  <w:noWrap/>
                  <w:vAlign w:val="center"/>
                </w:tcPr>
                <w:p w14:paraId="320407E1">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w:t>
                  </w:r>
                </w:p>
              </w:tc>
              <w:tc>
                <w:tcPr>
                  <w:tcW w:w="931" w:type="pct"/>
                  <w:tcBorders>
                    <w:right w:val="single" w:color="auto" w:sz="4" w:space="0"/>
                    <w:tl2br w:val="nil"/>
                    <w:tr2bl w:val="nil"/>
                  </w:tcBorders>
                  <w:shd w:val="clear" w:color="auto" w:fill="auto"/>
                  <w:noWrap/>
                  <w:vAlign w:val="center"/>
                </w:tcPr>
                <w:p w14:paraId="5B0DF03D">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eastAsia" w:ascii="Times New Roman" w:hAnsi="Times New Roman" w:eastAsia="宋体" w:cs="Times New Roman"/>
                      <w:i w:val="0"/>
                      <w:iCs w:val="0"/>
                      <w:color w:val="auto"/>
                      <w:kern w:val="2"/>
                      <w:sz w:val="21"/>
                      <w:szCs w:val="21"/>
                      <w:u w:val="none"/>
                      <w:lang w:val="en-US" w:eastAsia="zh-CN" w:bidi="ar-SA"/>
                    </w:rPr>
                  </w:pPr>
                  <w:r>
                    <w:rPr>
                      <w:rFonts w:hint="eastAsia" w:cs="Times New Roman"/>
                      <w:i w:val="0"/>
                      <w:iCs w:val="0"/>
                      <w:color w:val="auto"/>
                      <w:sz w:val="21"/>
                      <w:szCs w:val="21"/>
                      <w:u w:val="none"/>
                      <w:lang w:val="en-US" w:eastAsia="zh-CN"/>
                    </w:rPr>
                    <w:t>活性炭</w:t>
                  </w:r>
                </w:p>
              </w:tc>
              <w:tc>
                <w:tcPr>
                  <w:tcW w:w="931" w:type="pct"/>
                  <w:tcBorders>
                    <w:left w:val="single" w:color="auto" w:sz="4" w:space="0"/>
                    <w:tl2br w:val="nil"/>
                    <w:tr2bl w:val="nil"/>
                  </w:tcBorders>
                  <w:shd w:val="clear" w:color="auto" w:fill="auto"/>
                  <w:noWrap/>
                  <w:vAlign w:val="center"/>
                </w:tcPr>
                <w:p w14:paraId="740EE7AE">
                  <w:pPr>
                    <w:keepNext w:val="0"/>
                    <w:keepLines w:val="0"/>
                    <w:pageBreakBefore w:val="0"/>
                    <w:widowControl/>
                    <w:suppressLineNumbers w:val="0"/>
                    <w:tabs>
                      <w:tab w:val="center" w:pos="1129"/>
                      <w:tab w:val="right" w:pos="2140"/>
                    </w:tabs>
                    <w:kinsoku/>
                    <w:wordWrap/>
                    <w:overflowPunct/>
                    <w:topLinePunct w:val="0"/>
                    <w:autoSpaceDE/>
                    <w:autoSpaceDN/>
                    <w:bidi w:val="0"/>
                    <w:adjustRightInd/>
                    <w:snapToGrid/>
                    <w:spacing w:line="340" w:lineRule="exact"/>
                    <w:jc w:val="center"/>
                    <w:textAlignment w:val="center"/>
                    <w:rPr>
                      <w:rFonts w:hint="eastAsia" w:cs="Times New Roman"/>
                      <w:b/>
                      <w:bCs/>
                      <w:i w:val="0"/>
                      <w:iCs w:val="0"/>
                      <w:color w:val="auto"/>
                      <w:sz w:val="21"/>
                      <w:szCs w:val="21"/>
                      <w:u w:val="none"/>
                      <w:lang w:val="en-US" w:eastAsia="zh-CN"/>
                    </w:rPr>
                  </w:pPr>
                  <w:r>
                    <w:rPr>
                      <w:rFonts w:hint="eastAsia" w:ascii="宋体" w:hAnsi="宋体" w:cs="宋体"/>
                      <w:i w:val="0"/>
                      <w:iCs w:val="0"/>
                      <w:color w:val="auto"/>
                      <w:kern w:val="0"/>
                      <w:sz w:val="21"/>
                      <w:szCs w:val="21"/>
                      <w:u w:val="none"/>
                      <w:lang w:val="en-US" w:eastAsia="zh-CN" w:bidi="ar"/>
                    </w:rPr>
                    <w:t>80</w:t>
                  </w:r>
                </w:p>
              </w:tc>
              <w:tc>
                <w:tcPr>
                  <w:tcW w:w="933" w:type="pct"/>
                  <w:tcBorders>
                    <w:tl2br w:val="nil"/>
                    <w:tr2bl w:val="nil"/>
                  </w:tcBorders>
                  <w:shd w:val="clear" w:color="auto" w:fill="auto"/>
                  <w:noWrap/>
                  <w:vAlign w:val="center"/>
                </w:tcPr>
                <w:p w14:paraId="53129CF0">
                  <w:pPr>
                    <w:keepNext w:val="0"/>
                    <w:keepLines w:val="0"/>
                    <w:pageBreakBefore w:val="0"/>
                    <w:widowControl/>
                    <w:suppressLineNumbers w:val="0"/>
                    <w:tabs>
                      <w:tab w:val="center" w:pos="1129"/>
                      <w:tab w:val="right" w:pos="2140"/>
                    </w:tabs>
                    <w:kinsoku/>
                    <w:wordWrap/>
                    <w:overflowPunct/>
                    <w:topLinePunct w:val="0"/>
                    <w:autoSpaceDE/>
                    <w:autoSpaceDN/>
                    <w:bidi w:val="0"/>
                    <w:adjustRightInd/>
                    <w:snapToGrid/>
                    <w:spacing w:line="340" w:lineRule="exact"/>
                    <w:jc w:val="center"/>
                    <w:textAlignment w:val="center"/>
                    <w:rPr>
                      <w:rFonts w:hint="default" w:ascii="宋体" w:hAnsi="宋体" w:eastAsia="宋体" w:cs="宋体"/>
                      <w:i w:val="0"/>
                      <w:iCs w:val="0"/>
                      <w:color w:val="auto"/>
                      <w:kern w:val="0"/>
                      <w:sz w:val="21"/>
                      <w:szCs w:val="21"/>
                      <w:u w:val="none"/>
                      <w:lang w:val="en-US" w:eastAsia="zh-CN" w:bidi="ar"/>
                    </w:rPr>
                  </w:pPr>
                  <w:r>
                    <w:rPr>
                      <w:rFonts w:hint="eastAsia" w:ascii="宋体" w:hAnsi="宋体" w:cs="宋体"/>
                      <w:i w:val="0"/>
                      <w:iCs w:val="0"/>
                      <w:color w:val="auto"/>
                      <w:kern w:val="0"/>
                      <w:sz w:val="21"/>
                      <w:szCs w:val="21"/>
                      <w:u w:val="none"/>
                      <w:lang w:val="en-US" w:eastAsia="zh-CN" w:bidi="ar"/>
                    </w:rPr>
                    <w:t>80</w:t>
                  </w:r>
                </w:p>
              </w:tc>
              <w:tc>
                <w:tcPr>
                  <w:tcW w:w="804" w:type="pct"/>
                  <w:tcBorders>
                    <w:tl2br w:val="nil"/>
                    <w:tr2bl w:val="nil"/>
                  </w:tcBorders>
                  <w:shd w:val="clear" w:color="auto" w:fill="auto"/>
                  <w:noWrap/>
                  <w:vAlign w:val="center"/>
                </w:tcPr>
                <w:p w14:paraId="6E0A9358">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i w:val="0"/>
                      <w:iCs w:val="0"/>
                      <w:color w:val="auto"/>
                      <w:sz w:val="21"/>
                      <w:szCs w:val="21"/>
                      <w:u w:val="none"/>
                      <w:lang w:val="en-US" w:eastAsia="zh-CN"/>
                    </w:rPr>
                  </w:pPr>
                  <w:r>
                    <w:rPr>
                      <w:rFonts w:hint="eastAsia" w:cs="Times New Roman"/>
                      <w:i w:val="0"/>
                      <w:iCs w:val="0"/>
                      <w:color w:val="auto"/>
                      <w:sz w:val="21"/>
                      <w:szCs w:val="21"/>
                      <w:u w:val="none"/>
                      <w:lang w:val="en-US" w:eastAsia="zh-CN"/>
                    </w:rPr>
                    <w:t>kg/a</w:t>
                  </w:r>
                </w:p>
              </w:tc>
              <w:tc>
                <w:tcPr>
                  <w:tcW w:w="699" w:type="pct"/>
                  <w:tcBorders>
                    <w:tl2br w:val="nil"/>
                    <w:tr2bl w:val="nil"/>
                  </w:tcBorders>
                  <w:shd w:val="clear" w:color="auto" w:fill="auto"/>
                  <w:noWrap/>
                  <w:vAlign w:val="center"/>
                </w:tcPr>
                <w:p w14:paraId="1E0AB618">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i w:val="0"/>
                      <w:iCs w:val="0"/>
                      <w:color w:val="auto"/>
                      <w:sz w:val="21"/>
                      <w:szCs w:val="21"/>
                      <w:u w:val="none"/>
                      <w:lang w:val="en-US" w:eastAsia="zh-CN"/>
                    </w:rPr>
                  </w:pPr>
                  <w:r>
                    <w:rPr>
                      <w:rFonts w:hint="eastAsia" w:cs="Times New Roman"/>
                      <w:i w:val="0"/>
                      <w:iCs w:val="0"/>
                      <w:color w:val="auto"/>
                      <w:sz w:val="21"/>
                      <w:szCs w:val="21"/>
                      <w:u w:val="none"/>
                      <w:lang w:val="en-US" w:eastAsia="zh-CN"/>
                    </w:rPr>
                    <w:t>废气处理</w:t>
                  </w:r>
                </w:p>
              </w:tc>
            </w:tr>
            <w:tr w14:paraId="4645C7E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90" w:hRule="atLeast"/>
              </w:trPr>
              <w:tc>
                <w:tcPr>
                  <w:tcW w:w="699" w:type="pct"/>
                  <w:tcBorders>
                    <w:tl2br w:val="nil"/>
                    <w:tr2bl w:val="nil"/>
                  </w:tcBorders>
                  <w:shd w:val="clear" w:color="auto" w:fill="auto"/>
                  <w:noWrap/>
                  <w:vAlign w:val="center"/>
                </w:tcPr>
                <w:p w14:paraId="1D6989F0">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eastAsia" w:cs="Times New Roman"/>
                      <w:i w:val="0"/>
                      <w:iCs w:val="0"/>
                      <w:color w:val="auto"/>
                      <w:kern w:val="0"/>
                      <w:sz w:val="21"/>
                      <w:szCs w:val="21"/>
                      <w:u w:val="none"/>
                      <w:lang w:val="en-US" w:eastAsia="zh-CN" w:bidi="ar"/>
                    </w:rPr>
                    <w:t>2</w:t>
                  </w:r>
                </w:p>
              </w:tc>
              <w:tc>
                <w:tcPr>
                  <w:tcW w:w="931" w:type="pct"/>
                  <w:tcBorders>
                    <w:right w:val="single" w:color="auto" w:sz="4" w:space="0"/>
                    <w:tl2br w:val="nil"/>
                    <w:tr2bl w:val="nil"/>
                  </w:tcBorders>
                  <w:shd w:val="clear" w:color="auto" w:fill="auto"/>
                  <w:noWrap/>
                  <w:vAlign w:val="center"/>
                </w:tcPr>
                <w:p w14:paraId="474664A8">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cs="Times New Roman"/>
                      <w:i w:val="0"/>
                      <w:iCs w:val="0"/>
                      <w:color w:val="auto"/>
                      <w:sz w:val="21"/>
                      <w:szCs w:val="21"/>
                      <w:u w:val="none"/>
                      <w:lang w:val="en-US" w:eastAsia="zh-CN"/>
                    </w:rPr>
                  </w:pPr>
                  <w:r>
                    <w:rPr>
                      <w:rFonts w:hint="eastAsia" w:cs="Times New Roman"/>
                      <w:i w:val="0"/>
                      <w:iCs w:val="0"/>
                      <w:color w:val="auto"/>
                      <w:sz w:val="21"/>
                      <w:szCs w:val="21"/>
                      <w:u w:val="none"/>
                      <w:lang w:val="en-US" w:eastAsia="zh-CN"/>
                    </w:rPr>
                    <w:t>氢氧化钠</w:t>
                  </w:r>
                </w:p>
              </w:tc>
              <w:tc>
                <w:tcPr>
                  <w:tcW w:w="931" w:type="pct"/>
                  <w:tcBorders>
                    <w:left w:val="single" w:color="auto" w:sz="4" w:space="0"/>
                    <w:tl2br w:val="nil"/>
                    <w:tr2bl w:val="nil"/>
                  </w:tcBorders>
                  <w:shd w:val="clear" w:color="auto" w:fill="auto"/>
                  <w:noWrap/>
                  <w:vAlign w:val="center"/>
                </w:tcPr>
                <w:p w14:paraId="7C7BB1DE">
                  <w:pPr>
                    <w:keepNext w:val="0"/>
                    <w:keepLines w:val="0"/>
                    <w:pageBreakBefore w:val="0"/>
                    <w:widowControl/>
                    <w:suppressLineNumbers w:val="0"/>
                    <w:tabs>
                      <w:tab w:val="center" w:pos="1129"/>
                      <w:tab w:val="right" w:pos="2140"/>
                    </w:tabs>
                    <w:kinsoku/>
                    <w:wordWrap/>
                    <w:overflowPunct/>
                    <w:topLinePunct w:val="0"/>
                    <w:autoSpaceDE/>
                    <w:autoSpaceDN/>
                    <w:bidi w:val="0"/>
                    <w:adjustRightInd/>
                    <w:snapToGrid/>
                    <w:spacing w:line="340" w:lineRule="exact"/>
                    <w:jc w:val="center"/>
                    <w:textAlignment w:val="center"/>
                    <w:rPr>
                      <w:rFonts w:hint="default" w:ascii="宋体" w:hAnsi="宋体" w:cs="宋体"/>
                      <w:i w:val="0"/>
                      <w:iCs w:val="0"/>
                      <w:color w:val="auto"/>
                      <w:kern w:val="0"/>
                      <w:sz w:val="21"/>
                      <w:szCs w:val="21"/>
                      <w:u w:val="none"/>
                      <w:lang w:val="en-US" w:eastAsia="zh-CN" w:bidi="ar"/>
                    </w:rPr>
                  </w:pPr>
                  <w:r>
                    <w:rPr>
                      <w:rFonts w:hint="eastAsia" w:ascii="宋体" w:hAnsi="宋体" w:cs="宋体"/>
                      <w:i w:val="0"/>
                      <w:iCs w:val="0"/>
                      <w:color w:val="auto"/>
                      <w:kern w:val="0"/>
                      <w:sz w:val="21"/>
                      <w:szCs w:val="21"/>
                      <w:u w:val="none"/>
                      <w:lang w:val="en-US" w:eastAsia="zh-CN" w:bidi="ar"/>
                    </w:rPr>
                    <w:t>20</w:t>
                  </w:r>
                </w:p>
              </w:tc>
              <w:tc>
                <w:tcPr>
                  <w:tcW w:w="933" w:type="pct"/>
                  <w:tcBorders>
                    <w:tl2br w:val="nil"/>
                    <w:tr2bl w:val="nil"/>
                  </w:tcBorders>
                  <w:shd w:val="clear" w:color="auto" w:fill="auto"/>
                  <w:noWrap/>
                  <w:vAlign w:val="center"/>
                </w:tcPr>
                <w:p w14:paraId="5AE3BDED">
                  <w:pPr>
                    <w:keepNext w:val="0"/>
                    <w:keepLines w:val="0"/>
                    <w:pageBreakBefore w:val="0"/>
                    <w:widowControl/>
                    <w:suppressLineNumbers w:val="0"/>
                    <w:tabs>
                      <w:tab w:val="center" w:pos="1129"/>
                      <w:tab w:val="right" w:pos="2140"/>
                    </w:tabs>
                    <w:kinsoku/>
                    <w:wordWrap/>
                    <w:overflowPunct/>
                    <w:topLinePunct w:val="0"/>
                    <w:autoSpaceDE/>
                    <w:autoSpaceDN/>
                    <w:bidi w:val="0"/>
                    <w:adjustRightInd/>
                    <w:snapToGrid/>
                    <w:spacing w:line="340" w:lineRule="exact"/>
                    <w:jc w:val="center"/>
                    <w:textAlignment w:val="center"/>
                    <w:rPr>
                      <w:rFonts w:hint="default" w:ascii="宋体" w:hAnsi="宋体" w:cs="宋体"/>
                      <w:i w:val="0"/>
                      <w:iCs w:val="0"/>
                      <w:color w:val="auto"/>
                      <w:kern w:val="0"/>
                      <w:sz w:val="21"/>
                      <w:szCs w:val="21"/>
                      <w:u w:val="none"/>
                      <w:lang w:val="en-US" w:eastAsia="zh-CN" w:bidi="ar"/>
                    </w:rPr>
                  </w:pPr>
                  <w:r>
                    <w:rPr>
                      <w:rFonts w:hint="eastAsia" w:ascii="宋体" w:hAnsi="宋体" w:cs="宋体"/>
                      <w:i w:val="0"/>
                      <w:iCs w:val="0"/>
                      <w:color w:val="auto"/>
                      <w:kern w:val="0"/>
                      <w:sz w:val="21"/>
                      <w:szCs w:val="21"/>
                      <w:u w:val="none"/>
                      <w:lang w:val="en-US" w:eastAsia="zh-CN" w:bidi="ar"/>
                    </w:rPr>
                    <w:t>20</w:t>
                  </w:r>
                </w:p>
              </w:tc>
              <w:tc>
                <w:tcPr>
                  <w:tcW w:w="804" w:type="pct"/>
                  <w:tcBorders>
                    <w:tl2br w:val="nil"/>
                    <w:tr2bl w:val="nil"/>
                  </w:tcBorders>
                  <w:shd w:val="clear" w:color="auto" w:fill="auto"/>
                  <w:noWrap/>
                  <w:vAlign w:val="center"/>
                </w:tcPr>
                <w:p w14:paraId="5DC50771">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eastAsia" w:cs="Times New Roman"/>
                      <w:i w:val="0"/>
                      <w:iCs w:val="0"/>
                      <w:color w:val="auto"/>
                      <w:sz w:val="21"/>
                      <w:szCs w:val="21"/>
                      <w:u w:val="none"/>
                      <w:lang w:val="en-US" w:eastAsia="zh-CN"/>
                    </w:rPr>
                  </w:pPr>
                  <w:r>
                    <w:rPr>
                      <w:rFonts w:hint="eastAsia" w:cs="Times New Roman"/>
                      <w:i w:val="0"/>
                      <w:iCs w:val="0"/>
                      <w:color w:val="auto"/>
                      <w:sz w:val="21"/>
                      <w:szCs w:val="21"/>
                      <w:u w:val="none"/>
                      <w:lang w:val="en-US" w:eastAsia="zh-CN"/>
                    </w:rPr>
                    <w:t>kg/a</w:t>
                  </w:r>
                </w:p>
              </w:tc>
              <w:tc>
                <w:tcPr>
                  <w:tcW w:w="699" w:type="pct"/>
                  <w:tcBorders>
                    <w:tl2br w:val="nil"/>
                    <w:tr2bl w:val="nil"/>
                  </w:tcBorders>
                  <w:shd w:val="clear" w:color="auto" w:fill="auto"/>
                  <w:noWrap/>
                  <w:vAlign w:val="center"/>
                </w:tcPr>
                <w:p w14:paraId="4D9D8599">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i w:val="0"/>
                      <w:iCs w:val="0"/>
                      <w:color w:val="auto"/>
                      <w:sz w:val="21"/>
                      <w:szCs w:val="21"/>
                      <w:u w:val="none"/>
                      <w:lang w:val="en-US" w:eastAsia="zh-CN"/>
                    </w:rPr>
                  </w:pPr>
                  <w:r>
                    <w:rPr>
                      <w:rFonts w:hint="eastAsia" w:cs="Times New Roman"/>
                      <w:i w:val="0"/>
                      <w:iCs w:val="0"/>
                      <w:color w:val="auto"/>
                      <w:sz w:val="21"/>
                      <w:szCs w:val="21"/>
                      <w:u w:val="none"/>
                      <w:lang w:val="en-US" w:eastAsia="zh-CN"/>
                    </w:rPr>
                    <w:t>废气处理</w:t>
                  </w:r>
                </w:p>
              </w:tc>
            </w:tr>
            <w:tr w14:paraId="153D251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90" w:hRule="atLeast"/>
              </w:trPr>
              <w:tc>
                <w:tcPr>
                  <w:tcW w:w="699" w:type="pct"/>
                  <w:tcBorders>
                    <w:tl2br w:val="nil"/>
                    <w:tr2bl w:val="nil"/>
                  </w:tcBorders>
                  <w:shd w:val="clear" w:color="auto" w:fill="auto"/>
                  <w:noWrap/>
                  <w:vAlign w:val="center"/>
                </w:tcPr>
                <w:p w14:paraId="2E60AF65">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eastAsia" w:cs="Times New Roman"/>
                      <w:i w:val="0"/>
                      <w:iCs w:val="0"/>
                      <w:color w:val="auto"/>
                      <w:kern w:val="0"/>
                      <w:sz w:val="21"/>
                      <w:szCs w:val="21"/>
                      <w:u w:val="none"/>
                      <w:lang w:val="en-US" w:eastAsia="zh-CN" w:bidi="ar"/>
                    </w:rPr>
                    <w:t>3</w:t>
                  </w:r>
                </w:p>
              </w:tc>
              <w:tc>
                <w:tcPr>
                  <w:tcW w:w="931" w:type="pct"/>
                  <w:tcBorders>
                    <w:right w:val="single" w:color="auto" w:sz="4" w:space="0"/>
                    <w:tl2br w:val="nil"/>
                    <w:tr2bl w:val="nil"/>
                  </w:tcBorders>
                  <w:shd w:val="clear" w:color="auto" w:fill="auto"/>
                  <w:noWrap/>
                  <w:vAlign w:val="center"/>
                </w:tcPr>
                <w:p w14:paraId="39504BF7">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eastAsia" w:cs="Times New Roman"/>
                      <w:i w:val="0"/>
                      <w:iCs w:val="0"/>
                      <w:color w:val="auto"/>
                      <w:kern w:val="2"/>
                      <w:sz w:val="21"/>
                      <w:szCs w:val="21"/>
                      <w:u w:val="none"/>
                      <w:lang w:val="en-US" w:eastAsia="zh-CN" w:bidi="ar-SA"/>
                    </w:rPr>
                    <w:t>水</w:t>
                  </w:r>
                </w:p>
              </w:tc>
              <w:tc>
                <w:tcPr>
                  <w:tcW w:w="931" w:type="pct"/>
                  <w:tcBorders>
                    <w:left w:val="single" w:color="auto" w:sz="4" w:space="0"/>
                    <w:tl2br w:val="nil"/>
                    <w:tr2bl w:val="nil"/>
                  </w:tcBorders>
                  <w:shd w:val="clear" w:color="auto" w:fill="auto"/>
                  <w:noWrap/>
                  <w:vAlign w:val="center"/>
                </w:tcPr>
                <w:p w14:paraId="019C8C68">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cs="Times New Roman"/>
                      <w:b/>
                      <w:bCs/>
                      <w:i w:val="0"/>
                      <w:iCs w:val="0"/>
                      <w:color w:val="auto"/>
                      <w:kern w:val="2"/>
                      <w:sz w:val="21"/>
                      <w:szCs w:val="21"/>
                      <w:u w:val="none"/>
                      <w:lang w:val="en-US" w:eastAsia="zh-CN" w:bidi="ar-SA"/>
                    </w:rPr>
                  </w:pPr>
                  <w:r>
                    <w:rPr>
                      <w:rFonts w:hint="eastAsia" w:ascii="宋体" w:hAnsi="宋体" w:cs="宋体"/>
                      <w:i w:val="0"/>
                      <w:iCs w:val="0"/>
                      <w:color w:val="auto"/>
                      <w:kern w:val="0"/>
                      <w:sz w:val="21"/>
                      <w:szCs w:val="21"/>
                      <w:u w:val="none"/>
                      <w:lang w:val="en-US" w:eastAsia="zh-CN" w:bidi="ar"/>
                    </w:rPr>
                    <w:t>125</w:t>
                  </w:r>
                </w:p>
              </w:tc>
              <w:tc>
                <w:tcPr>
                  <w:tcW w:w="933" w:type="pct"/>
                  <w:tcBorders>
                    <w:tl2br w:val="nil"/>
                    <w:tr2bl w:val="nil"/>
                  </w:tcBorders>
                  <w:shd w:val="clear" w:color="auto" w:fill="auto"/>
                  <w:noWrap/>
                  <w:vAlign w:val="center"/>
                </w:tcPr>
                <w:p w14:paraId="3EDDE7D9">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宋体" w:hAnsi="宋体" w:eastAsia="宋体" w:cs="宋体"/>
                      <w:i w:val="0"/>
                      <w:iCs w:val="0"/>
                      <w:color w:val="auto"/>
                      <w:kern w:val="0"/>
                      <w:sz w:val="21"/>
                      <w:szCs w:val="21"/>
                      <w:u w:val="none"/>
                      <w:lang w:val="en-US" w:eastAsia="zh-CN" w:bidi="ar"/>
                    </w:rPr>
                  </w:pPr>
                  <w:r>
                    <w:rPr>
                      <w:rFonts w:hint="eastAsia" w:ascii="宋体" w:hAnsi="宋体" w:cs="宋体"/>
                      <w:i w:val="0"/>
                      <w:iCs w:val="0"/>
                      <w:color w:val="auto"/>
                      <w:kern w:val="0"/>
                      <w:sz w:val="21"/>
                      <w:szCs w:val="21"/>
                      <w:u w:val="none"/>
                      <w:lang w:val="en-US" w:eastAsia="zh-CN" w:bidi="ar"/>
                    </w:rPr>
                    <w:t>125</w:t>
                  </w:r>
                </w:p>
              </w:tc>
              <w:tc>
                <w:tcPr>
                  <w:tcW w:w="804" w:type="pct"/>
                  <w:tcBorders>
                    <w:tl2br w:val="nil"/>
                    <w:tr2bl w:val="nil"/>
                  </w:tcBorders>
                  <w:shd w:val="clear" w:color="auto" w:fill="auto"/>
                  <w:noWrap/>
                  <w:vAlign w:val="center"/>
                </w:tcPr>
                <w:p w14:paraId="169BEDA7">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eastAsia" w:cs="Times New Roman"/>
                      <w:i w:val="0"/>
                      <w:iCs w:val="0"/>
                      <w:color w:val="auto"/>
                      <w:kern w:val="2"/>
                      <w:sz w:val="21"/>
                      <w:szCs w:val="21"/>
                      <w:u w:val="none"/>
                      <w:lang w:val="en-US" w:eastAsia="zh-CN" w:bidi="ar-SA"/>
                    </w:rPr>
                    <w:t>m³/a</w:t>
                  </w:r>
                </w:p>
              </w:tc>
              <w:tc>
                <w:tcPr>
                  <w:tcW w:w="699" w:type="pct"/>
                  <w:tcBorders>
                    <w:tl2br w:val="nil"/>
                    <w:tr2bl w:val="nil"/>
                  </w:tcBorders>
                  <w:shd w:val="clear" w:color="auto" w:fill="auto"/>
                  <w:noWrap/>
                  <w:vAlign w:val="center"/>
                </w:tcPr>
                <w:p w14:paraId="7DE35FF3">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p>
              </w:tc>
            </w:tr>
            <w:tr w14:paraId="7A88685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90" w:hRule="atLeast"/>
              </w:trPr>
              <w:tc>
                <w:tcPr>
                  <w:tcW w:w="699" w:type="pct"/>
                  <w:tcBorders>
                    <w:tl2br w:val="nil"/>
                    <w:tr2bl w:val="nil"/>
                  </w:tcBorders>
                  <w:shd w:val="clear" w:color="auto" w:fill="auto"/>
                  <w:noWrap/>
                  <w:vAlign w:val="center"/>
                </w:tcPr>
                <w:p w14:paraId="7946E395">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eastAsia" w:ascii="Times New Roman" w:hAnsi="Times New Roman" w:eastAsia="宋体" w:cs="Times New Roman"/>
                      <w:i w:val="0"/>
                      <w:iCs w:val="0"/>
                      <w:color w:val="auto"/>
                      <w:sz w:val="21"/>
                      <w:szCs w:val="21"/>
                      <w:u w:val="none"/>
                      <w:lang w:val="en-US" w:eastAsia="zh-CN"/>
                    </w:rPr>
                  </w:pPr>
                  <w:r>
                    <w:rPr>
                      <w:rFonts w:hint="eastAsia" w:cs="Times New Roman"/>
                      <w:i w:val="0"/>
                      <w:iCs w:val="0"/>
                      <w:color w:val="auto"/>
                      <w:sz w:val="21"/>
                      <w:szCs w:val="21"/>
                      <w:u w:val="none"/>
                      <w:lang w:val="en-US" w:eastAsia="zh-CN"/>
                    </w:rPr>
                    <w:t>4</w:t>
                  </w:r>
                </w:p>
              </w:tc>
              <w:tc>
                <w:tcPr>
                  <w:tcW w:w="931" w:type="pct"/>
                  <w:tcBorders>
                    <w:right w:val="single" w:color="auto" w:sz="4" w:space="0"/>
                    <w:tl2br w:val="nil"/>
                    <w:tr2bl w:val="nil"/>
                  </w:tcBorders>
                  <w:shd w:val="clear" w:color="auto" w:fill="auto"/>
                  <w:noWrap/>
                  <w:vAlign w:val="center"/>
                </w:tcPr>
                <w:p w14:paraId="6C56B77E">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eastAsia" w:cs="Times New Roman"/>
                      <w:i w:val="0"/>
                      <w:iCs w:val="0"/>
                      <w:color w:val="auto"/>
                      <w:kern w:val="2"/>
                      <w:sz w:val="21"/>
                      <w:szCs w:val="21"/>
                      <w:u w:val="none"/>
                      <w:lang w:val="en-US" w:eastAsia="zh-CN" w:bidi="ar-SA"/>
                    </w:rPr>
                    <w:t>电</w:t>
                  </w:r>
                </w:p>
              </w:tc>
              <w:tc>
                <w:tcPr>
                  <w:tcW w:w="931" w:type="pct"/>
                  <w:tcBorders>
                    <w:left w:val="single" w:color="auto" w:sz="4" w:space="0"/>
                    <w:tl2br w:val="nil"/>
                    <w:tr2bl w:val="nil"/>
                  </w:tcBorders>
                  <w:shd w:val="clear" w:color="auto" w:fill="auto"/>
                  <w:noWrap/>
                  <w:vAlign w:val="center"/>
                </w:tcPr>
                <w:p w14:paraId="0AF5F375">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eastAsia" w:cs="Times New Roman"/>
                      <w:b/>
                      <w:bCs/>
                      <w:i w:val="0"/>
                      <w:iCs w:val="0"/>
                      <w:color w:val="auto"/>
                      <w:kern w:val="2"/>
                      <w:sz w:val="21"/>
                      <w:szCs w:val="21"/>
                      <w:u w:val="none"/>
                      <w:lang w:val="en-US" w:eastAsia="zh-CN" w:bidi="ar-SA"/>
                    </w:rPr>
                  </w:pPr>
                  <w:r>
                    <w:rPr>
                      <w:rFonts w:hint="eastAsia" w:ascii="宋体" w:hAnsi="宋体" w:cs="宋体"/>
                      <w:i w:val="0"/>
                      <w:iCs w:val="0"/>
                      <w:color w:val="auto"/>
                      <w:kern w:val="0"/>
                      <w:sz w:val="21"/>
                      <w:szCs w:val="21"/>
                      <w:u w:val="none"/>
                      <w:lang w:val="en-US" w:eastAsia="zh-CN" w:bidi="ar"/>
                    </w:rPr>
                    <w:t>2000</w:t>
                  </w:r>
                </w:p>
              </w:tc>
              <w:tc>
                <w:tcPr>
                  <w:tcW w:w="933" w:type="pct"/>
                  <w:tcBorders>
                    <w:tl2br w:val="nil"/>
                    <w:tr2bl w:val="nil"/>
                  </w:tcBorders>
                  <w:shd w:val="clear" w:color="auto" w:fill="auto"/>
                  <w:noWrap/>
                  <w:vAlign w:val="center"/>
                </w:tcPr>
                <w:p w14:paraId="14447080">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宋体" w:hAnsi="宋体" w:eastAsia="宋体" w:cs="宋体"/>
                      <w:i w:val="0"/>
                      <w:iCs w:val="0"/>
                      <w:color w:val="auto"/>
                      <w:kern w:val="0"/>
                      <w:sz w:val="21"/>
                      <w:szCs w:val="21"/>
                      <w:u w:val="none"/>
                      <w:lang w:val="en-US" w:eastAsia="zh-CN" w:bidi="ar"/>
                    </w:rPr>
                  </w:pPr>
                  <w:r>
                    <w:rPr>
                      <w:rFonts w:hint="eastAsia" w:ascii="宋体" w:hAnsi="宋体" w:cs="宋体"/>
                      <w:i w:val="0"/>
                      <w:iCs w:val="0"/>
                      <w:color w:val="auto"/>
                      <w:kern w:val="0"/>
                      <w:sz w:val="21"/>
                      <w:szCs w:val="21"/>
                      <w:u w:val="none"/>
                      <w:lang w:val="en-US" w:eastAsia="zh-CN" w:bidi="ar"/>
                    </w:rPr>
                    <w:t>2000</w:t>
                  </w:r>
                </w:p>
              </w:tc>
              <w:tc>
                <w:tcPr>
                  <w:tcW w:w="804" w:type="pct"/>
                  <w:tcBorders>
                    <w:tl2br w:val="nil"/>
                    <w:tr2bl w:val="nil"/>
                  </w:tcBorders>
                  <w:shd w:val="clear" w:color="auto" w:fill="auto"/>
                  <w:noWrap/>
                  <w:vAlign w:val="center"/>
                </w:tcPr>
                <w:p w14:paraId="400D389D">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eastAsia" w:cs="Times New Roman"/>
                      <w:i w:val="0"/>
                      <w:iCs w:val="0"/>
                      <w:color w:val="auto"/>
                      <w:kern w:val="2"/>
                      <w:sz w:val="21"/>
                      <w:szCs w:val="21"/>
                      <w:u w:val="none"/>
                      <w:lang w:val="en-US" w:eastAsia="zh-CN" w:bidi="ar-SA"/>
                    </w:rPr>
                    <w:t>kwh/a</w:t>
                  </w:r>
                </w:p>
              </w:tc>
              <w:tc>
                <w:tcPr>
                  <w:tcW w:w="699" w:type="pct"/>
                  <w:tcBorders>
                    <w:tl2br w:val="nil"/>
                    <w:tr2bl w:val="nil"/>
                  </w:tcBorders>
                  <w:shd w:val="clear" w:color="auto" w:fill="auto"/>
                  <w:noWrap/>
                  <w:vAlign w:val="center"/>
                </w:tcPr>
                <w:p w14:paraId="1BA21D86">
                  <w:pPr>
                    <w:keepNext w:val="0"/>
                    <w:keepLines w:val="0"/>
                    <w:pageBreakBefore w:val="0"/>
                    <w:widowControl/>
                    <w:suppressLineNumbers w:val="0"/>
                    <w:kinsoku/>
                    <w:wordWrap/>
                    <w:overflowPunct/>
                    <w:topLinePunct w:val="0"/>
                    <w:autoSpaceDE/>
                    <w:autoSpaceDN/>
                    <w:bidi w:val="0"/>
                    <w:adjustRightInd/>
                    <w:snapToGrid/>
                    <w:spacing w:line="340" w:lineRule="exact"/>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p>
              </w:tc>
            </w:tr>
          </w:tbl>
          <w:p w14:paraId="3C305A27">
            <w:pPr>
              <w:keepNext w:val="0"/>
              <w:keepLines w:val="0"/>
              <w:pageBreakBefore w:val="0"/>
              <w:widowControl w:val="0"/>
              <w:numPr>
                <w:ilvl w:val="0"/>
                <w:numId w:val="12"/>
              </w:numPr>
              <w:kinsoku/>
              <w:wordWrap/>
              <w:overflowPunct/>
              <w:topLinePunct w:val="0"/>
              <w:autoSpaceDE/>
              <w:autoSpaceDN/>
              <w:bidi w:val="0"/>
              <w:adjustRightInd w:val="0"/>
              <w:snapToGrid w:val="0"/>
              <w:spacing w:line="360" w:lineRule="auto"/>
              <w:ind w:left="0" w:leftChars="0" w:firstLine="482" w:firstLineChars="200"/>
              <w:textAlignment w:val="auto"/>
              <w:rPr>
                <w:rFonts w:ascii="Times New Roman" w:hAnsi="Times New Roman" w:eastAsia="宋体" w:cs="Times New Roman"/>
                <w:b/>
                <w:color w:val="auto"/>
                <w:sz w:val="24"/>
              </w:rPr>
            </w:pPr>
            <w:r>
              <w:rPr>
                <w:rFonts w:ascii="Times New Roman" w:hAnsi="Times New Roman" w:eastAsia="宋体" w:cs="Times New Roman"/>
                <w:b/>
                <w:color w:val="auto"/>
                <w:sz w:val="24"/>
              </w:rPr>
              <w:t>公用工程</w:t>
            </w:r>
          </w:p>
          <w:p w14:paraId="08AC9EBE">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left"/>
              <w:textAlignment w:val="auto"/>
              <w:rPr>
                <w:bCs/>
                <w:color w:val="auto"/>
                <w:sz w:val="24"/>
              </w:rPr>
            </w:pPr>
            <w:r>
              <w:rPr>
                <w:bCs/>
                <w:color w:val="auto"/>
                <w:sz w:val="24"/>
              </w:rPr>
              <w:t>（1）给水：</w:t>
            </w:r>
          </w:p>
          <w:p w14:paraId="29F81336">
            <w:pPr>
              <w:pStyle w:val="59"/>
              <w:tabs>
                <w:tab w:val="left" w:pos="615"/>
                <w:tab w:val="left" w:pos="3615"/>
                <w:tab w:val="clear" w:pos="6855"/>
              </w:tabs>
              <w:adjustRightInd w:val="0"/>
              <w:snapToGrid w:val="0"/>
              <w:spacing w:line="360" w:lineRule="auto"/>
              <w:ind w:firstLine="480"/>
              <w:rPr>
                <w:rFonts w:hint="default" w:eastAsia="宋体"/>
                <w:color w:val="auto"/>
                <w:sz w:val="24"/>
                <w:lang w:val="en-US" w:eastAsia="zh-CN"/>
              </w:rPr>
            </w:pPr>
            <w:r>
              <w:rPr>
                <w:rFonts w:hint="eastAsia" w:eastAsia="宋体"/>
                <w:color w:val="auto"/>
                <w:sz w:val="24"/>
                <w:lang w:val="en-US" w:eastAsia="zh-CN"/>
              </w:rPr>
              <w:t>本项目为危险废物仓储项目，无生产用水环节。危险废物委外运输，不需对运输车辆进行冲洗，不设置车辆冲洗设施；收集的危险废物入场后在贮存区域内不进行倒罐和分装，收集容器均不回用，不涉及回收包装容器清洗；正常情况下无泄漏，无需对地面进行冲洗处理，而采用干扫方式进行地面清洁，产生的废抹布不进行清洗，直接收集作为危险废物处置，不涉及清洗用水。</w:t>
            </w:r>
          </w:p>
          <w:p w14:paraId="2B9E2C95">
            <w:pPr>
              <w:pStyle w:val="59"/>
              <w:tabs>
                <w:tab w:val="left" w:pos="615"/>
                <w:tab w:val="left" w:pos="3615"/>
                <w:tab w:val="clear" w:pos="6855"/>
              </w:tabs>
              <w:adjustRightInd w:val="0"/>
              <w:snapToGrid w:val="0"/>
              <w:spacing w:line="360" w:lineRule="auto"/>
              <w:ind w:firstLine="480"/>
              <w:rPr>
                <w:rFonts w:hint="default" w:eastAsia="宋体"/>
                <w:color w:val="auto"/>
                <w:sz w:val="24"/>
                <w:highlight w:val="none"/>
                <w:lang w:val="en-US" w:eastAsia="zh-CN"/>
              </w:rPr>
            </w:pPr>
            <w:r>
              <w:rPr>
                <w:rFonts w:hint="eastAsia" w:eastAsia="宋体"/>
                <w:color w:val="auto"/>
                <w:sz w:val="24"/>
                <w:lang w:val="en-US" w:eastAsia="zh-CN"/>
              </w:rPr>
              <w:t>用水主要为生活用</w:t>
            </w:r>
            <w:r>
              <w:rPr>
                <w:rFonts w:hint="eastAsia" w:eastAsia="宋体"/>
                <w:color w:val="auto"/>
                <w:sz w:val="24"/>
                <w:highlight w:val="none"/>
                <w:lang w:val="en-US" w:eastAsia="zh-CN"/>
              </w:rPr>
              <w:t>水以及碱洗塔补水，依托厂区内现有供水管网，供水来源为罗村镇市政供水管网。总用水量为125m³/a。</w:t>
            </w:r>
          </w:p>
          <w:p w14:paraId="2B3795EF">
            <w:pPr>
              <w:pStyle w:val="59"/>
              <w:tabs>
                <w:tab w:val="left" w:pos="615"/>
                <w:tab w:val="left" w:pos="3615"/>
                <w:tab w:val="clear" w:pos="6855"/>
              </w:tabs>
              <w:adjustRightInd w:val="0"/>
              <w:snapToGrid w:val="0"/>
              <w:spacing w:line="360" w:lineRule="auto"/>
              <w:ind w:firstLine="480"/>
              <w:rPr>
                <w:rFonts w:hint="eastAsia" w:eastAsia="宋体"/>
                <w:color w:val="auto"/>
                <w:sz w:val="24"/>
                <w:highlight w:val="none"/>
                <w:lang w:val="en-US" w:eastAsia="zh-CN"/>
              </w:rPr>
            </w:pPr>
            <w:r>
              <w:rPr>
                <w:rFonts w:hint="eastAsia" w:eastAsia="宋体"/>
                <w:color w:val="auto"/>
                <w:sz w:val="24"/>
                <w:highlight w:val="none"/>
                <w:lang w:val="en-US" w:eastAsia="zh-CN"/>
              </w:rPr>
              <w:t>厂区内不提供食堂，劳动定员5人，职工工作300天/年，根据《建筑给水排水设计标准》（GB50015-2019），生活用水定额采用50L/人，则用水量为75m</w:t>
            </w:r>
            <w:r>
              <w:rPr>
                <w:rFonts w:hint="eastAsia" w:eastAsia="宋体"/>
                <w:color w:val="auto"/>
                <w:sz w:val="24"/>
                <w:highlight w:val="none"/>
                <w:vertAlign w:val="superscript"/>
                <w:lang w:val="en-US" w:eastAsia="zh-CN"/>
              </w:rPr>
              <w:t>3</w:t>
            </w:r>
            <w:r>
              <w:rPr>
                <w:rFonts w:hint="eastAsia" w:eastAsia="宋体"/>
                <w:color w:val="auto"/>
                <w:sz w:val="24"/>
                <w:highlight w:val="none"/>
                <w:lang w:val="en-US" w:eastAsia="zh-CN"/>
              </w:rPr>
              <w:t>/a。</w:t>
            </w:r>
          </w:p>
          <w:p w14:paraId="6B052C0B">
            <w:pPr>
              <w:pStyle w:val="19"/>
              <w:keepNext w:val="0"/>
              <w:keepLines w:val="0"/>
              <w:pageBreakBefore w:val="0"/>
              <w:widowControl w:val="0"/>
              <w:kinsoku/>
              <w:wordWrap/>
              <w:overflowPunct/>
              <w:topLinePunct w:val="0"/>
              <w:autoSpaceDE/>
              <w:autoSpaceDN/>
              <w:bidi w:val="0"/>
              <w:adjustRightInd/>
              <w:snapToGrid/>
              <w:spacing w:after="0" w:line="360" w:lineRule="auto"/>
              <w:textAlignment w:val="auto"/>
              <w:rPr>
                <w:rFonts w:hint="default"/>
                <w:lang w:val="en-US" w:eastAsia="zh-CN"/>
              </w:rPr>
            </w:pPr>
            <w:r>
              <w:rPr>
                <w:rFonts w:hint="eastAsia"/>
                <w:color w:val="auto"/>
                <w:sz w:val="24"/>
                <w:highlight w:val="none"/>
                <w:lang w:val="en-US" w:eastAsia="zh-CN"/>
              </w:rPr>
              <w:t>碱洗塔喷淋液循环使用，不外排，定期补充损耗，补水量为50m³/a。</w:t>
            </w:r>
          </w:p>
          <w:p w14:paraId="05BB1ADA">
            <w:pPr>
              <w:pStyle w:val="60"/>
              <w:adjustRightInd w:val="0"/>
              <w:snapToGrid w:val="0"/>
              <w:ind w:firstLine="480"/>
              <w:rPr>
                <w:rFonts w:cs="Times New Roman"/>
                <w:color w:val="auto"/>
                <w:szCs w:val="24"/>
                <w:highlight w:val="none"/>
              </w:rPr>
            </w:pPr>
            <w:r>
              <w:rPr>
                <w:rFonts w:cs="Times New Roman"/>
                <w:color w:val="auto"/>
                <w:szCs w:val="24"/>
                <w:highlight w:val="none"/>
              </w:rPr>
              <w:t>（2）排水</w:t>
            </w:r>
          </w:p>
          <w:p w14:paraId="51C8B0F9">
            <w:pPr>
              <w:adjustRightInd w:val="0"/>
              <w:snapToGrid w:val="0"/>
              <w:spacing w:line="360" w:lineRule="auto"/>
              <w:ind w:firstLine="480" w:firstLineChars="200"/>
              <w:jc w:val="left"/>
              <w:rPr>
                <w:rFonts w:hint="default" w:eastAsia="宋体"/>
                <w:color w:val="auto"/>
                <w:sz w:val="24"/>
                <w:highlight w:val="none"/>
                <w:lang w:val="en-US" w:eastAsia="zh-CN"/>
              </w:rPr>
            </w:pPr>
            <w:r>
              <w:rPr>
                <w:rFonts w:hint="eastAsia"/>
                <w:color w:val="auto"/>
                <w:sz w:val="24"/>
                <w:highlight w:val="none"/>
                <w:lang w:val="en-US" w:eastAsia="zh-CN"/>
              </w:rPr>
              <w:t>项目无生产废水产生，项目污水为生活污水。</w:t>
            </w:r>
          </w:p>
          <w:p w14:paraId="182BF8F4">
            <w:pPr>
              <w:adjustRightInd w:val="0"/>
              <w:snapToGrid w:val="0"/>
              <w:spacing w:line="360" w:lineRule="auto"/>
              <w:ind w:firstLine="504" w:firstLineChars="200"/>
              <w:jc w:val="left"/>
              <w:rPr>
                <w:rFonts w:hint="eastAsia"/>
                <w:color w:val="auto"/>
                <w:spacing w:val="6"/>
                <w:sz w:val="24"/>
                <w:highlight w:val="none"/>
                <w:lang w:val="en-US" w:eastAsia="zh-CN"/>
              </w:rPr>
            </w:pPr>
            <w:r>
              <w:rPr>
                <w:rFonts w:hint="eastAsia"/>
                <w:color w:val="auto"/>
                <w:spacing w:val="6"/>
                <w:sz w:val="24"/>
                <w:highlight w:val="none"/>
              </w:rPr>
              <w:t>生活污水排放量按用水量的80%计，则生活污水产生量为</w:t>
            </w:r>
            <w:r>
              <w:rPr>
                <w:rFonts w:hint="eastAsia"/>
                <w:color w:val="auto"/>
                <w:spacing w:val="6"/>
                <w:sz w:val="24"/>
                <w:highlight w:val="none"/>
                <w:lang w:val="en-US" w:eastAsia="zh-CN"/>
              </w:rPr>
              <w:t>60</w:t>
            </w:r>
            <w:r>
              <w:rPr>
                <w:rFonts w:hint="eastAsia"/>
                <w:color w:val="auto"/>
                <w:spacing w:val="6"/>
                <w:sz w:val="24"/>
                <w:highlight w:val="none"/>
              </w:rPr>
              <w:t>m</w:t>
            </w:r>
            <w:r>
              <w:rPr>
                <w:rFonts w:hint="eastAsia"/>
                <w:color w:val="auto"/>
                <w:spacing w:val="6"/>
                <w:sz w:val="24"/>
                <w:highlight w:val="none"/>
                <w:vertAlign w:val="superscript"/>
              </w:rPr>
              <w:t>3</w:t>
            </w:r>
            <w:r>
              <w:rPr>
                <w:rFonts w:hint="eastAsia"/>
                <w:color w:val="auto"/>
                <w:spacing w:val="6"/>
                <w:sz w:val="24"/>
                <w:highlight w:val="none"/>
              </w:rPr>
              <w:t>/a。</w:t>
            </w:r>
            <w:r>
              <w:rPr>
                <w:rFonts w:hint="eastAsia"/>
                <w:color w:val="auto"/>
                <w:spacing w:val="6"/>
                <w:sz w:val="24"/>
                <w:highlight w:val="none"/>
                <w:lang w:val="en-US" w:eastAsia="zh-CN"/>
              </w:rPr>
              <w:t>依托租赁厂区内的现有化粪池暂存后由环卫部门抽排。</w:t>
            </w:r>
          </w:p>
          <w:p w14:paraId="2845B533">
            <w:pPr>
              <w:pStyle w:val="60"/>
              <w:adjustRightInd w:val="0"/>
              <w:snapToGrid w:val="0"/>
              <w:ind w:firstLine="480"/>
              <w:rPr>
                <w:rFonts w:hint="eastAsia" w:eastAsia="宋体" w:cs="Times New Roman"/>
                <w:color w:val="auto"/>
                <w:szCs w:val="24"/>
                <w:lang w:eastAsia="zh-CN"/>
              </w:rPr>
            </w:pPr>
            <w:r>
              <w:rPr>
                <w:rFonts w:cs="Times New Roman"/>
                <w:color w:val="auto"/>
                <w:szCs w:val="24"/>
              </w:rPr>
              <w:t>（</w:t>
            </w:r>
            <w:r>
              <w:rPr>
                <w:rFonts w:hint="eastAsia" w:cs="Times New Roman"/>
                <w:color w:val="auto"/>
                <w:szCs w:val="24"/>
                <w:lang w:val="en-US" w:eastAsia="zh-CN"/>
              </w:rPr>
              <w:t>3</w:t>
            </w:r>
            <w:r>
              <w:rPr>
                <w:rFonts w:cs="Times New Roman"/>
                <w:color w:val="auto"/>
                <w:szCs w:val="24"/>
              </w:rPr>
              <w:t>）</w:t>
            </w:r>
            <w:r>
              <w:rPr>
                <w:rFonts w:hint="eastAsia" w:cs="Times New Roman"/>
                <w:color w:val="auto"/>
                <w:szCs w:val="24"/>
                <w:lang w:val="en-US" w:eastAsia="zh-CN"/>
              </w:rPr>
              <w:t>供电</w:t>
            </w:r>
          </w:p>
          <w:p w14:paraId="33DD5B3A">
            <w:pPr>
              <w:adjustRightInd w:val="0"/>
              <w:snapToGrid w:val="0"/>
              <w:spacing w:line="360" w:lineRule="auto"/>
              <w:ind w:firstLine="504" w:firstLineChars="200"/>
              <w:jc w:val="left"/>
              <w:rPr>
                <w:rFonts w:hint="eastAsia"/>
                <w:color w:val="auto"/>
                <w:lang w:eastAsia="zh-CN"/>
              </w:rPr>
            </w:pPr>
            <w:r>
              <w:rPr>
                <w:rFonts w:hint="eastAsia" w:cs="Times New Roman"/>
                <w:color w:val="auto"/>
                <w:spacing w:val="6"/>
                <w:sz w:val="24"/>
                <w:lang w:val="en-US" w:eastAsia="zh-CN"/>
              </w:rPr>
              <w:t>本项目</w:t>
            </w:r>
            <w:r>
              <w:rPr>
                <w:rFonts w:hint="eastAsia" w:ascii="Times New Roman" w:hAnsi="Times New Roman" w:cs="Times New Roman"/>
                <w:color w:val="auto"/>
                <w:spacing w:val="6"/>
                <w:sz w:val="24"/>
                <w:lang w:val="en-US" w:eastAsia="zh-CN"/>
              </w:rPr>
              <w:t>年用电量</w:t>
            </w:r>
            <w:r>
              <w:rPr>
                <w:rFonts w:hint="eastAsia" w:cs="Times New Roman"/>
                <w:color w:val="auto"/>
                <w:spacing w:val="6"/>
                <w:sz w:val="24"/>
                <w:lang w:val="en-US" w:eastAsia="zh-CN"/>
              </w:rPr>
              <w:t>2000kw.</w:t>
            </w:r>
            <w:r>
              <w:rPr>
                <w:rFonts w:hint="eastAsia" w:ascii="Times New Roman" w:hAnsi="Times New Roman" w:cs="Times New Roman"/>
                <w:color w:val="auto"/>
                <w:spacing w:val="6"/>
                <w:sz w:val="24"/>
                <w:lang w:val="en-US" w:eastAsia="zh-CN"/>
              </w:rPr>
              <w:t>h</w:t>
            </w:r>
            <w:r>
              <w:rPr>
                <w:rFonts w:hint="eastAsia" w:cs="Times New Roman"/>
                <w:color w:val="auto"/>
                <w:spacing w:val="6"/>
                <w:sz w:val="24"/>
                <w:lang w:val="en-US" w:eastAsia="zh-CN"/>
              </w:rPr>
              <w:t>/a</w:t>
            </w:r>
            <w:r>
              <w:rPr>
                <w:rFonts w:hint="eastAsia" w:ascii="Times New Roman" w:hAnsi="Times New Roman" w:cs="Times New Roman"/>
                <w:color w:val="auto"/>
                <w:spacing w:val="6"/>
                <w:sz w:val="24"/>
                <w:lang w:val="en-US" w:eastAsia="zh-CN"/>
              </w:rPr>
              <w:t>。依托现有厂区内供电系统，供电来源为</w:t>
            </w:r>
            <w:r>
              <w:rPr>
                <w:rFonts w:hint="eastAsia" w:cs="Times New Roman"/>
                <w:color w:val="auto"/>
                <w:spacing w:val="6"/>
                <w:sz w:val="24"/>
                <w:lang w:val="en-US" w:eastAsia="zh-CN"/>
              </w:rPr>
              <w:t>罗村镇市政</w:t>
            </w:r>
            <w:r>
              <w:rPr>
                <w:rFonts w:hint="eastAsia" w:ascii="Times New Roman" w:hAnsi="Times New Roman" w:cs="Times New Roman"/>
                <w:color w:val="auto"/>
                <w:spacing w:val="6"/>
                <w:sz w:val="24"/>
                <w:lang w:val="en-US" w:eastAsia="zh-CN"/>
              </w:rPr>
              <w:t>供电管网。</w:t>
            </w:r>
          </w:p>
          <w:p w14:paraId="24C7A69C">
            <w:pPr>
              <w:keepNext w:val="0"/>
              <w:keepLines w:val="0"/>
              <w:pageBreakBefore w:val="0"/>
              <w:widowControl w:val="0"/>
              <w:numPr>
                <w:ilvl w:val="0"/>
                <w:numId w:val="12"/>
              </w:numPr>
              <w:kinsoku/>
              <w:wordWrap/>
              <w:overflowPunct/>
              <w:topLinePunct w:val="0"/>
              <w:autoSpaceDE/>
              <w:autoSpaceDN/>
              <w:bidi w:val="0"/>
              <w:adjustRightInd w:val="0"/>
              <w:snapToGrid w:val="0"/>
              <w:spacing w:line="360" w:lineRule="auto"/>
              <w:ind w:left="0" w:leftChars="0" w:firstLine="482" w:firstLineChars="200"/>
              <w:textAlignment w:val="auto"/>
              <w:rPr>
                <w:rFonts w:ascii="Times New Roman" w:hAnsi="Times New Roman" w:eastAsia="宋体" w:cs="Times New Roman"/>
                <w:b/>
                <w:color w:val="auto"/>
                <w:sz w:val="24"/>
              </w:rPr>
            </w:pPr>
            <w:r>
              <w:rPr>
                <w:rFonts w:ascii="Times New Roman" w:hAnsi="Times New Roman" w:eastAsia="宋体" w:cs="Times New Roman"/>
                <w:b/>
                <w:color w:val="auto"/>
                <w:sz w:val="24"/>
              </w:rPr>
              <w:t>生产制度及劳动定员</w:t>
            </w:r>
          </w:p>
          <w:p w14:paraId="0D7ECFE4">
            <w:pPr>
              <w:adjustRightInd w:val="0"/>
              <w:snapToGrid w:val="0"/>
              <w:spacing w:line="360" w:lineRule="auto"/>
              <w:ind w:firstLine="480" w:firstLineChars="200"/>
              <w:jc w:val="left"/>
              <w:rPr>
                <w:rFonts w:hint="default" w:eastAsia="宋体"/>
                <w:color w:val="auto"/>
                <w:kern w:val="0"/>
                <w:sz w:val="24"/>
                <w:lang w:val="en-US" w:eastAsia="zh-CN"/>
              </w:rPr>
            </w:pPr>
            <w:r>
              <w:rPr>
                <w:rFonts w:hint="eastAsia"/>
                <w:color w:val="auto"/>
                <w:sz w:val="24"/>
                <w:lang w:val="en-US" w:eastAsia="zh-CN"/>
              </w:rPr>
              <w:t>本项目劳动定员5</w:t>
            </w:r>
            <w:r>
              <w:rPr>
                <w:rFonts w:hint="eastAsia"/>
                <w:color w:val="auto"/>
                <w:sz w:val="24"/>
              </w:rPr>
              <w:t>人，</w:t>
            </w:r>
            <w:r>
              <w:rPr>
                <w:rFonts w:hint="eastAsia"/>
                <w:color w:val="auto"/>
                <w:sz w:val="24"/>
                <w:lang w:val="en-US" w:eastAsia="zh-CN"/>
              </w:rPr>
              <w:t>1班制，每班8小时，职工年工作300天，贮存设施</w:t>
            </w:r>
            <w:r>
              <w:rPr>
                <w:color w:val="auto"/>
                <w:sz w:val="24"/>
              </w:rPr>
              <w:t>全年</w:t>
            </w:r>
            <w:r>
              <w:rPr>
                <w:rFonts w:hint="eastAsia"/>
                <w:color w:val="auto"/>
                <w:sz w:val="24"/>
                <w:lang w:val="en-US" w:eastAsia="zh-CN"/>
              </w:rPr>
              <w:t>贮存365天，节假日安排值班</w:t>
            </w:r>
            <w:r>
              <w:rPr>
                <w:rFonts w:hint="eastAsia"/>
                <w:color w:val="auto"/>
                <w:sz w:val="24"/>
              </w:rPr>
              <w:t>。</w:t>
            </w:r>
          </w:p>
          <w:p w14:paraId="579BD9DD">
            <w:pPr>
              <w:keepNext w:val="0"/>
              <w:keepLines w:val="0"/>
              <w:pageBreakBefore w:val="0"/>
              <w:widowControl w:val="0"/>
              <w:numPr>
                <w:ilvl w:val="0"/>
                <w:numId w:val="12"/>
              </w:numPr>
              <w:kinsoku/>
              <w:wordWrap/>
              <w:overflowPunct/>
              <w:topLinePunct w:val="0"/>
              <w:autoSpaceDE/>
              <w:autoSpaceDN/>
              <w:bidi w:val="0"/>
              <w:adjustRightInd w:val="0"/>
              <w:snapToGrid w:val="0"/>
              <w:spacing w:line="360" w:lineRule="auto"/>
              <w:ind w:left="0" w:leftChars="0" w:firstLine="482" w:firstLineChars="200"/>
              <w:textAlignment w:val="auto"/>
              <w:rPr>
                <w:rFonts w:ascii="Times New Roman" w:hAnsi="Times New Roman" w:eastAsia="宋体" w:cs="Times New Roman"/>
                <w:b/>
                <w:color w:val="auto"/>
                <w:sz w:val="24"/>
              </w:rPr>
            </w:pPr>
            <w:r>
              <w:rPr>
                <w:rFonts w:ascii="Times New Roman" w:hAnsi="Times New Roman" w:eastAsia="宋体" w:cs="Times New Roman"/>
                <w:b/>
                <w:color w:val="auto"/>
                <w:sz w:val="24"/>
              </w:rPr>
              <w:t>平面布置</w:t>
            </w:r>
          </w:p>
          <w:p w14:paraId="14610137">
            <w:pPr>
              <w:adjustRightInd w:val="0"/>
              <w:snapToGrid w:val="0"/>
              <w:spacing w:line="360" w:lineRule="auto"/>
              <w:ind w:firstLine="480" w:firstLineChars="200"/>
              <w:jc w:val="left"/>
              <w:rPr>
                <w:rFonts w:hint="default" w:eastAsia="宋体"/>
                <w:color w:val="auto"/>
                <w:sz w:val="24"/>
                <w:lang w:val="en-US" w:eastAsia="zh-CN"/>
              </w:rPr>
            </w:pPr>
            <w:r>
              <w:rPr>
                <w:rFonts w:hint="eastAsia"/>
                <w:color w:val="auto"/>
                <w:sz w:val="24"/>
                <w:lang w:val="en-US" w:eastAsia="zh-CN"/>
              </w:rPr>
              <w:t>厂区分为危废贮存库和办公区。办公区位于厂房内西南部，其余均为贮存库。收集池位于厂房南部位置。</w:t>
            </w:r>
          </w:p>
          <w:p w14:paraId="7AD8763E">
            <w:pPr>
              <w:adjustRightInd w:val="0"/>
              <w:snapToGrid w:val="0"/>
              <w:spacing w:line="360" w:lineRule="auto"/>
              <w:ind w:firstLine="480" w:firstLineChars="200"/>
              <w:jc w:val="left"/>
              <w:rPr>
                <w:rFonts w:hint="eastAsia"/>
                <w:color w:val="auto"/>
                <w:sz w:val="24"/>
                <w:lang w:val="en-US" w:eastAsia="zh-CN"/>
              </w:rPr>
            </w:pPr>
            <w:r>
              <w:rPr>
                <w:rFonts w:hint="eastAsia"/>
                <w:color w:val="auto"/>
                <w:sz w:val="24"/>
                <w:lang w:val="en-US" w:eastAsia="zh-CN"/>
              </w:rPr>
              <w:t>贮存库及内部各分区按照《危险废物识别标志设置技术规范》（HJ 1276-2022）设置危险废物识别标志。</w:t>
            </w:r>
          </w:p>
          <w:p w14:paraId="07AB636C">
            <w:pPr>
              <w:adjustRightInd w:val="0"/>
              <w:snapToGrid w:val="0"/>
              <w:spacing w:line="360" w:lineRule="auto"/>
              <w:ind w:firstLine="480" w:firstLineChars="200"/>
              <w:jc w:val="left"/>
              <w:rPr>
                <w:rFonts w:hint="eastAsia"/>
                <w:color w:val="auto"/>
                <w:sz w:val="24"/>
                <w:lang w:val="en-US" w:eastAsia="zh-CN"/>
              </w:rPr>
            </w:pPr>
            <w:r>
              <w:rPr>
                <w:rFonts w:hint="eastAsia"/>
                <w:color w:val="auto"/>
                <w:sz w:val="24"/>
                <w:lang w:val="en-US" w:eastAsia="zh-CN"/>
              </w:rPr>
              <w:t>贮存库内设有废气收集系统，废气治理设施位于厂房北侧。</w:t>
            </w:r>
          </w:p>
          <w:p w14:paraId="6F5660EA">
            <w:pPr>
              <w:adjustRightInd w:val="0"/>
              <w:snapToGrid w:val="0"/>
              <w:spacing w:line="360" w:lineRule="auto"/>
              <w:ind w:firstLine="480" w:firstLineChars="200"/>
              <w:jc w:val="left"/>
              <w:rPr>
                <w:rFonts w:hint="default" w:eastAsia="宋体"/>
                <w:color w:val="auto"/>
                <w:sz w:val="24"/>
                <w:lang w:val="en-US" w:eastAsia="zh-CN"/>
              </w:rPr>
            </w:pPr>
            <w:r>
              <w:rPr>
                <w:rFonts w:hint="eastAsia"/>
                <w:color w:val="auto"/>
                <w:sz w:val="24"/>
                <w:lang w:val="en-US" w:eastAsia="zh-CN"/>
              </w:rPr>
              <w:t>贮存库内部设置过道将各区分隔，设有导流沟进行废液收集，导流沟连接至收集池，可保证泄漏物质全部收集入收集池。</w:t>
            </w:r>
          </w:p>
          <w:p w14:paraId="1DE06EB5">
            <w:pPr>
              <w:adjustRightInd w:val="0"/>
              <w:snapToGrid w:val="0"/>
              <w:spacing w:line="360" w:lineRule="auto"/>
              <w:ind w:firstLine="480" w:firstLineChars="200"/>
              <w:jc w:val="left"/>
              <w:rPr>
                <w:color w:val="FF0000"/>
              </w:rPr>
            </w:pPr>
            <w:r>
              <w:rPr>
                <w:rFonts w:hint="eastAsia"/>
                <w:color w:val="auto"/>
                <w:sz w:val="24"/>
                <w:lang w:val="en-US" w:eastAsia="zh-CN"/>
              </w:rPr>
              <w:t>项目厂房布置方便物料、人员、车辆进出，功能分区清晰，物流短捷，人流、物流互不干扰，并满足消防、安全等有关规范、规定。本项目总平面布置合理可行。具体平面布置详见附图4。</w:t>
            </w:r>
          </w:p>
        </w:tc>
      </w:tr>
      <w:tr w14:paraId="735AD3F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779" w:hRule="atLeast"/>
          <w:jc w:val="center"/>
        </w:trPr>
        <w:tc>
          <w:tcPr>
            <w:tcW w:w="418" w:type="pct"/>
            <w:vAlign w:val="center"/>
          </w:tcPr>
          <w:p w14:paraId="77E11738">
            <w:pPr>
              <w:pStyle w:val="23"/>
              <w:adjustRightInd w:val="0"/>
              <w:snapToGrid w:val="0"/>
              <w:spacing w:before="0" w:beforeAutospacing="0" w:after="0" w:afterAutospacing="0"/>
              <w:jc w:val="center"/>
              <w:rPr>
                <w:rFonts w:ascii="Times New Roman" w:hAnsi="Times New Roman"/>
                <w:color w:val="FF0000"/>
                <w:szCs w:val="24"/>
              </w:rPr>
            </w:pPr>
            <w:r>
              <w:rPr>
                <w:rFonts w:ascii="Times New Roman" w:hAnsi="Times New Roman"/>
                <w:color w:val="auto"/>
                <w:szCs w:val="24"/>
              </w:rPr>
              <w:t>工艺流程和产排污环节</w:t>
            </w:r>
          </w:p>
        </w:tc>
        <w:tc>
          <w:tcPr>
            <w:tcW w:w="4581" w:type="pct"/>
          </w:tcPr>
          <w:p w14:paraId="0C93CD6A">
            <w:pPr>
              <w:pStyle w:val="11"/>
              <w:keepNext w:val="0"/>
              <w:keepLines w:val="0"/>
              <w:pageBreakBefore w:val="0"/>
              <w:widowControl w:val="0"/>
              <w:kinsoku/>
              <w:wordWrap/>
              <w:overflowPunct/>
              <w:topLinePunct w:val="0"/>
              <w:autoSpaceDE/>
              <w:autoSpaceDN/>
              <w:bidi w:val="0"/>
              <w:adjustRightInd w:val="0"/>
              <w:snapToGrid w:val="0"/>
              <w:spacing w:before="120" w:beforeLines="50" w:after="0" w:line="360" w:lineRule="auto"/>
              <w:ind w:left="0" w:leftChars="0" w:firstLine="482" w:firstLineChars="200"/>
              <w:textAlignment w:val="auto"/>
              <w:rPr>
                <w:b/>
                <w:snapToGrid w:val="0"/>
                <w:color w:val="auto"/>
                <w:kern w:val="24"/>
                <w:szCs w:val="24"/>
              </w:rPr>
            </w:pPr>
            <w:r>
              <w:rPr>
                <w:b/>
                <w:snapToGrid w:val="0"/>
                <w:color w:val="auto"/>
                <w:kern w:val="24"/>
                <w:szCs w:val="24"/>
              </w:rPr>
              <w:t>一、施工期工艺流程及产污环节</w:t>
            </w:r>
          </w:p>
          <w:p w14:paraId="137590B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color w:val="auto"/>
                <w:sz w:val="24"/>
                <w:lang w:val="en-US" w:eastAsia="zh-CN"/>
              </w:rPr>
            </w:pPr>
            <w:r>
              <w:rPr>
                <w:rFonts w:hint="eastAsia"/>
                <w:color w:val="auto"/>
                <w:sz w:val="24"/>
                <w:lang w:val="en-US" w:eastAsia="zh-CN"/>
              </w:rPr>
              <w:t>本项目利用原有空闲厂房改造建设危险废物暂存库房，故无需进行厂房的地基及主体工程建设，主要施工内容是厂房内收集池、导流槽建设施工、地面防渗处理、装修施工、设施安装及工程验收等，施工期将产生施工扬尘、施工废水、噪声、固体废物等污染物，具体工艺流程及产污环节见下图：</w:t>
            </w:r>
          </w:p>
          <w:p w14:paraId="3CB74FDE">
            <w:pPr>
              <w:pStyle w:val="93"/>
              <w:jc w:val="center"/>
              <w:rPr>
                <w:color w:val="auto"/>
                <w:sz w:val="24"/>
              </w:rPr>
            </w:pPr>
            <w:r>
              <w:rPr>
                <w:color w:val="auto"/>
                <w:sz w:val="24"/>
              </w:rPr>
              <w:object>
                <v:shape id="_x0000_i1025" o:spt="75" type="#_x0000_t75" style="height:78.2pt;width:365.05pt;" o:ole="t" filled="f" o:preferrelative="t" stroked="f" coordsize="21600,21600">
                  <v:path/>
                  <v:fill on="f" focussize="0,0"/>
                  <v:stroke on="f"/>
                  <v:imagedata r:id="rId11" o:title=""/>
                  <o:lock v:ext="edit" aspectratio="f"/>
                  <w10:wrap type="none"/>
                  <w10:anchorlock/>
                </v:shape>
                <o:OLEObject Type="Embed" ProgID="Visio.Drawing.15" ShapeID="_x0000_i1025" DrawAspect="Content" ObjectID="_1468075725" r:id="rId10">
                  <o:LockedField>false</o:LockedField>
                </o:OLEObject>
              </w:object>
            </w:r>
          </w:p>
          <w:p w14:paraId="33A9D504">
            <w:pPr>
              <w:keepNext w:val="0"/>
              <w:keepLines w:val="0"/>
              <w:pageBreakBefore w:val="0"/>
              <w:widowControl w:val="0"/>
              <w:numPr>
                <w:ilvl w:val="0"/>
                <w:numId w:val="16"/>
              </w:numPr>
              <w:kinsoku/>
              <w:wordWrap/>
              <w:overflowPunct/>
              <w:topLinePunct w:val="0"/>
              <w:autoSpaceDE/>
              <w:autoSpaceDN/>
              <w:bidi w:val="0"/>
              <w:adjustRightInd w:val="0"/>
              <w:snapToGrid w:val="0"/>
              <w:spacing w:before="157" w:beforeLines="50" w:line="360" w:lineRule="auto"/>
              <w:ind w:left="0" w:leftChars="0" w:firstLine="0" w:firstLineChars="0"/>
              <w:jc w:val="center"/>
              <w:textAlignment w:val="auto"/>
              <w:rPr>
                <w:rFonts w:ascii="Times New Roman" w:hAnsi="Times New Roman" w:eastAsia="宋体" w:cs="Times New Roman"/>
                <w:b/>
                <w:color w:val="auto"/>
                <w:sz w:val="24"/>
                <w:szCs w:val="24"/>
              </w:rPr>
            </w:pPr>
            <w:r>
              <w:rPr>
                <w:rFonts w:ascii="Times New Roman" w:hAnsi="Times New Roman" w:eastAsia="宋体" w:cs="Times New Roman"/>
                <w:b/>
                <w:color w:val="auto"/>
                <w:sz w:val="24"/>
                <w:szCs w:val="24"/>
              </w:rPr>
              <w:t>施工期生产工艺流程及产</w:t>
            </w:r>
            <w:r>
              <w:rPr>
                <w:rFonts w:hint="eastAsia" w:ascii="Times New Roman" w:hAnsi="Times New Roman" w:eastAsia="宋体" w:cs="Times New Roman"/>
                <w:b/>
                <w:color w:val="auto"/>
                <w:sz w:val="24"/>
                <w:szCs w:val="24"/>
              </w:rPr>
              <w:t>污</w:t>
            </w:r>
            <w:r>
              <w:rPr>
                <w:rFonts w:ascii="Times New Roman" w:hAnsi="Times New Roman" w:eastAsia="宋体" w:cs="Times New Roman"/>
                <w:b/>
                <w:color w:val="auto"/>
                <w:sz w:val="24"/>
                <w:szCs w:val="24"/>
              </w:rPr>
              <w:t>环节图</w:t>
            </w:r>
          </w:p>
          <w:p w14:paraId="309540D1">
            <w:pPr>
              <w:tabs>
                <w:tab w:val="left" w:pos="897"/>
              </w:tabs>
              <w:spacing w:line="360" w:lineRule="auto"/>
              <w:ind w:firstLine="480" w:firstLineChars="200"/>
              <w:rPr>
                <w:color w:val="auto"/>
                <w:sz w:val="24"/>
              </w:rPr>
            </w:pPr>
            <w:r>
              <w:rPr>
                <w:rFonts w:hint="eastAsia"/>
                <w:color w:val="auto"/>
                <w:sz w:val="24"/>
              </w:rPr>
              <w:t>2、施工期</w:t>
            </w:r>
            <w:r>
              <w:rPr>
                <w:color w:val="auto"/>
                <w:sz w:val="24"/>
              </w:rPr>
              <w:t>产排污环节：</w:t>
            </w:r>
          </w:p>
          <w:p w14:paraId="2812B30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color w:val="auto"/>
                <w:sz w:val="24"/>
                <w:lang w:val="en-US" w:eastAsia="zh-CN"/>
              </w:rPr>
            </w:pPr>
            <w:r>
              <w:rPr>
                <w:rFonts w:hint="eastAsia"/>
                <w:color w:val="auto"/>
                <w:sz w:val="24"/>
                <w:lang w:val="en-US" w:eastAsia="zh-CN"/>
              </w:rPr>
              <w:t>（1）废气：主要为施工扬尘、施工机械和运输车辆排放的尾气。</w:t>
            </w:r>
          </w:p>
          <w:p w14:paraId="0F2242B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color w:val="auto"/>
                <w:sz w:val="24"/>
                <w:lang w:val="en-US" w:eastAsia="zh-CN"/>
              </w:rPr>
            </w:pPr>
            <w:r>
              <w:rPr>
                <w:rFonts w:hint="eastAsia"/>
                <w:color w:val="auto"/>
                <w:sz w:val="24"/>
                <w:lang w:val="en-US" w:eastAsia="zh-CN"/>
              </w:rPr>
              <w:t>（2）废水：主要为施工废水和施工人员产生的生活污水。</w:t>
            </w:r>
          </w:p>
          <w:p w14:paraId="183438A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color w:val="auto"/>
                <w:sz w:val="24"/>
                <w:lang w:val="en-US" w:eastAsia="zh-CN"/>
              </w:rPr>
            </w:pPr>
            <w:r>
              <w:rPr>
                <w:rFonts w:hint="eastAsia"/>
                <w:color w:val="auto"/>
                <w:sz w:val="24"/>
                <w:lang w:val="en-US" w:eastAsia="zh-CN"/>
              </w:rPr>
              <w:t>（3）施工噪声：主要是各种机械设备产生的噪声和车辆运输产生的交通噪声。</w:t>
            </w:r>
          </w:p>
          <w:p w14:paraId="291DBA4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color w:val="auto"/>
                <w:sz w:val="24"/>
                <w:lang w:val="en-US" w:eastAsia="zh-CN"/>
              </w:rPr>
            </w:pPr>
            <w:r>
              <w:rPr>
                <w:rFonts w:hint="eastAsia"/>
                <w:color w:val="auto"/>
                <w:sz w:val="24"/>
                <w:lang w:val="en-US" w:eastAsia="zh-CN"/>
              </w:rPr>
              <w:t>（4）固体废物：主要为建筑垃圾、施工人员产生的生活垃圾。</w:t>
            </w:r>
          </w:p>
          <w:p w14:paraId="77B2E060">
            <w:pPr>
              <w:pStyle w:val="11"/>
              <w:adjustRightInd w:val="0"/>
              <w:snapToGrid w:val="0"/>
              <w:spacing w:after="0" w:line="360" w:lineRule="auto"/>
              <w:ind w:left="0" w:leftChars="0" w:firstLine="482" w:firstLineChars="200"/>
              <w:rPr>
                <w:b/>
                <w:snapToGrid w:val="0"/>
                <w:color w:val="auto"/>
                <w:kern w:val="24"/>
                <w:szCs w:val="24"/>
              </w:rPr>
            </w:pPr>
            <w:r>
              <w:rPr>
                <w:b/>
                <w:snapToGrid w:val="0"/>
                <w:color w:val="auto"/>
                <w:kern w:val="24"/>
                <w:szCs w:val="24"/>
              </w:rPr>
              <w:t>二、营运期工艺流程及产污环节</w:t>
            </w:r>
          </w:p>
          <w:p w14:paraId="078324B4">
            <w:pPr>
              <w:pStyle w:val="94"/>
              <w:numPr>
                <w:ilvl w:val="0"/>
                <w:numId w:val="17"/>
              </w:numPr>
              <w:spacing w:line="360" w:lineRule="auto"/>
              <w:ind w:left="0" w:leftChars="0" w:firstLine="420" w:firstLineChars="0"/>
              <w:rPr>
                <w:rFonts w:hint="default" w:cs="Times New Roman"/>
                <w:b/>
                <w:bCs/>
                <w:color w:val="auto"/>
                <w:lang w:val="en-US" w:eastAsia="zh-CN"/>
              </w:rPr>
            </w:pPr>
            <w:r>
              <w:rPr>
                <w:rFonts w:hint="eastAsia" w:cs="Times New Roman"/>
                <w:b/>
                <w:bCs/>
                <w:color w:val="auto"/>
                <w:lang w:val="en-US" w:eastAsia="zh-CN"/>
              </w:rPr>
              <w:t>工艺描述</w:t>
            </w:r>
          </w:p>
          <w:p w14:paraId="75437E38">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textAlignment w:val="auto"/>
              <w:rPr>
                <w:rFonts w:hint="eastAsia"/>
                <w:color w:val="auto"/>
                <w:sz w:val="24"/>
              </w:rPr>
            </w:pPr>
            <w:r>
              <w:rPr>
                <w:rFonts w:hint="eastAsia"/>
                <w:color w:val="auto"/>
                <w:sz w:val="24"/>
              </w:rPr>
              <w:object>
                <v:shape id="_x0000_i1026" o:spt="75" type="#_x0000_t75" style="height:145.4pt;width:422.8pt;" o:ole="t" filled="f" o:preferrelative="t" stroked="f" coordsize="21600,21600">
                  <v:path/>
                  <v:fill on="f" focussize="0,0"/>
                  <v:stroke on="f"/>
                  <v:imagedata r:id="rId13" o:title=""/>
                  <o:lock v:ext="edit" aspectratio="f"/>
                  <w10:wrap type="none"/>
                  <w10:anchorlock/>
                </v:shape>
                <o:OLEObject Type="Embed" ProgID="Visio.Drawing.15" ShapeID="_x0000_i1026" DrawAspect="Content" ObjectID="_1468075726" r:id="rId12">
                  <o:LockedField>false</o:LockedField>
                </o:OLEObject>
              </w:object>
            </w:r>
          </w:p>
          <w:p w14:paraId="62958BF3">
            <w:pPr>
              <w:numPr>
                <w:ilvl w:val="0"/>
                <w:numId w:val="16"/>
              </w:numPr>
              <w:adjustRightInd w:val="0"/>
              <w:snapToGrid w:val="0"/>
              <w:spacing w:line="360" w:lineRule="auto"/>
              <w:ind w:left="425" w:leftChars="0" w:hanging="425" w:firstLineChars="0"/>
              <w:jc w:val="center"/>
              <w:rPr>
                <w:rFonts w:ascii="Times New Roman" w:hAnsi="Times New Roman" w:eastAsia="宋体" w:cs="Times New Roman"/>
                <w:b/>
                <w:color w:val="auto"/>
                <w:sz w:val="24"/>
                <w:szCs w:val="24"/>
              </w:rPr>
            </w:pPr>
            <w:r>
              <w:rPr>
                <w:rFonts w:ascii="Times New Roman" w:hAnsi="Times New Roman" w:eastAsia="宋体" w:cs="Times New Roman"/>
                <w:b/>
                <w:color w:val="auto"/>
                <w:sz w:val="24"/>
                <w:szCs w:val="24"/>
              </w:rPr>
              <w:t>项目生产工艺流程及产污环节图</w:t>
            </w:r>
          </w:p>
          <w:p w14:paraId="2A4153D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color w:val="auto"/>
                <w:sz w:val="24"/>
                <w:lang w:val="en-US" w:eastAsia="zh-CN"/>
              </w:rPr>
            </w:pPr>
            <w:r>
              <w:rPr>
                <w:rFonts w:hint="eastAsia"/>
                <w:color w:val="auto"/>
                <w:sz w:val="24"/>
                <w:lang w:val="en-US" w:eastAsia="zh-CN"/>
              </w:rPr>
              <w:t>本项目企业委托专业运输公司承担危险废物收运任务，在项目贮存区集中短期暂存后交由具有危险废物处置资质的单位统一收运处置，危险废物分析检测工作委托具备相关资质能力单位进行。本次评价不对危险废物分析检测、运输、利用处置过程进行评价。</w:t>
            </w:r>
          </w:p>
          <w:p w14:paraId="2B3B461A">
            <w:pPr>
              <w:pStyle w:val="94"/>
              <w:numPr>
                <w:ilvl w:val="0"/>
                <w:numId w:val="18"/>
              </w:numPr>
              <w:spacing w:line="360" w:lineRule="auto"/>
              <w:ind w:left="0" w:leftChars="0" w:firstLine="480" w:firstLineChars="200"/>
              <w:rPr>
                <w:rFonts w:hint="eastAsia" w:cs="Times New Roman"/>
                <w:color w:val="auto"/>
                <w:lang w:val="en-US" w:eastAsia="zh-CN"/>
              </w:rPr>
            </w:pPr>
            <w:r>
              <w:rPr>
                <w:rFonts w:hint="eastAsia" w:cs="Times New Roman"/>
                <w:color w:val="auto"/>
                <w:lang w:val="en-US" w:eastAsia="zh-CN"/>
              </w:rPr>
              <w:t>危险废物收集</w:t>
            </w:r>
          </w:p>
          <w:p w14:paraId="23173EE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color w:val="auto"/>
                <w:sz w:val="24"/>
                <w:lang w:val="en-US" w:eastAsia="zh-CN"/>
              </w:rPr>
            </w:pPr>
            <w:r>
              <w:rPr>
                <w:rFonts w:hint="eastAsia"/>
                <w:color w:val="auto"/>
                <w:sz w:val="24"/>
                <w:lang w:val="en-US" w:eastAsia="zh-CN"/>
              </w:rPr>
              <w:t>本项目营运期对收集范围内中小企业等产生的危险废物进行统一收集，项目业主不承担危险废物的原始收集工作，由各个企业自行收集，收集容器为各企业厂内自备容器分类收集，收集达到一定的收集容量或约定收运时间后，由危险废物产生单位通知本项目建设单位，再由本项目建设单位联系专业运输单位，并随危险废物运输车辆到达产生危险废物单位收集危险废物。</w:t>
            </w:r>
          </w:p>
          <w:p w14:paraId="16326FD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cs="Times New Roman"/>
                <w:color w:val="auto"/>
                <w:lang w:val="en-US" w:eastAsia="zh-CN"/>
              </w:rPr>
            </w:pPr>
            <w:r>
              <w:rPr>
                <w:rFonts w:hint="eastAsia"/>
                <w:color w:val="auto"/>
                <w:sz w:val="24"/>
                <w:lang w:val="en-US" w:eastAsia="zh-CN"/>
              </w:rPr>
              <w:t>建设单位应详细了解产废单位所有危废的危废属性及风险性，必要时</w:t>
            </w:r>
            <w:r>
              <w:rPr>
                <w:rFonts w:hint="default"/>
                <w:color w:val="auto"/>
                <w:sz w:val="24"/>
                <w:lang w:val="en-US" w:eastAsia="zh-CN"/>
              </w:rPr>
              <w:t>可委托第三方进行危险废物</w:t>
            </w:r>
            <w:r>
              <w:rPr>
                <w:rFonts w:hint="eastAsia"/>
                <w:color w:val="auto"/>
                <w:sz w:val="24"/>
                <w:lang w:val="en-US" w:eastAsia="zh-CN"/>
              </w:rPr>
              <w:t>分析</w:t>
            </w:r>
            <w:r>
              <w:rPr>
                <w:rFonts w:hint="default"/>
                <w:color w:val="auto"/>
                <w:sz w:val="24"/>
                <w:lang w:val="en-US" w:eastAsia="zh-CN"/>
              </w:rPr>
              <w:t>。判定拟转运危险废物属于建设单位的经营许可范围</w:t>
            </w:r>
            <w:r>
              <w:rPr>
                <w:rFonts w:hint="eastAsia"/>
                <w:color w:val="auto"/>
                <w:sz w:val="24"/>
                <w:lang w:val="en-US" w:eastAsia="zh-CN"/>
              </w:rPr>
              <w:t>并排除风险性</w:t>
            </w:r>
            <w:r>
              <w:rPr>
                <w:rFonts w:hint="default"/>
                <w:color w:val="auto"/>
                <w:sz w:val="24"/>
                <w:lang w:val="en-US" w:eastAsia="zh-CN"/>
              </w:rPr>
              <w:t>之后，建设单位才能与产废企业签订该危险废物的中转暂存合同</w:t>
            </w:r>
            <w:r>
              <w:rPr>
                <w:rFonts w:hint="eastAsia" w:cs="Times New Roman"/>
                <w:color w:val="auto"/>
                <w:lang w:val="en-US" w:eastAsia="zh-CN"/>
              </w:rPr>
              <w:t>，</w:t>
            </w:r>
            <w:r>
              <w:rPr>
                <w:rFonts w:hint="eastAsia"/>
                <w:color w:val="auto"/>
                <w:sz w:val="24"/>
                <w:lang w:val="en-US" w:eastAsia="zh-CN"/>
              </w:rPr>
              <w:t>进行收集转运工作</w:t>
            </w:r>
            <w:r>
              <w:rPr>
                <w:rFonts w:hint="default"/>
                <w:color w:val="auto"/>
                <w:sz w:val="24"/>
                <w:lang w:val="en-US" w:eastAsia="zh-CN"/>
              </w:rPr>
              <w:t>。</w:t>
            </w:r>
            <w:r>
              <w:rPr>
                <w:rFonts w:hint="eastAsia"/>
                <w:color w:val="auto"/>
                <w:sz w:val="24"/>
                <w:lang w:val="en-US" w:eastAsia="zh-CN"/>
              </w:rPr>
              <w:t>本项目不收集、贮存感染性、爆炸性、废弃剧毒化学品及有关行政管理部门认为不宜收集、贮存的危险废物，不收集无明确利用处置途径的危险废物。</w:t>
            </w:r>
          </w:p>
          <w:p w14:paraId="734662D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color w:val="auto"/>
                <w:sz w:val="24"/>
                <w:lang w:val="en-US" w:eastAsia="zh-CN"/>
              </w:rPr>
            </w:pPr>
            <w:r>
              <w:rPr>
                <w:rFonts w:hint="eastAsia"/>
                <w:color w:val="auto"/>
                <w:sz w:val="24"/>
                <w:lang w:val="en-US" w:eastAsia="zh-CN"/>
              </w:rPr>
              <w:t>建设单位按《危险废物识别标志设置技术规范》（HJ 1276-2022）、</w:t>
            </w:r>
            <w:r>
              <w:rPr>
                <w:rFonts w:hint="default"/>
                <w:color w:val="auto"/>
                <w:sz w:val="24"/>
                <w:lang w:val="en-US" w:eastAsia="zh-CN"/>
              </w:rPr>
              <w:t>《危险废物贮存污染控制标准》</w:t>
            </w:r>
            <w:r>
              <w:rPr>
                <w:rFonts w:hint="eastAsia"/>
                <w:color w:val="auto"/>
                <w:sz w:val="24"/>
                <w:lang w:val="en-US" w:eastAsia="zh-CN"/>
              </w:rPr>
              <w:t>（</w:t>
            </w:r>
            <w:r>
              <w:rPr>
                <w:rFonts w:hint="default"/>
                <w:color w:val="auto"/>
                <w:sz w:val="24"/>
                <w:lang w:val="en-US" w:eastAsia="zh-CN"/>
              </w:rPr>
              <w:t>GB18597-2023</w:t>
            </w:r>
            <w:r>
              <w:rPr>
                <w:rFonts w:hint="eastAsia"/>
                <w:color w:val="auto"/>
                <w:sz w:val="24"/>
                <w:lang w:val="en-US" w:eastAsia="zh-CN"/>
              </w:rPr>
              <w:t>）等相关标准要求检查危险废物标签及包装，</w:t>
            </w:r>
            <w:r>
              <w:rPr>
                <w:rFonts w:hint="default"/>
                <w:color w:val="auto"/>
                <w:sz w:val="24"/>
                <w:lang w:val="en-US" w:eastAsia="zh-CN"/>
              </w:rPr>
              <w:t>如危废转运过程中发现不满足包装要求的，在现场整改后才能装车、转运。</w:t>
            </w:r>
          </w:p>
          <w:p w14:paraId="40C547D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color w:val="auto"/>
                <w:sz w:val="24"/>
                <w:lang w:val="en-US" w:eastAsia="zh-CN"/>
              </w:rPr>
            </w:pPr>
            <w:r>
              <w:rPr>
                <w:rFonts w:hint="eastAsia"/>
                <w:color w:val="auto"/>
                <w:sz w:val="24"/>
                <w:lang w:val="en-US" w:eastAsia="zh-CN"/>
              </w:rPr>
              <w:t>危险废物移交过程依照《危险废物转移管理办法》中的要求严格执行。产废单位在相关系统上进行出库申报，与现场危废收集情况核实一致后提交出库。各企业业主为收集环节环保责任主体，主要负责收集过程中危废转移满足环保要求，并协助运输单位将危险废物与收集容器整体装上运输车，通过专业公司运输至本项目贮存区。</w:t>
            </w:r>
          </w:p>
          <w:p w14:paraId="13FD580D">
            <w:pPr>
              <w:pStyle w:val="94"/>
              <w:numPr>
                <w:ilvl w:val="0"/>
                <w:numId w:val="18"/>
              </w:numPr>
              <w:spacing w:line="360" w:lineRule="auto"/>
              <w:ind w:left="0" w:leftChars="0" w:firstLine="480" w:firstLineChars="200"/>
              <w:rPr>
                <w:rFonts w:hint="default" w:cs="Times New Roman"/>
                <w:color w:val="auto"/>
                <w:lang w:val="en-US" w:eastAsia="zh-CN"/>
              </w:rPr>
            </w:pPr>
            <w:r>
              <w:rPr>
                <w:rFonts w:hint="eastAsia" w:cs="Times New Roman"/>
                <w:color w:val="auto"/>
                <w:lang w:val="en-US" w:eastAsia="zh-CN"/>
              </w:rPr>
              <w:t>委托运输</w:t>
            </w:r>
          </w:p>
          <w:p w14:paraId="41EB5967">
            <w:pPr>
              <w:pStyle w:val="94"/>
              <w:spacing w:line="360" w:lineRule="auto"/>
              <w:ind w:firstLineChars="0"/>
              <w:rPr>
                <w:rFonts w:hint="default" w:cs="Times New Roman"/>
                <w:color w:val="auto"/>
                <w:lang w:val="en-US" w:eastAsia="zh-CN"/>
              </w:rPr>
            </w:pPr>
            <w:r>
              <w:rPr>
                <w:rFonts w:hint="default" w:cs="Times New Roman"/>
                <w:color w:val="auto"/>
                <w:lang w:val="en-US" w:eastAsia="zh-CN"/>
              </w:rPr>
              <w:t>危险废物收集运输交由</w:t>
            </w:r>
            <w:r>
              <w:rPr>
                <w:rFonts w:hint="eastAsia" w:cs="Times New Roman"/>
                <w:color w:val="auto"/>
                <w:lang w:val="en-US" w:eastAsia="zh-CN"/>
              </w:rPr>
              <w:t>专业运输</w:t>
            </w:r>
            <w:r>
              <w:rPr>
                <w:rFonts w:hint="default" w:cs="Times New Roman"/>
                <w:color w:val="auto"/>
                <w:lang w:val="en-US" w:eastAsia="zh-CN"/>
              </w:rPr>
              <w:t>单位进行运输，</w:t>
            </w:r>
            <w:r>
              <w:rPr>
                <w:rFonts w:hint="eastAsia" w:cs="Times New Roman"/>
                <w:color w:val="auto"/>
                <w:lang w:val="en-US" w:eastAsia="zh-CN"/>
              </w:rPr>
              <w:t>运输单位为运输过程中环保责任主体，</w:t>
            </w:r>
            <w:r>
              <w:rPr>
                <w:rFonts w:hint="default" w:cs="Times New Roman"/>
                <w:color w:val="auto"/>
                <w:lang w:val="en-US" w:eastAsia="zh-CN"/>
              </w:rPr>
              <w:t>运输线路应避开人口密集区、饮用水源保护区等环境敏感区</w:t>
            </w:r>
            <w:r>
              <w:rPr>
                <w:rFonts w:hint="eastAsia" w:cs="Times New Roman"/>
                <w:color w:val="auto"/>
                <w:lang w:val="en-US" w:eastAsia="zh-CN"/>
              </w:rPr>
              <w:t>。</w:t>
            </w:r>
            <w:r>
              <w:rPr>
                <w:rFonts w:hint="default" w:cs="Times New Roman"/>
                <w:color w:val="auto"/>
                <w:lang w:val="en-US" w:eastAsia="zh-CN"/>
              </w:rPr>
              <w:t>收运过程应</w:t>
            </w:r>
            <w:r>
              <w:rPr>
                <w:rFonts w:hint="eastAsia" w:cs="Times New Roman"/>
                <w:color w:val="auto"/>
                <w:lang w:val="en-US" w:eastAsia="zh-CN"/>
              </w:rPr>
              <w:t>采取</w:t>
            </w:r>
            <w:r>
              <w:rPr>
                <w:rFonts w:hint="default" w:cs="Times New Roman"/>
                <w:color w:val="auto"/>
                <w:lang w:val="en-US" w:eastAsia="zh-CN"/>
              </w:rPr>
              <w:t>防止散扬、流失、渗漏等污染环境的措施，避免运输过程中的污染，减少可能造成的环境风险</w:t>
            </w:r>
            <w:r>
              <w:rPr>
                <w:rFonts w:hint="eastAsia" w:cs="Times New Roman"/>
                <w:color w:val="auto"/>
                <w:lang w:val="en-US" w:eastAsia="zh-CN"/>
              </w:rPr>
              <w:t>，满足环保相关要求。</w:t>
            </w:r>
          </w:p>
          <w:p w14:paraId="6EE574E2">
            <w:pPr>
              <w:pStyle w:val="94"/>
              <w:numPr>
                <w:ilvl w:val="0"/>
                <w:numId w:val="18"/>
              </w:numPr>
              <w:spacing w:line="360" w:lineRule="auto"/>
              <w:ind w:left="0" w:leftChars="0" w:firstLine="480" w:firstLineChars="200"/>
              <w:rPr>
                <w:rFonts w:hint="default" w:cs="Times New Roman"/>
                <w:color w:val="auto"/>
                <w:lang w:val="en-US" w:eastAsia="zh-CN"/>
              </w:rPr>
            </w:pPr>
            <w:r>
              <w:rPr>
                <w:rFonts w:hint="eastAsia" w:cs="Times New Roman"/>
                <w:color w:val="auto"/>
                <w:lang w:val="en-US" w:eastAsia="zh-CN"/>
              </w:rPr>
              <w:t>入库</w:t>
            </w:r>
          </w:p>
          <w:p w14:paraId="6FB733E3">
            <w:pPr>
              <w:pStyle w:val="94"/>
              <w:spacing w:line="360" w:lineRule="auto"/>
              <w:ind w:firstLineChars="0"/>
              <w:rPr>
                <w:rFonts w:hint="default" w:cs="Times New Roman"/>
                <w:color w:val="auto"/>
                <w:lang w:val="en-US" w:eastAsia="zh-CN"/>
              </w:rPr>
            </w:pPr>
            <w:r>
              <w:rPr>
                <w:rFonts w:hint="default" w:cs="Times New Roman"/>
                <w:color w:val="auto"/>
                <w:lang w:val="en-US" w:eastAsia="zh-CN"/>
              </w:rPr>
              <w:t>危险废物运至项目</w:t>
            </w:r>
            <w:r>
              <w:rPr>
                <w:rFonts w:hint="eastAsia" w:cs="Times New Roman"/>
                <w:color w:val="auto"/>
                <w:lang w:val="en-US" w:eastAsia="zh-CN"/>
              </w:rPr>
              <w:t>的卸车区进行</w:t>
            </w:r>
            <w:r>
              <w:rPr>
                <w:rFonts w:hint="default" w:cs="Times New Roman"/>
                <w:color w:val="auto"/>
                <w:lang w:val="en-US" w:eastAsia="zh-CN"/>
              </w:rPr>
              <w:t>卸车，卸车前进行危险废物</w:t>
            </w:r>
            <w:r>
              <w:rPr>
                <w:rFonts w:hint="eastAsia" w:cs="Times New Roman"/>
                <w:color w:val="auto"/>
                <w:lang w:val="en-US" w:eastAsia="zh-CN"/>
              </w:rPr>
              <w:t>检查</w:t>
            </w:r>
            <w:r>
              <w:rPr>
                <w:rFonts w:hint="default" w:cs="Times New Roman"/>
                <w:color w:val="auto"/>
                <w:lang w:val="en-US" w:eastAsia="zh-CN"/>
              </w:rPr>
              <w:t>，确保同</w:t>
            </w:r>
            <w:r>
              <w:rPr>
                <w:rFonts w:hint="eastAsia" w:cs="Times New Roman"/>
                <w:color w:val="auto"/>
                <w:lang w:val="en-US" w:eastAsia="zh-CN"/>
              </w:rPr>
              <w:t>系统申请单中</w:t>
            </w:r>
            <w:r>
              <w:rPr>
                <w:rFonts w:hint="default" w:cs="Times New Roman"/>
                <w:color w:val="auto"/>
                <w:lang w:val="en-US" w:eastAsia="zh-CN"/>
              </w:rPr>
              <w:t>预定接收的危险废物种类、数量、质量、规格等要求一致</w:t>
            </w:r>
            <w:r>
              <w:rPr>
                <w:rFonts w:hint="eastAsia" w:cs="Times New Roman"/>
                <w:color w:val="auto"/>
                <w:lang w:val="en-US" w:eastAsia="zh-CN"/>
              </w:rPr>
              <w:t>，无破损、跑冒滴漏，贴有相应标签等情况后，在系统中完成登记入库，并形成台账</w:t>
            </w:r>
            <w:r>
              <w:rPr>
                <w:rFonts w:hint="default" w:cs="Times New Roman"/>
                <w:color w:val="auto"/>
                <w:lang w:val="en-US" w:eastAsia="zh-CN"/>
              </w:rPr>
              <w:t>。完成卸车后</w:t>
            </w:r>
            <w:r>
              <w:rPr>
                <w:rFonts w:hint="eastAsia" w:cs="Times New Roman"/>
                <w:color w:val="auto"/>
                <w:lang w:val="en-US" w:eastAsia="zh-CN"/>
              </w:rPr>
              <w:t>的</w:t>
            </w:r>
            <w:r>
              <w:rPr>
                <w:rFonts w:hint="default" w:cs="Times New Roman"/>
                <w:color w:val="auto"/>
                <w:lang w:val="en-US" w:eastAsia="zh-CN"/>
              </w:rPr>
              <w:t>专业运输车回原单位待命，不在</w:t>
            </w:r>
            <w:r>
              <w:rPr>
                <w:rFonts w:hint="eastAsia" w:cs="Times New Roman"/>
                <w:color w:val="auto"/>
                <w:lang w:val="en-US" w:eastAsia="zh-CN"/>
              </w:rPr>
              <w:t>项目区内</w:t>
            </w:r>
            <w:r>
              <w:rPr>
                <w:rFonts w:hint="default" w:cs="Times New Roman"/>
                <w:color w:val="auto"/>
                <w:lang w:val="en-US" w:eastAsia="zh-CN"/>
              </w:rPr>
              <w:t>停放和清洗。</w:t>
            </w:r>
          </w:p>
          <w:p w14:paraId="2A9AFE0D">
            <w:pPr>
              <w:pStyle w:val="94"/>
              <w:spacing w:line="360" w:lineRule="auto"/>
              <w:ind w:firstLineChars="0"/>
              <w:rPr>
                <w:rFonts w:hint="default" w:cs="Times New Roman"/>
                <w:color w:val="auto"/>
                <w:lang w:val="en-US" w:eastAsia="zh-CN"/>
              </w:rPr>
            </w:pPr>
            <w:r>
              <w:rPr>
                <w:rFonts w:hint="eastAsia"/>
                <w:color w:val="auto"/>
                <w:lang w:eastAsia="zh-CN"/>
              </w:rPr>
              <w:t>入库</w:t>
            </w:r>
            <w:r>
              <w:rPr>
                <w:rFonts w:hint="eastAsia" w:cs="Times New Roman"/>
                <w:color w:val="auto"/>
                <w:lang w:val="en-US" w:eastAsia="zh-CN"/>
              </w:rPr>
              <w:t>危废按类别分别存储于相应的</w:t>
            </w:r>
            <w:r>
              <w:rPr>
                <w:rFonts w:hint="default" w:cs="Times New Roman"/>
                <w:color w:val="auto"/>
                <w:lang w:val="en-US" w:eastAsia="zh-CN"/>
              </w:rPr>
              <w:t>贮存区，入库与转运出库的包装方式不变，危险废物均不在厂区内</w:t>
            </w:r>
            <w:r>
              <w:rPr>
                <w:rFonts w:hint="eastAsia" w:cs="Times New Roman"/>
                <w:color w:val="auto"/>
                <w:lang w:val="en-US" w:eastAsia="zh-CN"/>
              </w:rPr>
              <w:t>进行拆包、分装、倒罐等操作</w:t>
            </w:r>
            <w:r>
              <w:rPr>
                <w:rFonts w:hint="default" w:cs="Times New Roman"/>
                <w:color w:val="auto"/>
                <w:lang w:val="en-US" w:eastAsia="zh-CN"/>
              </w:rPr>
              <w:t>。要求卸车工作人员熟悉危险废物类别及其危险特性，卸车时工作人员佩戴好防护口罩、手套等。</w:t>
            </w:r>
          </w:p>
          <w:p w14:paraId="175D3474">
            <w:pPr>
              <w:pStyle w:val="94"/>
              <w:numPr>
                <w:ilvl w:val="0"/>
                <w:numId w:val="18"/>
              </w:numPr>
              <w:spacing w:line="360" w:lineRule="auto"/>
              <w:ind w:left="0" w:leftChars="0" w:firstLine="480" w:firstLineChars="200"/>
              <w:rPr>
                <w:rFonts w:hint="default" w:cs="Times New Roman"/>
                <w:color w:val="auto"/>
                <w:lang w:val="en-US" w:eastAsia="zh-CN"/>
              </w:rPr>
            </w:pPr>
            <w:r>
              <w:rPr>
                <w:rFonts w:hint="eastAsia" w:cs="Times New Roman"/>
                <w:color w:val="auto"/>
                <w:lang w:val="en-US" w:eastAsia="zh-CN"/>
              </w:rPr>
              <w:t>分类贮存</w:t>
            </w:r>
          </w:p>
          <w:p w14:paraId="5CEBD2DA">
            <w:pPr>
              <w:pStyle w:val="94"/>
              <w:spacing w:line="360" w:lineRule="auto"/>
              <w:ind w:firstLineChars="0"/>
              <w:rPr>
                <w:rFonts w:hint="eastAsia" w:eastAsia="宋体" w:cs="Times New Roman"/>
                <w:color w:val="auto"/>
                <w:lang w:val="en-US" w:eastAsia="zh-CN"/>
              </w:rPr>
            </w:pPr>
            <w:r>
              <w:rPr>
                <w:rFonts w:hint="default" w:cs="Times New Roman"/>
                <w:color w:val="auto"/>
                <w:lang w:val="en-US" w:eastAsia="zh-CN"/>
              </w:rPr>
              <w:t>根据收集的危险废物种类、形态，将危险废物分类暂存于对应的危险废物贮存区，危险废物与收集容器整体贮存在相应的贮存分区内。各危险废物贮存区地面与裙脚采取防渗、防腐措施，并设置</w:t>
            </w:r>
            <w:r>
              <w:rPr>
                <w:rFonts w:hint="eastAsia" w:cs="Times New Roman"/>
                <w:color w:val="auto"/>
                <w:lang w:val="en-US" w:eastAsia="zh-CN"/>
              </w:rPr>
              <w:t>导流沟。贮存库内设一座收集池，</w:t>
            </w:r>
            <w:r>
              <w:rPr>
                <w:rFonts w:hint="eastAsia"/>
                <w:color w:val="auto"/>
                <w:spacing w:val="2"/>
                <w:lang w:val="en-US" w:eastAsia="zh-CN"/>
              </w:rPr>
              <w:t>导流</w:t>
            </w:r>
            <w:r>
              <w:rPr>
                <w:color w:val="auto"/>
                <w:spacing w:val="2"/>
              </w:rPr>
              <w:t>沟与收集池连接</w:t>
            </w:r>
            <w:r>
              <w:rPr>
                <w:rFonts w:hint="eastAsia"/>
                <w:color w:val="auto"/>
                <w:spacing w:val="2"/>
                <w:lang w:eastAsia="zh-CN"/>
              </w:rPr>
              <w:t>，</w:t>
            </w:r>
            <w:r>
              <w:rPr>
                <w:color w:val="auto"/>
                <w:spacing w:val="2"/>
              </w:rPr>
              <w:t>若发生泄漏</w:t>
            </w:r>
            <w:r>
              <w:rPr>
                <w:rFonts w:hint="eastAsia"/>
                <w:color w:val="auto"/>
                <w:spacing w:val="2"/>
                <w:lang w:val="en-US" w:eastAsia="zh-CN"/>
              </w:rPr>
              <w:t>或渗漏</w:t>
            </w:r>
            <w:r>
              <w:rPr>
                <w:color w:val="auto"/>
                <w:spacing w:val="2"/>
              </w:rPr>
              <w:t>，漏出的废液可通过</w:t>
            </w:r>
            <w:r>
              <w:rPr>
                <w:rFonts w:hint="eastAsia"/>
                <w:color w:val="auto"/>
                <w:spacing w:val="2"/>
                <w:lang w:val="en-US" w:eastAsia="zh-CN"/>
              </w:rPr>
              <w:t>导流</w:t>
            </w:r>
            <w:r>
              <w:rPr>
                <w:color w:val="auto"/>
                <w:spacing w:val="2"/>
              </w:rPr>
              <w:t>沟进入收集池中，通过泵抽排</w:t>
            </w:r>
            <w:r>
              <w:rPr>
                <w:color w:val="auto"/>
                <w:spacing w:val="1"/>
              </w:rPr>
              <w:t>收集至塑料桶或铁</w:t>
            </w:r>
            <w:r>
              <w:rPr>
                <w:color w:val="auto"/>
                <w:spacing w:val="2"/>
              </w:rPr>
              <w:t>桶内，将泄漏的废液桶装后送至相应暂存区作为危险废物暂存</w:t>
            </w:r>
            <w:r>
              <w:rPr>
                <w:rFonts w:hint="eastAsia"/>
                <w:color w:val="auto"/>
                <w:spacing w:val="2"/>
                <w:lang w:eastAsia="zh-CN"/>
              </w:rPr>
              <w:t>。</w:t>
            </w:r>
          </w:p>
          <w:p w14:paraId="6E269BC9">
            <w:pPr>
              <w:pStyle w:val="94"/>
              <w:numPr>
                <w:ilvl w:val="0"/>
                <w:numId w:val="18"/>
              </w:numPr>
              <w:spacing w:line="360" w:lineRule="auto"/>
              <w:ind w:left="0" w:leftChars="0" w:firstLine="480" w:firstLineChars="200"/>
              <w:rPr>
                <w:rFonts w:hint="default" w:cs="Times New Roman"/>
                <w:color w:val="auto"/>
                <w:lang w:val="en-US" w:eastAsia="zh-CN"/>
              </w:rPr>
            </w:pPr>
            <w:r>
              <w:rPr>
                <w:rFonts w:hint="eastAsia" w:cs="Times New Roman"/>
                <w:color w:val="auto"/>
                <w:lang w:val="en-US" w:eastAsia="zh-CN"/>
              </w:rPr>
              <w:t>出库</w:t>
            </w:r>
          </w:p>
          <w:p w14:paraId="5F4AA5D9">
            <w:pPr>
              <w:pStyle w:val="94"/>
              <w:spacing w:line="360" w:lineRule="auto"/>
              <w:ind w:firstLineChars="0"/>
              <w:rPr>
                <w:rFonts w:hint="eastAsia"/>
                <w:color w:val="auto"/>
                <w:spacing w:val="2"/>
                <w:lang w:val="en-US" w:eastAsia="zh-CN"/>
              </w:rPr>
            </w:pPr>
            <w:r>
              <w:rPr>
                <w:color w:val="auto"/>
                <w:spacing w:val="2"/>
              </w:rPr>
              <w:t>当场区内贮存的危险废物达到一定数量</w:t>
            </w:r>
            <w:r>
              <w:rPr>
                <w:rFonts w:hint="eastAsia"/>
                <w:color w:val="auto"/>
                <w:spacing w:val="2"/>
                <w:lang w:eastAsia="zh-CN"/>
              </w:rPr>
              <w:t>，</w:t>
            </w:r>
            <w:r>
              <w:rPr>
                <w:rFonts w:hint="eastAsia"/>
                <w:color w:val="auto"/>
                <w:spacing w:val="2"/>
                <w:lang w:val="en-US" w:eastAsia="zh-CN"/>
              </w:rPr>
              <w:t>或到达规定贮存时间</w:t>
            </w:r>
            <w:r>
              <w:rPr>
                <w:color w:val="auto"/>
                <w:spacing w:val="2"/>
              </w:rPr>
              <w:t>时，</w:t>
            </w:r>
            <w:r>
              <w:rPr>
                <w:rFonts w:hint="eastAsia"/>
                <w:color w:val="auto"/>
                <w:spacing w:val="2"/>
                <w:lang w:val="en-US" w:eastAsia="zh-CN"/>
              </w:rPr>
              <w:t>本</w:t>
            </w:r>
            <w:r>
              <w:rPr>
                <w:color w:val="auto"/>
                <w:spacing w:val="2"/>
              </w:rPr>
              <w:t>项目</w:t>
            </w:r>
            <w:r>
              <w:rPr>
                <w:rFonts w:hint="eastAsia"/>
                <w:color w:val="auto"/>
                <w:spacing w:val="2"/>
                <w:lang w:val="en-US" w:eastAsia="zh-CN"/>
              </w:rPr>
              <w:t>建设单位通知委托处置的资质单位进行最终处置。由危废处置单位安排专业运输公司</w:t>
            </w:r>
            <w:r>
              <w:rPr>
                <w:rFonts w:hint="eastAsia"/>
                <w:color w:val="auto"/>
                <w:spacing w:val="2"/>
              </w:rPr>
              <w:t>按</w:t>
            </w:r>
            <w:r>
              <w:rPr>
                <w:rFonts w:hint="eastAsia"/>
                <w:color w:val="auto"/>
                <w:spacing w:val="2"/>
                <w:lang w:val="en-US" w:eastAsia="zh-CN"/>
              </w:rPr>
              <w:t>照规定路线运送至危废处置单位，危险废物的厂外运输及最终处置不在本次评价范围。</w:t>
            </w:r>
          </w:p>
          <w:p w14:paraId="7E59C147">
            <w:pPr>
              <w:pStyle w:val="94"/>
              <w:spacing w:line="360" w:lineRule="auto"/>
              <w:ind w:firstLineChars="0"/>
              <w:rPr>
                <w:rFonts w:hint="eastAsia"/>
                <w:color w:val="auto"/>
                <w:sz w:val="24"/>
                <w:lang w:val="en-US" w:eastAsia="zh-CN"/>
              </w:rPr>
            </w:pPr>
            <w:r>
              <w:rPr>
                <w:rFonts w:hint="eastAsia"/>
                <w:color w:val="auto"/>
                <w:spacing w:val="2"/>
                <w:lang w:val="en-US" w:eastAsia="zh-CN"/>
              </w:rPr>
              <w:t>出库交接同样按照《危险废物转移管理办法》中的要求严格执行。建设单位在相关系统上进行出库申报，</w:t>
            </w:r>
            <w:r>
              <w:rPr>
                <w:rFonts w:hint="eastAsia"/>
                <w:color w:val="auto"/>
                <w:sz w:val="24"/>
                <w:lang w:val="en-US" w:eastAsia="zh-CN"/>
              </w:rPr>
              <w:t>与现场危废收集情况核实一致后提交出库。运输单位运至处置单位，经入厂检验合格后，登记入库，形成电子转移联单，完成交接。</w:t>
            </w:r>
          </w:p>
          <w:p w14:paraId="1725C5EA">
            <w:pPr>
              <w:pStyle w:val="94"/>
              <w:numPr>
                <w:ilvl w:val="0"/>
                <w:numId w:val="17"/>
              </w:numPr>
              <w:spacing w:line="360" w:lineRule="auto"/>
              <w:ind w:left="0" w:leftChars="0" w:firstLine="420" w:firstLineChars="0"/>
              <w:rPr>
                <w:rFonts w:hint="eastAsia" w:cs="Times New Roman"/>
                <w:b/>
                <w:bCs/>
                <w:color w:val="auto"/>
                <w:lang w:val="en-US" w:eastAsia="zh-CN"/>
              </w:rPr>
            </w:pPr>
            <w:r>
              <w:rPr>
                <w:rFonts w:hint="eastAsia" w:cs="Times New Roman"/>
                <w:b/>
                <w:bCs/>
                <w:color w:val="auto"/>
                <w:lang w:val="en-US" w:eastAsia="zh-CN"/>
              </w:rPr>
              <w:t>主要污染工序：</w:t>
            </w:r>
          </w:p>
          <w:p w14:paraId="442DB03F">
            <w:pPr>
              <w:widowControl/>
              <w:adjustRightInd w:val="0"/>
              <w:snapToGrid w:val="0"/>
              <w:spacing w:line="360" w:lineRule="auto"/>
              <w:ind w:firstLine="480" w:firstLineChars="200"/>
              <w:jc w:val="left"/>
              <w:rPr>
                <w:color w:val="auto"/>
                <w:kern w:val="0"/>
                <w:sz w:val="24"/>
              </w:rPr>
            </w:pPr>
            <w:r>
              <w:rPr>
                <w:rFonts w:hint="eastAsia"/>
                <w:color w:val="auto"/>
                <w:kern w:val="0"/>
                <w:sz w:val="24"/>
              </w:rPr>
              <w:t>1、大气污染源</w:t>
            </w:r>
          </w:p>
          <w:p w14:paraId="4E550D95">
            <w:pPr>
              <w:widowControl/>
              <w:adjustRightInd w:val="0"/>
              <w:snapToGrid w:val="0"/>
              <w:spacing w:line="360" w:lineRule="auto"/>
              <w:ind w:firstLine="480" w:firstLineChars="200"/>
              <w:jc w:val="left"/>
              <w:rPr>
                <w:rFonts w:hint="default"/>
                <w:color w:val="auto"/>
                <w:kern w:val="0"/>
                <w:sz w:val="24"/>
                <w:lang w:val="en-US" w:eastAsia="zh-CN"/>
              </w:rPr>
            </w:pPr>
            <w:r>
              <w:rPr>
                <w:rFonts w:hint="eastAsia"/>
                <w:color w:val="auto"/>
                <w:kern w:val="0"/>
                <w:sz w:val="24"/>
                <w:lang w:val="en-US" w:eastAsia="zh-CN"/>
              </w:rPr>
              <w:t>项目废气主要为危险废物储存过程中产生的异味气体，主要为有机废气、酸性废气。</w:t>
            </w:r>
          </w:p>
          <w:p w14:paraId="4633F0BC">
            <w:pPr>
              <w:widowControl/>
              <w:adjustRightInd w:val="0"/>
              <w:snapToGrid w:val="0"/>
              <w:spacing w:line="360" w:lineRule="auto"/>
              <w:ind w:firstLine="480" w:firstLineChars="200"/>
              <w:jc w:val="left"/>
              <w:rPr>
                <w:color w:val="auto"/>
                <w:kern w:val="0"/>
                <w:sz w:val="24"/>
              </w:rPr>
            </w:pPr>
            <w:r>
              <w:rPr>
                <w:rFonts w:hint="eastAsia"/>
                <w:color w:val="auto"/>
                <w:kern w:val="0"/>
                <w:sz w:val="24"/>
              </w:rPr>
              <w:t>2、水污染源</w:t>
            </w:r>
          </w:p>
          <w:p w14:paraId="456A4D28">
            <w:pPr>
              <w:widowControl/>
              <w:adjustRightInd w:val="0"/>
              <w:snapToGrid w:val="0"/>
              <w:spacing w:line="360" w:lineRule="auto"/>
              <w:ind w:firstLine="480" w:firstLineChars="200"/>
              <w:jc w:val="left"/>
              <w:rPr>
                <w:rFonts w:hint="default"/>
                <w:color w:val="auto"/>
                <w:kern w:val="0"/>
                <w:sz w:val="24"/>
                <w:lang w:val="en-US" w:eastAsia="zh-CN"/>
              </w:rPr>
            </w:pPr>
            <w:r>
              <w:rPr>
                <w:rFonts w:hint="eastAsia"/>
                <w:color w:val="auto"/>
                <w:kern w:val="0"/>
                <w:sz w:val="24"/>
                <w:lang w:val="en-US" w:eastAsia="zh-CN"/>
              </w:rPr>
              <w:t>本项目不涉及容器、车辆、地面清洗，无清洗废水产生。项目废水为职工生活污水。</w:t>
            </w:r>
          </w:p>
          <w:p w14:paraId="62E233DF">
            <w:pPr>
              <w:widowControl/>
              <w:adjustRightInd w:val="0"/>
              <w:snapToGrid w:val="0"/>
              <w:spacing w:line="360" w:lineRule="auto"/>
              <w:ind w:firstLine="480" w:firstLineChars="200"/>
              <w:jc w:val="left"/>
              <w:rPr>
                <w:color w:val="auto"/>
                <w:kern w:val="0"/>
                <w:sz w:val="24"/>
              </w:rPr>
            </w:pPr>
            <w:r>
              <w:rPr>
                <w:rFonts w:hint="eastAsia"/>
                <w:color w:val="auto"/>
                <w:kern w:val="0"/>
                <w:sz w:val="24"/>
              </w:rPr>
              <w:t>3、噪声污染源</w:t>
            </w:r>
          </w:p>
          <w:p w14:paraId="03D727D8">
            <w:pPr>
              <w:widowControl/>
              <w:adjustRightInd w:val="0"/>
              <w:snapToGrid w:val="0"/>
              <w:spacing w:line="360" w:lineRule="auto"/>
              <w:ind w:firstLine="480" w:firstLineChars="200"/>
              <w:jc w:val="left"/>
              <w:rPr>
                <w:rFonts w:hint="default" w:eastAsia="宋体"/>
                <w:color w:val="auto"/>
                <w:kern w:val="0"/>
                <w:sz w:val="24"/>
                <w:lang w:val="en-US" w:eastAsia="zh-CN"/>
              </w:rPr>
            </w:pPr>
            <w:r>
              <w:rPr>
                <w:rFonts w:hint="eastAsia"/>
                <w:color w:val="auto"/>
                <w:kern w:val="0"/>
                <w:sz w:val="24"/>
                <w:lang w:val="en-US" w:eastAsia="zh-CN"/>
              </w:rPr>
              <w:t>本项目运营期主要声源为风机设备噪声和危险废物入库、出库时车辆运输噪声。</w:t>
            </w:r>
          </w:p>
          <w:p w14:paraId="4916C925">
            <w:pPr>
              <w:widowControl/>
              <w:adjustRightInd w:val="0"/>
              <w:snapToGrid w:val="0"/>
              <w:spacing w:line="360" w:lineRule="auto"/>
              <w:ind w:firstLine="480" w:firstLineChars="200"/>
              <w:jc w:val="left"/>
              <w:rPr>
                <w:color w:val="auto"/>
                <w:kern w:val="0"/>
                <w:sz w:val="24"/>
              </w:rPr>
            </w:pPr>
            <w:r>
              <w:rPr>
                <w:rFonts w:hint="eastAsia"/>
                <w:color w:val="auto"/>
                <w:kern w:val="0"/>
                <w:sz w:val="24"/>
              </w:rPr>
              <w:t>4、固体废物</w:t>
            </w:r>
          </w:p>
          <w:p w14:paraId="265F905B">
            <w:pPr>
              <w:widowControl/>
              <w:adjustRightInd w:val="0"/>
              <w:snapToGrid w:val="0"/>
              <w:spacing w:line="360" w:lineRule="auto"/>
              <w:ind w:firstLine="480" w:firstLineChars="200"/>
              <w:jc w:val="left"/>
              <w:rPr>
                <w:rFonts w:hint="eastAsia" w:ascii="Times New Roman" w:hAnsi="Times New Roman" w:cs="Times New Roman"/>
                <w:color w:val="auto"/>
                <w:kern w:val="0"/>
                <w:sz w:val="24"/>
                <w:lang w:val="en-US" w:eastAsia="zh-CN"/>
              </w:rPr>
            </w:pPr>
            <w:r>
              <w:rPr>
                <w:rFonts w:hint="eastAsia" w:cs="Times New Roman"/>
                <w:color w:val="auto"/>
                <w:kern w:val="0"/>
                <w:sz w:val="24"/>
                <w:lang w:val="en-US" w:eastAsia="zh-CN"/>
              </w:rPr>
              <w:t>项目固废为废抹布手套，废气治理设施产生的废活性炭，以及职工生活垃圾</w:t>
            </w:r>
            <w:r>
              <w:rPr>
                <w:rFonts w:hint="eastAsia" w:ascii="Times New Roman" w:hAnsi="Times New Roman" w:cs="Times New Roman"/>
                <w:color w:val="auto"/>
                <w:kern w:val="0"/>
                <w:sz w:val="24"/>
                <w:lang w:val="en-US" w:eastAsia="zh-CN"/>
              </w:rPr>
              <w:t>。</w:t>
            </w:r>
          </w:p>
          <w:p w14:paraId="654350A6">
            <w:pPr>
              <w:widowControl/>
              <w:adjustRightInd w:val="0"/>
              <w:snapToGrid w:val="0"/>
              <w:spacing w:line="360" w:lineRule="auto"/>
              <w:ind w:firstLine="480" w:firstLineChars="200"/>
              <w:jc w:val="left"/>
              <w:rPr>
                <w:rFonts w:hint="eastAsia" w:ascii="Times New Roman" w:hAnsi="Times New Roman" w:cs="Times New Roman"/>
                <w:color w:val="auto"/>
                <w:kern w:val="0"/>
                <w:sz w:val="24"/>
                <w:lang w:val="en-US" w:eastAsia="zh-CN"/>
              </w:rPr>
            </w:pPr>
          </w:p>
          <w:p w14:paraId="2D33AF92">
            <w:pPr>
              <w:widowControl/>
              <w:adjustRightInd w:val="0"/>
              <w:snapToGrid w:val="0"/>
              <w:spacing w:line="360" w:lineRule="auto"/>
              <w:ind w:firstLine="480" w:firstLineChars="200"/>
              <w:jc w:val="left"/>
              <w:rPr>
                <w:rFonts w:hint="eastAsia" w:ascii="Times New Roman" w:hAnsi="Times New Roman" w:cs="Times New Roman"/>
                <w:color w:val="auto"/>
                <w:kern w:val="0"/>
                <w:sz w:val="24"/>
                <w:lang w:val="en-US" w:eastAsia="zh-CN"/>
              </w:rPr>
            </w:pPr>
          </w:p>
          <w:p w14:paraId="24253D04">
            <w:pPr>
              <w:widowControl/>
              <w:adjustRightInd w:val="0"/>
              <w:snapToGrid w:val="0"/>
              <w:spacing w:line="360" w:lineRule="auto"/>
              <w:ind w:firstLine="480" w:firstLineChars="200"/>
              <w:jc w:val="left"/>
              <w:rPr>
                <w:rFonts w:hint="eastAsia" w:ascii="Times New Roman" w:hAnsi="Times New Roman" w:cs="Times New Roman"/>
                <w:color w:val="auto"/>
                <w:kern w:val="0"/>
                <w:sz w:val="24"/>
                <w:lang w:val="en-US" w:eastAsia="zh-CN"/>
              </w:rPr>
            </w:pPr>
          </w:p>
          <w:p w14:paraId="19370CDE">
            <w:pPr>
              <w:widowControl/>
              <w:adjustRightInd w:val="0"/>
              <w:snapToGrid w:val="0"/>
              <w:spacing w:line="360" w:lineRule="auto"/>
              <w:ind w:firstLine="480" w:firstLineChars="200"/>
              <w:jc w:val="left"/>
              <w:rPr>
                <w:rFonts w:hint="eastAsia" w:ascii="Times New Roman" w:hAnsi="Times New Roman" w:cs="Times New Roman"/>
                <w:color w:val="auto"/>
                <w:kern w:val="0"/>
                <w:sz w:val="24"/>
                <w:lang w:val="en-US" w:eastAsia="zh-CN"/>
              </w:rPr>
            </w:pPr>
          </w:p>
          <w:p w14:paraId="7DBB0A52">
            <w:pPr>
              <w:widowControl/>
              <w:adjustRightInd w:val="0"/>
              <w:snapToGrid w:val="0"/>
              <w:spacing w:line="360" w:lineRule="auto"/>
              <w:ind w:firstLine="480" w:firstLineChars="200"/>
              <w:jc w:val="left"/>
              <w:rPr>
                <w:rFonts w:hint="eastAsia" w:ascii="Times New Roman" w:hAnsi="Times New Roman" w:cs="Times New Roman"/>
                <w:color w:val="auto"/>
                <w:kern w:val="0"/>
                <w:sz w:val="24"/>
                <w:lang w:val="en-US" w:eastAsia="zh-CN"/>
              </w:rPr>
            </w:pPr>
          </w:p>
          <w:p w14:paraId="4C814CA8">
            <w:pPr>
              <w:widowControl/>
              <w:adjustRightInd w:val="0"/>
              <w:snapToGrid w:val="0"/>
              <w:spacing w:line="360" w:lineRule="auto"/>
              <w:ind w:firstLine="480" w:firstLineChars="200"/>
              <w:jc w:val="left"/>
              <w:rPr>
                <w:rFonts w:hint="eastAsia" w:ascii="Times New Roman" w:hAnsi="Times New Roman" w:cs="Times New Roman"/>
                <w:color w:val="auto"/>
                <w:kern w:val="0"/>
                <w:sz w:val="24"/>
                <w:lang w:val="en-US" w:eastAsia="zh-CN"/>
              </w:rPr>
            </w:pPr>
          </w:p>
          <w:p w14:paraId="4A906A09">
            <w:pPr>
              <w:widowControl/>
              <w:adjustRightInd w:val="0"/>
              <w:snapToGrid w:val="0"/>
              <w:spacing w:line="360" w:lineRule="auto"/>
              <w:ind w:firstLine="480" w:firstLineChars="200"/>
              <w:jc w:val="left"/>
              <w:rPr>
                <w:rFonts w:hint="eastAsia" w:ascii="Times New Roman" w:hAnsi="Times New Roman" w:cs="Times New Roman"/>
                <w:color w:val="auto"/>
                <w:kern w:val="0"/>
                <w:sz w:val="24"/>
                <w:lang w:val="en-US" w:eastAsia="zh-CN"/>
              </w:rPr>
            </w:pPr>
          </w:p>
          <w:p w14:paraId="669BE8A9">
            <w:pPr>
              <w:widowControl/>
              <w:adjustRightInd w:val="0"/>
              <w:snapToGrid w:val="0"/>
              <w:spacing w:line="360" w:lineRule="auto"/>
              <w:ind w:firstLine="480" w:firstLineChars="200"/>
              <w:jc w:val="left"/>
              <w:rPr>
                <w:rFonts w:hint="eastAsia" w:ascii="Times New Roman" w:hAnsi="Times New Roman" w:cs="Times New Roman"/>
                <w:color w:val="auto"/>
                <w:kern w:val="0"/>
                <w:sz w:val="24"/>
                <w:lang w:val="en-US" w:eastAsia="zh-CN"/>
              </w:rPr>
            </w:pPr>
          </w:p>
          <w:p w14:paraId="142F4829">
            <w:pPr>
              <w:widowControl/>
              <w:adjustRightInd w:val="0"/>
              <w:snapToGrid w:val="0"/>
              <w:spacing w:line="360" w:lineRule="auto"/>
              <w:ind w:firstLine="480" w:firstLineChars="200"/>
              <w:jc w:val="left"/>
              <w:rPr>
                <w:rFonts w:hint="eastAsia" w:ascii="Times New Roman" w:hAnsi="Times New Roman" w:cs="Times New Roman"/>
                <w:color w:val="auto"/>
                <w:kern w:val="0"/>
                <w:sz w:val="24"/>
                <w:lang w:val="en-US" w:eastAsia="zh-CN"/>
              </w:rPr>
            </w:pPr>
          </w:p>
          <w:p w14:paraId="670AA554">
            <w:pPr>
              <w:widowControl/>
              <w:adjustRightInd w:val="0"/>
              <w:snapToGrid w:val="0"/>
              <w:spacing w:line="360" w:lineRule="auto"/>
              <w:ind w:firstLine="480" w:firstLineChars="200"/>
              <w:jc w:val="left"/>
              <w:rPr>
                <w:rFonts w:hint="eastAsia" w:ascii="Times New Roman" w:hAnsi="Times New Roman" w:cs="Times New Roman"/>
                <w:color w:val="auto"/>
                <w:kern w:val="0"/>
                <w:sz w:val="24"/>
                <w:lang w:val="en-US" w:eastAsia="zh-CN"/>
              </w:rPr>
            </w:pPr>
          </w:p>
          <w:p w14:paraId="23D1A4C8">
            <w:pPr>
              <w:widowControl/>
              <w:adjustRightInd w:val="0"/>
              <w:snapToGrid w:val="0"/>
              <w:spacing w:line="360" w:lineRule="auto"/>
              <w:ind w:firstLine="480" w:firstLineChars="200"/>
              <w:jc w:val="left"/>
              <w:rPr>
                <w:rFonts w:hint="eastAsia" w:ascii="Times New Roman" w:hAnsi="Times New Roman" w:cs="Times New Roman"/>
                <w:color w:val="auto"/>
                <w:kern w:val="0"/>
                <w:sz w:val="24"/>
                <w:lang w:val="en-US" w:eastAsia="zh-CN"/>
              </w:rPr>
            </w:pPr>
          </w:p>
          <w:p w14:paraId="5D6057D4">
            <w:pPr>
              <w:widowControl/>
              <w:adjustRightInd w:val="0"/>
              <w:snapToGrid w:val="0"/>
              <w:spacing w:line="360" w:lineRule="auto"/>
              <w:ind w:firstLine="480" w:firstLineChars="200"/>
              <w:jc w:val="left"/>
              <w:rPr>
                <w:rFonts w:hint="eastAsia" w:ascii="Times New Roman" w:hAnsi="Times New Roman" w:cs="Times New Roman"/>
                <w:color w:val="auto"/>
                <w:kern w:val="0"/>
                <w:sz w:val="24"/>
                <w:lang w:val="en-US" w:eastAsia="zh-CN"/>
              </w:rPr>
            </w:pPr>
          </w:p>
        </w:tc>
      </w:tr>
      <w:tr w14:paraId="3491315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688" w:hRule="atLeast"/>
          <w:jc w:val="center"/>
        </w:trPr>
        <w:tc>
          <w:tcPr>
            <w:tcW w:w="418" w:type="pct"/>
            <w:vAlign w:val="center"/>
          </w:tcPr>
          <w:p w14:paraId="3BFF3C51">
            <w:pPr>
              <w:pStyle w:val="23"/>
              <w:adjustRightInd w:val="0"/>
              <w:snapToGrid w:val="0"/>
              <w:spacing w:before="0" w:beforeAutospacing="0" w:after="0" w:afterAutospacing="0"/>
              <w:jc w:val="center"/>
              <w:rPr>
                <w:rFonts w:ascii="Times New Roman" w:hAnsi="Times New Roman"/>
                <w:color w:val="FF0000"/>
                <w:szCs w:val="24"/>
              </w:rPr>
            </w:pPr>
            <w:r>
              <w:rPr>
                <w:rFonts w:ascii="Times New Roman" w:hAnsi="Times New Roman"/>
                <w:bCs/>
                <w:color w:val="auto"/>
                <w:kern w:val="2"/>
                <w:szCs w:val="24"/>
              </w:rPr>
              <w:t>与项目有关的原有环境污染问题</w:t>
            </w:r>
          </w:p>
        </w:tc>
        <w:tc>
          <w:tcPr>
            <w:tcW w:w="4581" w:type="pct"/>
          </w:tcPr>
          <w:p w14:paraId="4002BFE3">
            <w:pPr>
              <w:keepNext w:val="0"/>
              <w:keepLines w:val="0"/>
              <w:pageBreakBefore w:val="0"/>
              <w:widowControl w:val="0"/>
              <w:numPr>
                <w:ilvl w:val="0"/>
                <w:numId w:val="19"/>
              </w:numPr>
              <w:kinsoku/>
              <w:wordWrap/>
              <w:overflowPunct/>
              <w:topLinePunct w:val="0"/>
              <w:autoSpaceDE/>
              <w:autoSpaceDN/>
              <w:bidi w:val="0"/>
              <w:adjustRightInd w:val="0"/>
              <w:snapToGrid w:val="0"/>
              <w:spacing w:line="360" w:lineRule="auto"/>
              <w:ind w:firstLine="482" w:firstLineChars="200"/>
              <w:textAlignment w:val="auto"/>
              <w:rPr>
                <w:rFonts w:hint="eastAsia"/>
                <w:b/>
                <w:bCs w:val="0"/>
                <w:color w:val="auto"/>
                <w:sz w:val="24"/>
                <w:lang w:val="en-US" w:eastAsia="zh-CN"/>
              </w:rPr>
            </w:pPr>
            <w:r>
              <w:rPr>
                <w:rFonts w:hint="eastAsia"/>
                <w:b/>
                <w:bCs w:val="0"/>
                <w:color w:val="auto"/>
                <w:sz w:val="24"/>
                <w:lang w:val="en-US" w:eastAsia="zh-CN"/>
              </w:rPr>
              <w:t>现有工程基本情况</w:t>
            </w:r>
          </w:p>
          <w:p w14:paraId="3A81E960">
            <w:pPr>
              <w:keepNext w:val="0"/>
              <w:keepLines w:val="0"/>
              <w:pageBreakBefore w:val="0"/>
              <w:widowControl w:val="0"/>
              <w:kinsoku/>
              <w:wordWrap/>
              <w:overflowPunct/>
              <w:topLinePunct w:val="0"/>
              <w:autoSpaceDE/>
              <w:autoSpaceDN/>
              <w:bidi w:val="0"/>
              <w:adjustRightInd w:val="0"/>
              <w:snapToGrid w:val="0"/>
              <w:spacing w:line="360" w:lineRule="auto"/>
              <w:ind w:firstLine="472" w:firstLineChars="200"/>
              <w:textAlignment w:val="auto"/>
              <w:rPr>
                <w:rFonts w:hint="default" w:cs="Times New Roman"/>
                <w:color w:val="auto"/>
                <w:sz w:val="24"/>
                <w:lang w:val="en-US" w:eastAsia="zh-CN"/>
              </w:rPr>
            </w:pPr>
            <w:r>
              <w:rPr>
                <w:rFonts w:ascii="宋体" w:hAnsi="宋体" w:eastAsia="宋体" w:cs="宋体"/>
                <w:color w:val="auto"/>
                <w:spacing w:val="-2"/>
                <w:sz w:val="24"/>
                <w:szCs w:val="24"/>
              </w:rPr>
              <w:t>淄</w:t>
            </w:r>
            <w:r>
              <w:rPr>
                <w:rFonts w:ascii="宋体" w:hAnsi="宋体" w:eastAsia="宋体" w:cs="宋体"/>
                <w:color w:val="auto"/>
                <w:spacing w:val="-1"/>
                <w:sz w:val="24"/>
                <w:szCs w:val="24"/>
              </w:rPr>
              <w:t>博利赛环保科技有限公司</w:t>
            </w:r>
            <w:r>
              <w:rPr>
                <w:rFonts w:hint="eastAsia" w:ascii="宋体" w:hAnsi="宋体" w:eastAsia="宋体" w:cs="宋体"/>
                <w:color w:val="auto"/>
                <w:spacing w:val="-1"/>
                <w:sz w:val="24"/>
                <w:szCs w:val="24"/>
                <w:lang w:val="en-US" w:eastAsia="zh-CN"/>
              </w:rPr>
              <w:t>现有“</w:t>
            </w:r>
            <w:r>
              <w:rPr>
                <w:rFonts w:ascii="Times New Roman" w:hAnsi="Times New Roman" w:eastAsia="Times New Roman" w:cs="Times New Roman"/>
                <w:color w:val="auto"/>
                <w:spacing w:val="-1"/>
                <w:sz w:val="24"/>
                <w:szCs w:val="24"/>
              </w:rPr>
              <w:t>3000</w:t>
            </w:r>
            <w:r>
              <w:rPr>
                <w:rFonts w:ascii="Times New Roman" w:hAnsi="Times New Roman" w:eastAsia="Times New Roman" w:cs="Times New Roman"/>
                <w:color w:val="auto"/>
                <w:sz w:val="24"/>
                <w:szCs w:val="24"/>
              </w:rPr>
              <w:t>t</w:t>
            </w:r>
            <w:r>
              <w:rPr>
                <w:rFonts w:ascii="Times New Roman" w:hAnsi="Times New Roman" w:eastAsia="Times New Roman" w:cs="Times New Roman"/>
                <w:color w:val="auto"/>
                <w:spacing w:val="-1"/>
                <w:sz w:val="24"/>
                <w:szCs w:val="24"/>
              </w:rPr>
              <w:t>/</w:t>
            </w:r>
            <w:r>
              <w:rPr>
                <w:rFonts w:ascii="Times New Roman" w:hAnsi="Times New Roman" w:eastAsia="Times New Roman" w:cs="Times New Roman"/>
                <w:color w:val="auto"/>
                <w:sz w:val="24"/>
                <w:szCs w:val="24"/>
              </w:rPr>
              <w:t>a</w:t>
            </w:r>
            <w:r>
              <w:rPr>
                <w:rFonts w:ascii="Times New Roman" w:hAnsi="Times New Roman" w:eastAsia="Times New Roman" w:cs="Times New Roman"/>
                <w:color w:val="auto"/>
                <w:spacing w:val="-1"/>
                <w:sz w:val="24"/>
                <w:szCs w:val="24"/>
              </w:rPr>
              <w:t xml:space="preserve"> </w:t>
            </w:r>
            <w:r>
              <w:rPr>
                <w:rFonts w:ascii="宋体" w:hAnsi="宋体" w:eastAsia="宋体" w:cs="宋体"/>
                <w:color w:val="auto"/>
                <w:spacing w:val="-1"/>
                <w:sz w:val="24"/>
                <w:szCs w:val="24"/>
              </w:rPr>
              <w:t>危险废</w:t>
            </w:r>
            <w:r>
              <w:rPr>
                <w:rFonts w:ascii="宋体" w:hAnsi="宋体" w:eastAsia="宋体" w:cs="宋体"/>
                <w:color w:val="auto"/>
                <w:sz w:val="24"/>
                <w:szCs w:val="24"/>
              </w:rPr>
              <w:t>物收储、转运项目</w:t>
            </w:r>
            <w:r>
              <w:rPr>
                <w:rFonts w:hint="eastAsia" w:ascii="宋体" w:hAnsi="宋体" w:eastAsia="宋体" w:cs="宋体"/>
                <w:color w:val="auto"/>
                <w:spacing w:val="-1"/>
                <w:sz w:val="24"/>
                <w:szCs w:val="24"/>
                <w:lang w:val="en-US" w:eastAsia="zh-CN"/>
              </w:rPr>
              <w:t>”</w:t>
            </w:r>
            <w:r>
              <w:rPr>
                <w:rFonts w:hint="eastAsia" w:eastAsia="宋体" w:cs="Times New Roman"/>
                <w:color w:val="auto"/>
                <w:sz w:val="24"/>
                <w:lang w:val="en-US" w:eastAsia="zh-CN"/>
              </w:rPr>
              <w:t>，</w:t>
            </w:r>
            <w:r>
              <w:rPr>
                <w:rFonts w:hint="eastAsia"/>
                <w:color w:val="auto"/>
                <w:sz w:val="24"/>
                <w:lang w:val="en-US" w:eastAsia="zh-CN"/>
              </w:rPr>
              <w:t>位于淄川区罗村镇罗村村秀川大道84号，仓库面积约1700㎡。项目已于2020年2月19日取得</w:t>
            </w:r>
            <w:r>
              <w:rPr>
                <w:rFonts w:hint="eastAsia" w:ascii="Times New Roman" w:hAnsi="Times New Roman" w:eastAsia="宋体" w:cs="Times New Roman"/>
                <w:color w:val="auto"/>
                <w:sz w:val="24"/>
                <w:lang w:val="en-US" w:eastAsia="zh-CN"/>
              </w:rPr>
              <w:t>淄博市生态环境局</w:t>
            </w:r>
            <w:r>
              <w:rPr>
                <w:rFonts w:hint="eastAsia" w:cs="Times New Roman"/>
                <w:color w:val="auto"/>
                <w:sz w:val="24"/>
                <w:lang w:val="en-US" w:eastAsia="zh-CN"/>
              </w:rPr>
              <w:t>淄川分局出具的《</w:t>
            </w:r>
            <w:r>
              <w:rPr>
                <w:rFonts w:hint="eastAsia"/>
                <w:color w:val="auto"/>
                <w:sz w:val="24"/>
                <w:lang w:val="en-US" w:eastAsia="zh-CN"/>
              </w:rPr>
              <w:t>关于淄博利赛环保科技有限公司3000t/a危险废物收储、转运项目环境影响报告表的审批意见</w:t>
            </w:r>
            <w:r>
              <w:rPr>
                <w:rFonts w:hint="eastAsia" w:cs="Times New Roman"/>
                <w:color w:val="auto"/>
                <w:sz w:val="24"/>
                <w:lang w:val="en-US" w:eastAsia="zh-CN"/>
              </w:rPr>
              <w:t>》（川环报告表[2020]25号）</w:t>
            </w:r>
            <w:r>
              <w:rPr>
                <w:rFonts w:hint="default" w:ascii="Times New Roman" w:hAnsi="Times New Roman" w:eastAsia="宋体" w:cs="Times New Roman"/>
                <w:color w:val="auto"/>
                <w:sz w:val="24"/>
                <w:lang w:val="en-US" w:eastAsia="zh-CN"/>
              </w:rPr>
              <w:t>。</w:t>
            </w:r>
            <w:r>
              <w:rPr>
                <w:rFonts w:hint="eastAsia" w:cs="Times New Roman"/>
                <w:color w:val="auto"/>
                <w:sz w:val="24"/>
                <w:lang w:val="en-US" w:eastAsia="zh-CN"/>
              </w:rPr>
              <w:t>于2020年8月首次申请排污许可证，许可证编号为91370302MA3QDA0X4U001V。2024年8月进行排污许可证变更。</w:t>
            </w:r>
          </w:p>
          <w:p w14:paraId="36BC673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lang w:val="en-US" w:eastAsia="zh-CN"/>
              </w:rPr>
            </w:pPr>
            <w:r>
              <w:rPr>
                <w:rFonts w:hint="eastAsia" w:cs="Times New Roman"/>
                <w:color w:val="auto"/>
                <w:sz w:val="24"/>
                <w:lang w:val="en-US" w:eastAsia="zh-CN"/>
              </w:rPr>
              <w:t>企业于2020年10月初次取得危险废物经营许可证，于2021年4月进行验收，并出具项目竣工环境保护验收报告。2025年11月更新了危险废物经营许可证，证书编号为淄博危废临32号，核准经营方式为收集（除900-214-08外，其他仅限于淄博市境内）、贮存、转运，核准经营类别为HW02、HW03、HW04、HW08、HW09、HW11、HW12、HW13、HW16、HW17、HW18、HW19、HW21、HW29、HW31、HW34、HW35、HW36、HW38、HW39、HW40、HW45、HW46、HW49、HW50，核准经营规模为3000吨/年。</w:t>
            </w:r>
          </w:p>
          <w:p w14:paraId="351A3FF2">
            <w:pPr>
              <w:keepNext w:val="0"/>
              <w:keepLines w:val="0"/>
              <w:pageBreakBefore w:val="0"/>
              <w:widowControl w:val="0"/>
              <w:numPr>
                <w:ilvl w:val="0"/>
                <w:numId w:val="19"/>
              </w:numPr>
              <w:kinsoku/>
              <w:wordWrap/>
              <w:overflowPunct/>
              <w:topLinePunct w:val="0"/>
              <w:autoSpaceDE/>
              <w:autoSpaceDN/>
              <w:bidi w:val="0"/>
              <w:adjustRightInd w:val="0"/>
              <w:snapToGrid w:val="0"/>
              <w:spacing w:line="360" w:lineRule="auto"/>
              <w:ind w:firstLine="482" w:firstLineChars="200"/>
              <w:textAlignment w:val="auto"/>
              <w:rPr>
                <w:rFonts w:hint="eastAsia" w:ascii="Times New Roman" w:hAnsi="Times New Roman" w:cs="Times New Roman"/>
                <w:b/>
                <w:bCs w:val="0"/>
                <w:color w:val="auto"/>
                <w:sz w:val="24"/>
                <w:lang w:val="en-US" w:eastAsia="zh-CN"/>
              </w:rPr>
            </w:pPr>
            <w:r>
              <w:rPr>
                <w:rFonts w:hint="eastAsia" w:ascii="Times New Roman" w:hAnsi="Times New Roman" w:cs="Times New Roman"/>
                <w:b/>
                <w:bCs w:val="0"/>
                <w:color w:val="auto"/>
                <w:sz w:val="24"/>
                <w:lang w:val="en-US" w:eastAsia="zh-CN"/>
              </w:rPr>
              <w:t>现有工程生产工艺及产污环节</w:t>
            </w:r>
          </w:p>
          <w:p w14:paraId="14FA810E">
            <w:pPr>
              <w:adjustRightInd w:val="0"/>
              <w:snapToGrid w:val="0"/>
              <w:spacing w:line="360" w:lineRule="auto"/>
              <w:ind w:firstLine="480" w:firstLineChars="200"/>
              <w:rPr>
                <w:rFonts w:hint="eastAsia"/>
                <w:color w:val="auto"/>
                <w:sz w:val="24"/>
                <w:lang w:val="en-US" w:eastAsia="zh-CN"/>
              </w:rPr>
            </w:pPr>
            <w:r>
              <w:rPr>
                <w:rFonts w:hint="eastAsia" w:ascii="Times New Roman" w:hAnsi="Times New Roman" w:cs="Times New Roman"/>
                <w:color w:val="auto"/>
                <w:kern w:val="0"/>
                <w:sz w:val="24"/>
                <w:lang w:val="en-US" w:eastAsia="zh-CN"/>
              </w:rPr>
              <w:t>现有</w:t>
            </w:r>
            <w:r>
              <w:rPr>
                <w:rFonts w:hint="eastAsia" w:cs="Times New Roman"/>
                <w:color w:val="auto"/>
                <w:kern w:val="0"/>
                <w:sz w:val="24"/>
                <w:lang w:val="en-US" w:eastAsia="zh-CN"/>
              </w:rPr>
              <w:t>项目工艺与搬迁后</w:t>
            </w:r>
            <w:r>
              <w:rPr>
                <w:rFonts w:hint="eastAsia" w:ascii="Times New Roman" w:hAnsi="Times New Roman" w:cs="Times New Roman"/>
                <w:color w:val="auto"/>
                <w:kern w:val="0"/>
                <w:sz w:val="24"/>
                <w:lang w:val="en-US" w:eastAsia="zh-CN"/>
              </w:rPr>
              <w:t>项目</w:t>
            </w:r>
            <w:r>
              <w:rPr>
                <w:rFonts w:hint="eastAsia" w:cs="Times New Roman"/>
                <w:color w:val="auto"/>
                <w:kern w:val="0"/>
                <w:sz w:val="24"/>
                <w:lang w:val="en-US" w:eastAsia="zh-CN"/>
              </w:rPr>
              <w:t>工艺</w:t>
            </w:r>
            <w:r>
              <w:rPr>
                <w:rFonts w:hint="eastAsia" w:ascii="Times New Roman" w:hAnsi="Times New Roman" w:cs="Times New Roman"/>
                <w:color w:val="auto"/>
                <w:kern w:val="0"/>
                <w:sz w:val="24"/>
                <w:lang w:val="en-US" w:eastAsia="zh-CN"/>
              </w:rPr>
              <w:t>相同，在此不再赘述</w:t>
            </w:r>
            <w:r>
              <w:rPr>
                <w:rFonts w:hint="eastAsia"/>
                <w:color w:val="auto"/>
                <w:sz w:val="24"/>
                <w:lang w:val="en-US" w:eastAsia="zh-CN"/>
              </w:rPr>
              <w:t>。</w:t>
            </w:r>
          </w:p>
          <w:p w14:paraId="08C70534">
            <w:pPr>
              <w:adjustRightInd w:val="0"/>
              <w:snapToGrid w:val="0"/>
              <w:spacing w:line="360" w:lineRule="auto"/>
              <w:ind w:firstLine="480" w:firstLineChars="200"/>
              <w:rPr>
                <w:rFonts w:hint="eastAsia"/>
                <w:color w:val="auto"/>
                <w:sz w:val="24"/>
              </w:rPr>
            </w:pPr>
            <w:r>
              <w:rPr>
                <w:rFonts w:hint="eastAsia"/>
                <w:color w:val="auto"/>
                <w:sz w:val="24"/>
                <w:lang w:val="en-US" w:eastAsia="zh-CN"/>
              </w:rPr>
              <w:t>现有项目</w:t>
            </w:r>
            <w:r>
              <w:rPr>
                <w:rFonts w:hint="eastAsia"/>
                <w:color w:val="auto"/>
                <w:sz w:val="24"/>
              </w:rPr>
              <w:t>主要污染工序</w:t>
            </w:r>
            <w:r>
              <w:rPr>
                <w:rFonts w:hint="eastAsia"/>
                <w:color w:val="auto"/>
                <w:sz w:val="24"/>
                <w:lang w:val="en-US" w:eastAsia="zh-CN"/>
              </w:rPr>
              <w:t>如下</w:t>
            </w:r>
            <w:r>
              <w:rPr>
                <w:rFonts w:hint="eastAsia"/>
                <w:color w:val="auto"/>
                <w:sz w:val="24"/>
              </w:rPr>
              <w:t>：</w:t>
            </w:r>
          </w:p>
          <w:p w14:paraId="5826765F">
            <w:pPr>
              <w:keepNext w:val="0"/>
              <w:keepLines w:val="0"/>
              <w:pageBreakBefore w:val="0"/>
              <w:widowControl/>
              <w:numPr>
                <w:ilvl w:val="0"/>
                <w:numId w:val="20"/>
              </w:numPr>
              <w:kinsoku/>
              <w:wordWrap/>
              <w:overflowPunct/>
              <w:topLinePunct w:val="0"/>
              <w:autoSpaceDE/>
              <w:autoSpaceDN/>
              <w:bidi w:val="0"/>
              <w:adjustRightInd w:val="0"/>
              <w:snapToGrid w:val="0"/>
              <w:spacing w:line="360" w:lineRule="auto"/>
              <w:ind w:left="0" w:leftChars="0" w:firstLine="425" w:firstLineChars="0"/>
              <w:jc w:val="left"/>
              <w:textAlignment w:val="auto"/>
              <w:rPr>
                <w:color w:val="auto"/>
                <w:kern w:val="0"/>
                <w:sz w:val="24"/>
              </w:rPr>
            </w:pPr>
            <w:r>
              <w:rPr>
                <w:rFonts w:hint="eastAsia"/>
                <w:color w:val="auto"/>
                <w:kern w:val="0"/>
                <w:sz w:val="24"/>
              </w:rPr>
              <w:t>大气污染源</w:t>
            </w:r>
          </w:p>
          <w:p w14:paraId="1C40A09B">
            <w:pPr>
              <w:widowControl/>
              <w:adjustRightInd w:val="0"/>
              <w:snapToGrid w:val="0"/>
              <w:spacing w:line="360" w:lineRule="auto"/>
              <w:ind w:firstLine="480" w:firstLineChars="200"/>
              <w:jc w:val="left"/>
              <w:rPr>
                <w:rFonts w:hint="eastAsia"/>
                <w:color w:val="auto"/>
                <w:sz w:val="24"/>
              </w:rPr>
            </w:pPr>
            <w:r>
              <w:rPr>
                <w:rFonts w:hint="eastAsia"/>
                <w:color w:val="auto"/>
                <w:sz w:val="24"/>
              </w:rPr>
              <w:t>项目废气主要为</w:t>
            </w:r>
            <w:r>
              <w:rPr>
                <w:rFonts w:hint="eastAsia"/>
                <w:color w:val="auto"/>
                <w:sz w:val="24"/>
                <w:lang w:val="en-US" w:eastAsia="zh-CN"/>
              </w:rPr>
              <w:t>贮存库内放置的危险废物产生的异味气体</w:t>
            </w:r>
            <w:r>
              <w:rPr>
                <w:rFonts w:hint="eastAsia"/>
                <w:color w:val="auto"/>
                <w:sz w:val="24"/>
              </w:rPr>
              <w:t>，</w:t>
            </w:r>
            <w:r>
              <w:rPr>
                <w:rFonts w:hint="eastAsia"/>
                <w:color w:val="auto"/>
                <w:sz w:val="24"/>
                <w:lang w:val="en-US" w:eastAsia="zh-CN"/>
              </w:rPr>
              <w:t>以</w:t>
            </w:r>
            <w:r>
              <w:rPr>
                <w:rFonts w:hint="eastAsia"/>
                <w:color w:val="auto"/>
                <w:sz w:val="24"/>
                <w:lang w:eastAsia="zh-CN"/>
              </w:rPr>
              <w:t>VOCs</w:t>
            </w:r>
            <w:r>
              <w:rPr>
                <w:rFonts w:hint="eastAsia"/>
                <w:color w:val="auto"/>
                <w:sz w:val="24"/>
                <w:lang w:val="en-US" w:eastAsia="zh-CN"/>
              </w:rPr>
              <w:t>表征</w:t>
            </w:r>
            <w:r>
              <w:rPr>
                <w:rFonts w:hint="eastAsia"/>
                <w:color w:val="auto"/>
                <w:sz w:val="24"/>
              </w:rPr>
              <w:t>；</w:t>
            </w:r>
            <w:r>
              <w:rPr>
                <w:rFonts w:hint="eastAsia"/>
                <w:color w:val="auto"/>
                <w:sz w:val="24"/>
                <w:lang w:val="en-US" w:eastAsia="zh-CN"/>
              </w:rPr>
              <w:t>以及</w:t>
            </w:r>
            <w:r>
              <w:rPr>
                <w:rFonts w:hint="eastAsia"/>
                <w:color w:val="auto"/>
                <w:sz w:val="24"/>
              </w:rPr>
              <w:t>挥发产生的酸性废气</w:t>
            </w:r>
            <w:r>
              <w:rPr>
                <w:rFonts w:hint="eastAsia"/>
                <w:color w:val="auto"/>
                <w:sz w:val="24"/>
                <w:lang w:eastAsia="zh-CN"/>
              </w:rPr>
              <w:t>，</w:t>
            </w:r>
            <w:r>
              <w:rPr>
                <w:rFonts w:hint="eastAsia"/>
                <w:color w:val="auto"/>
                <w:sz w:val="24"/>
                <w:lang w:val="en-US" w:eastAsia="zh-CN"/>
              </w:rPr>
              <w:t>主要污染因子为硫酸雾及氯化氢</w:t>
            </w:r>
            <w:r>
              <w:rPr>
                <w:rFonts w:hint="eastAsia"/>
                <w:color w:val="auto"/>
                <w:sz w:val="24"/>
              </w:rPr>
              <w:t>。</w:t>
            </w:r>
          </w:p>
          <w:p w14:paraId="0C23ADC4">
            <w:pPr>
              <w:keepNext w:val="0"/>
              <w:keepLines w:val="0"/>
              <w:pageBreakBefore w:val="0"/>
              <w:widowControl/>
              <w:numPr>
                <w:ilvl w:val="0"/>
                <w:numId w:val="20"/>
              </w:numPr>
              <w:kinsoku/>
              <w:wordWrap/>
              <w:overflowPunct/>
              <w:topLinePunct w:val="0"/>
              <w:autoSpaceDE/>
              <w:autoSpaceDN/>
              <w:bidi w:val="0"/>
              <w:adjustRightInd w:val="0"/>
              <w:snapToGrid w:val="0"/>
              <w:spacing w:line="360" w:lineRule="auto"/>
              <w:ind w:left="0" w:leftChars="0" w:firstLine="425" w:firstLineChars="0"/>
              <w:jc w:val="left"/>
              <w:textAlignment w:val="auto"/>
              <w:rPr>
                <w:rFonts w:hint="eastAsia" w:ascii="Times New Roman" w:hAnsi="Times New Roman" w:cs="Times New Roman"/>
                <w:color w:val="auto"/>
                <w:kern w:val="0"/>
                <w:sz w:val="24"/>
              </w:rPr>
            </w:pPr>
            <w:r>
              <w:rPr>
                <w:rFonts w:hint="eastAsia" w:ascii="Times New Roman" w:hAnsi="Times New Roman" w:cs="Times New Roman"/>
                <w:color w:val="auto"/>
                <w:kern w:val="0"/>
                <w:sz w:val="24"/>
              </w:rPr>
              <w:t>水污染源</w:t>
            </w:r>
          </w:p>
          <w:p w14:paraId="34A0AF74">
            <w:pPr>
              <w:widowControl/>
              <w:adjustRightInd w:val="0"/>
              <w:snapToGrid w:val="0"/>
              <w:spacing w:line="360" w:lineRule="auto"/>
              <w:ind w:firstLine="480" w:firstLineChars="200"/>
              <w:jc w:val="left"/>
              <w:rPr>
                <w:rFonts w:hint="eastAsia"/>
                <w:color w:val="auto"/>
                <w:sz w:val="24"/>
              </w:rPr>
            </w:pPr>
            <w:r>
              <w:rPr>
                <w:rFonts w:hint="eastAsia"/>
                <w:color w:val="auto"/>
                <w:sz w:val="24"/>
              </w:rPr>
              <w:t>项目废水主要为生活污水。</w:t>
            </w:r>
          </w:p>
          <w:p w14:paraId="7FDC1D57">
            <w:pPr>
              <w:keepNext w:val="0"/>
              <w:keepLines w:val="0"/>
              <w:pageBreakBefore w:val="0"/>
              <w:widowControl/>
              <w:numPr>
                <w:ilvl w:val="0"/>
                <w:numId w:val="20"/>
              </w:numPr>
              <w:kinsoku/>
              <w:wordWrap/>
              <w:overflowPunct/>
              <w:topLinePunct w:val="0"/>
              <w:autoSpaceDE/>
              <w:autoSpaceDN/>
              <w:bidi w:val="0"/>
              <w:adjustRightInd w:val="0"/>
              <w:snapToGrid w:val="0"/>
              <w:spacing w:line="360" w:lineRule="auto"/>
              <w:ind w:left="0" w:leftChars="0" w:firstLine="425" w:firstLineChars="0"/>
              <w:jc w:val="left"/>
              <w:textAlignment w:val="auto"/>
              <w:rPr>
                <w:rFonts w:hint="eastAsia" w:ascii="Times New Roman" w:hAnsi="Times New Roman" w:cs="Times New Roman"/>
                <w:color w:val="auto"/>
                <w:kern w:val="0"/>
                <w:sz w:val="24"/>
              </w:rPr>
            </w:pPr>
            <w:r>
              <w:rPr>
                <w:rFonts w:hint="eastAsia" w:ascii="Times New Roman" w:hAnsi="Times New Roman" w:cs="Times New Roman"/>
                <w:color w:val="auto"/>
                <w:kern w:val="0"/>
                <w:sz w:val="24"/>
              </w:rPr>
              <w:t>噪声污染源</w:t>
            </w:r>
          </w:p>
          <w:p w14:paraId="5F0A4D33">
            <w:pPr>
              <w:widowControl/>
              <w:adjustRightInd w:val="0"/>
              <w:snapToGrid w:val="0"/>
              <w:spacing w:line="360" w:lineRule="auto"/>
              <w:ind w:firstLine="480" w:firstLineChars="200"/>
              <w:jc w:val="left"/>
              <w:rPr>
                <w:rFonts w:hint="eastAsia"/>
                <w:color w:val="auto"/>
                <w:sz w:val="24"/>
                <w:lang w:val="en-US" w:eastAsia="zh-CN"/>
              </w:rPr>
            </w:pPr>
            <w:r>
              <w:rPr>
                <w:rFonts w:hint="eastAsia"/>
                <w:color w:val="auto"/>
                <w:sz w:val="24"/>
                <w:lang w:val="en-US" w:eastAsia="zh-CN"/>
              </w:rPr>
              <w:t>本项目噪声主要为进出厂区内运输车辆、风机等运转时产生的噪声，其噪声级一般在75-85dB（A）之间。</w:t>
            </w:r>
          </w:p>
          <w:p w14:paraId="6B4C6916">
            <w:pPr>
              <w:keepNext w:val="0"/>
              <w:keepLines w:val="0"/>
              <w:pageBreakBefore w:val="0"/>
              <w:widowControl/>
              <w:numPr>
                <w:ilvl w:val="0"/>
                <w:numId w:val="20"/>
              </w:numPr>
              <w:kinsoku/>
              <w:wordWrap/>
              <w:overflowPunct/>
              <w:topLinePunct w:val="0"/>
              <w:autoSpaceDE/>
              <w:autoSpaceDN/>
              <w:bidi w:val="0"/>
              <w:adjustRightInd w:val="0"/>
              <w:snapToGrid w:val="0"/>
              <w:spacing w:line="360" w:lineRule="auto"/>
              <w:ind w:left="0" w:leftChars="0" w:firstLine="425" w:firstLineChars="0"/>
              <w:jc w:val="left"/>
              <w:textAlignment w:val="auto"/>
              <w:rPr>
                <w:rFonts w:hint="eastAsia" w:ascii="Times New Roman" w:hAnsi="Times New Roman" w:cs="Times New Roman"/>
                <w:color w:val="auto"/>
                <w:kern w:val="0"/>
                <w:sz w:val="24"/>
              </w:rPr>
            </w:pPr>
            <w:r>
              <w:rPr>
                <w:rFonts w:hint="eastAsia" w:ascii="Times New Roman" w:hAnsi="Times New Roman" w:cs="Times New Roman"/>
                <w:color w:val="auto"/>
                <w:kern w:val="0"/>
                <w:sz w:val="24"/>
              </w:rPr>
              <w:t>固体废物</w:t>
            </w:r>
          </w:p>
          <w:p w14:paraId="7AF9FFBC">
            <w:pPr>
              <w:widowControl/>
              <w:adjustRightInd w:val="0"/>
              <w:snapToGrid w:val="0"/>
              <w:spacing w:line="360" w:lineRule="auto"/>
              <w:ind w:firstLine="480" w:firstLineChars="200"/>
              <w:jc w:val="left"/>
              <w:rPr>
                <w:rFonts w:hint="eastAsia"/>
                <w:color w:val="auto"/>
                <w:sz w:val="24"/>
                <w:lang w:val="en-US" w:eastAsia="zh-CN"/>
              </w:rPr>
            </w:pPr>
            <w:r>
              <w:rPr>
                <w:rFonts w:hint="eastAsia"/>
                <w:color w:val="auto"/>
                <w:sz w:val="24"/>
                <w:lang w:val="en-US" w:eastAsia="zh-CN"/>
              </w:rPr>
              <w:t>项目固体废物主要为废抹布手套，废活性炭及生活垃圾。</w:t>
            </w:r>
          </w:p>
          <w:p w14:paraId="614924F1">
            <w:pPr>
              <w:keepNext w:val="0"/>
              <w:keepLines w:val="0"/>
              <w:pageBreakBefore w:val="0"/>
              <w:widowControl w:val="0"/>
              <w:numPr>
                <w:ilvl w:val="0"/>
                <w:numId w:val="19"/>
              </w:numPr>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cs="Times New Roman"/>
                <w:b/>
                <w:bCs w:val="0"/>
                <w:color w:val="auto"/>
                <w:sz w:val="24"/>
                <w:lang w:val="en-US" w:eastAsia="zh-CN"/>
              </w:rPr>
            </w:pPr>
            <w:r>
              <w:rPr>
                <w:rFonts w:hint="eastAsia" w:ascii="Times New Roman" w:hAnsi="Times New Roman" w:cs="Times New Roman"/>
                <w:b/>
                <w:bCs w:val="0"/>
                <w:color w:val="auto"/>
                <w:sz w:val="24"/>
                <w:lang w:val="en-US" w:eastAsia="zh-CN"/>
              </w:rPr>
              <w:t>现有工程污染物</w:t>
            </w:r>
            <w:r>
              <w:rPr>
                <w:rFonts w:hint="eastAsia" w:cs="Times New Roman"/>
                <w:b/>
                <w:bCs w:val="0"/>
                <w:color w:val="auto"/>
                <w:sz w:val="24"/>
                <w:lang w:val="en-US" w:eastAsia="zh-CN"/>
              </w:rPr>
              <w:t>处置方式及</w:t>
            </w:r>
            <w:r>
              <w:rPr>
                <w:rFonts w:hint="eastAsia" w:ascii="Times New Roman" w:hAnsi="Times New Roman" w:cs="Times New Roman"/>
                <w:b/>
                <w:bCs w:val="0"/>
                <w:color w:val="auto"/>
                <w:sz w:val="24"/>
                <w:lang w:val="en-US" w:eastAsia="zh-CN"/>
              </w:rPr>
              <w:t>排放达标情况</w:t>
            </w:r>
          </w:p>
          <w:p w14:paraId="7369F92F">
            <w:pPr>
              <w:keepNext w:val="0"/>
              <w:keepLines w:val="0"/>
              <w:pageBreakBefore w:val="0"/>
              <w:widowControl w:val="0"/>
              <w:numPr>
                <w:ilvl w:val="0"/>
                <w:numId w:val="21"/>
              </w:numPr>
              <w:kinsoku/>
              <w:wordWrap/>
              <w:overflowPunct/>
              <w:topLinePunct w:val="0"/>
              <w:autoSpaceDE/>
              <w:autoSpaceDN/>
              <w:bidi w:val="0"/>
              <w:adjustRightInd w:val="0"/>
              <w:snapToGrid w:val="0"/>
              <w:spacing w:line="360" w:lineRule="auto"/>
              <w:ind w:left="0" w:leftChars="0" w:firstLine="425" w:firstLineChars="0"/>
              <w:textAlignment w:val="auto"/>
              <w:rPr>
                <w:rFonts w:hint="default" w:ascii="Times New Roman" w:hAnsi="Times New Roman" w:eastAsia="宋体" w:cs="Times New Roman"/>
                <w:color w:val="auto"/>
                <w:sz w:val="24"/>
                <w:lang w:val="en-US" w:eastAsia="zh-CN"/>
              </w:rPr>
            </w:pPr>
            <w:r>
              <w:rPr>
                <w:rFonts w:hint="eastAsia" w:ascii="Times New Roman" w:hAnsi="Times New Roman" w:cs="Times New Roman"/>
                <w:color w:val="auto"/>
                <w:sz w:val="24"/>
                <w:lang w:val="en-US" w:eastAsia="zh-CN"/>
              </w:rPr>
              <w:t>废气</w:t>
            </w:r>
          </w:p>
          <w:p w14:paraId="46AA8B23">
            <w:pPr>
              <w:widowControl/>
              <w:adjustRightInd w:val="0"/>
              <w:snapToGrid w:val="0"/>
              <w:spacing w:line="360" w:lineRule="auto"/>
              <w:ind w:firstLine="480" w:firstLineChars="200"/>
              <w:jc w:val="left"/>
              <w:rPr>
                <w:rFonts w:hint="default" w:eastAsia="宋体"/>
                <w:color w:val="auto"/>
                <w:sz w:val="24"/>
                <w:lang w:val="en-US" w:eastAsia="zh-CN"/>
              </w:rPr>
            </w:pPr>
            <w:r>
              <w:rPr>
                <w:rFonts w:hint="eastAsia"/>
                <w:color w:val="auto"/>
                <w:sz w:val="24"/>
              </w:rPr>
              <w:t>有机废气经活性炭吸附装置处理后，由DA001号排气筒15m排空。酸性废气经</w:t>
            </w:r>
            <w:r>
              <w:rPr>
                <w:rFonts w:hint="eastAsia"/>
                <w:color w:val="auto"/>
                <w:sz w:val="24"/>
                <w:lang w:val="en-US" w:eastAsia="zh-CN"/>
              </w:rPr>
              <w:t>碱洗塔碱液</w:t>
            </w:r>
            <w:r>
              <w:rPr>
                <w:rFonts w:hint="eastAsia"/>
                <w:color w:val="auto"/>
                <w:sz w:val="24"/>
              </w:rPr>
              <w:t>喷淋工艺处理后，由DA002号排气筒15m排空。</w:t>
            </w:r>
            <w:r>
              <w:rPr>
                <w:rFonts w:hint="eastAsia"/>
                <w:color w:val="auto"/>
                <w:sz w:val="24"/>
                <w:lang w:val="en-US" w:eastAsia="zh-CN"/>
              </w:rPr>
              <w:t>未被收集的废气以无组织形式散逸至大气。</w:t>
            </w:r>
          </w:p>
          <w:p w14:paraId="340E840C">
            <w:pPr>
              <w:keepNext w:val="0"/>
              <w:keepLines w:val="0"/>
              <w:pageBreakBefore w:val="0"/>
              <w:widowControl w:val="0"/>
              <w:numPr>
                <w:ilvl w:val="0"/>
                <w:numId w:val="22"/>
              </w:numPr>
              <w:kinsoku/>
              <w:wordWrap/>
              <w:overflowPunct/>
              <w:topLinePunct w:val="0"/>
              <w:autoSpaceDE/>
              <w:autoSpaceDN/>
              <w:bidi w:val="0"/>
              <w:adjustRightInd w:val="0"/>
              <w:snapToGrid w:val="0"/>
              <w:spacing w:line="360" w:lineRule="auto"/>
              <w:ind w:left="0" w:leftChars="0" w:firstLine="480" w:firstLineChars="200"/>
              <w:textAlignment w:val="auto"/>
              <w:rPr>
                <w:rFonts w:hint="eastAsia" w:cs="Times New Roman"/>
                <w:color w:val="auto"/>
                <w:sz w:val="24"/>
                <w:lang w:val="en-US" w:eastAsia="zh-CN"/>
              </w:rPr>
            </w:pPr>
            <w:r>
              <w:rPr>
                <w:rFonts w:hint="eastAsia" w:cs="Times New Roman"/>
                <w:color w:val="auto"/>
                <w:sz w:val="24"/>
                <w:lang w:val="en-US" w:eastAsia="zh-CN"/>
              </w:rPr>
              <w:t>DA001有机废气排气筒</w:t>
            </w:r>
          </w:p>
          <w:p w14:paraId="785E398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lang w:val="en-US" w:eastAsia="zh-CN"/>
              </w:rPr>
            </w:pPr>
            <w:r>
              <w:rPr>
                <w:rFonts w:hint="eastAsia" w:cs="Times New Roman"/>
                <w:color w:val="auto"/>
                <w:sz w:val="24"/>
                <w:lang w:val="en-US" w:eastAsia="zh-CN"/>
              </w:rPr>
              <w:t>企业于2025年6月及12月委托山东鼎立环境检测有限公司对该排气筒进行监测，</w:t>
            </w:r>
            <w:r>
              <w:rPr>
                <w:rFonts w:hint="eastAsia" w:ascii="Times New Roman" w:hAnsi="Times New Roman" w:cs="Times New Roman"/>
                <w:color w:val="auto"/>
                <w:sz w:val="24"/>
                <w:lang w:val="en-US" w:eastAsia="zh-CN"/>
              </w:rPr>
              <w:t>根据《淄博利赛环保科技有限公司</w:t>
            </w:r>
            <w:r>
              <w:rPr>
                <w:rFonts w:hint="eastAsia" w:cs="Times New Roman"/>
                <w:color w:val="auto"/>
                <w:sz w:val="24"/>
                <w:lang w:val="en-US" w:eastAsia="zh-CN"/>
              </w:rPr>
              <w:t>检测报告</w:t>
            </w:r>
            <w:r>
              <w:rPr>
                <w:rFonts w:hint="eastAsia" w:ascii="Times New Roman" w:hAnsi="Times New Roman" w:cs="Times New Roman"/>
                <w:color w:val="auto"/>
                <w:sz w:val="24"/>
                <w:lang w:val="en-US" w:eastAsia="zh-CN"/>
              </w:rPr>
              <w:t>》（报告编号</w:t>
            </w:r>
            <w:r>
              <w:rPr>
                <w:rFonts w:hint="eastAsia" w:cs="Times New Roman"/>
                <w:color w:val="auto"/>
                <w:sz w:val="24"/>
                <w:lang w:val="en-US" w:eastAsia="zh-CN"/>
              </w:rPr>
              <w:t>：</w:t>
            </w:r>
            <w:r>
              <w:rPr>
                <w:rFonts w:hint="eastAsia" w:ascii="Times New Roman" w:hAnsi="Times New Roman" w:cs="Times New Roman"/>
                <w:color w:val="auto"/>
                <w:sz w:val="24"/>
                <w:lang w:val="en-US" w:eastAsia="zh-CN"/>
              </w:rPr>
              <w:t>DLJC202506101</w:t>
            </w:r>
            <w:r>
              <w:rPr>
                <w:rFonts w:hint="eastAsia" w:cs="Times New Roman"/>
                <w:color w:val="auto"/>
                <w:sz w:val="24"/>
                <w:lang w:val="en-US" w:eastAsia="zh-CN"/>
              </w:rPr>
              <w:t>、</w:t>
            </w:r>
            <w:r>
              <w:rPr>
                <w:rFonts w:hint="eastAsia" w:ascii="Times New Roman" w:hAnsi="Times New Roman" w:cs="Times New Roman"/>
                <w:color w:val="auto"/>
                <w:sz w:val="24"/>
                <w:lang w:val="en-US" w:eastAsia="zh-CN"/>
              </w:rPr>
              <w:t>DLJC20251293</w:t>
            </w:r>
            <w:r>
              <w:rPr>
                <w:rFonts w:hint="default" w:ascii="Times New Roman" w:hAnsi="Times New Roman" w:cs="Times New Roman"/>
                <w:color w:val="auto"/>
                <w:sz w:val="24"/>
                <w:lang w:val="en-US" w:eastAsia="zh-CN"/>
              </w:rPr>
              <w:t>）</w:t>
            </w:r>
            <w:r>
              <w:rPr>
                <w:rFonts w:hint="eastAsia" w:cs="Times New Roman"/>
                <w:color w:val="auto"/>
                <w:sz w:val="24"/>
                <w:lang w:val="en-US" w:eastAsia="zh-CN"/>
              </w:rPr>
              <w:t>（详见附件十一）</w:t>
            </w:r>
            <w:r>
              <w:rPr>
                <w:rFonts w:hint="default" w:ascii="Times New Roman" w:hAnsi="Times New Roman" w:cs="Times New Roman"/>
                <w:color w:val="auto"/>
                <w:sz w:val="24"/>
                <w:lang w:val="en-US" w:eastAsia="zh-CN"/>
              </w:rPr>
              <w:t>，</w:t>
            </w:r>
            <w:r>
              <w:rPr>
                <w:rFonts w:hint="eastAsia" w:cs="Times New Roman"/>
                <w:color w:val="auto"/>
                <w:sz w:val="24"/>
                <w:lang w:val="en-US" w:eastAsia="zh-CN"/>
              </w:rPr>
              <w:t>DA001</w:t>
            </w:r>
            <w:r>
              <w:rPr>
                <w:rFonts w:hint="default" w:ascii="Times New Roman" w:hAnsi="Times New Roman" w:cs="Times New Roman"/>
                <w:color w:val="auto"/>
                <w:sz w:val="24"/>
                <w:lang w:val="en-US" w:eastAsia="zh-CN"/>
              </w:rPr>
              <w:t>废气排放情况如下：</w:t>
            </w:r>
          </w:p>
          <w:p w14:paraId="47FB12B9">
            <w:pPr>
              <w:keepNext w:val="0"/>
              <w:keepLines w:val="0"/>
              <w:pageBreakBefore w:val="0"/>
              <w:widowControl w:val="0"/>
              <w:numPr>
                <w:ilvl w:val="0"/>
                <w:numId w:val="14"/>
              </w:numPr>
              <w:kinsoku/>
              <w:wordWrap/>
              <w:overflowPunct/>
              <w:topLinePunct w:val="0"/>
              <w:autoSpaceDE w:val="0"/>
              <w:autoSpaceDN w:val="0"/>
              <w:bidi w:val="0"/>
              <w:adjustRightInd w:val="0"/>
              <w:snapToGrid/>
              <w:spacing w:line="360" w:lineRule="auto"/>
              <w:ind w:left="0" w:leftChars="0" w:firstLine="0" w:firstLineChars="0"/>
              <w:jc w:val="center"/>
              <w:textAlignment w:val="auto"/>
              <w:rPr>
                <w:rFonts w:hint="default" w:cs="Times New Roman"/>
                <w:b/>
                <w:bCs/>
                <w:color w:val="auto"/>
                <w:kern w:val="0"/>
                <w:sz w:val="24"/>
                <w:szCs w:val="24"/>
                <w:lang w:val="en-US" w:eastAsia="zh-CN" w:bidi="ar"/>
              </w:rPr>
            </w:pPr>
            <w:r>
              <w:rPr>
                <w:rFonts w:hint="default" w:cs="Times New Roman"/>
                <w:b/>
                <w:bCs/>
                <w:color w:val="auto"/>
                <w:kern w:val="0"/>
                <w:sz w:val="24"/>
                <w:szCs w:val="24"/>
                <w:lang w:val="en-US" w:eastAsia="zh-CN" w:bidi="ar"/>
              </w:rPr>
              <w:t>DA001有机废气排放口检测结果表</w:t>
            </w:r>
            <w:r>
              <w:rPr>
                <w:rFonts w:hint="eastAsia"/>
                <w:lang w:eastAsia="zh-CN"/>
              </w:rPr>
              <w:t>（</w:t>
            </w:r>
            <w:r>
              <w:rPr>
                <w:rFonts w:hint="eastAsia"/>
                <w:lang w:val="en-US" w:eastAsia="zh-CN"/>
              </w:rPr>
              <w:t>一</w:t>
            </w:r>
            <w:r>
              <w:rPr>
                <w:rFonts w:hint="eastAsia"/>
                <w:lang w:eastAsia="zh-CN"/>
              </w:rPr>
              <w:t>）</w:t>
            </w:r>
          </w:p>
          <w:tbl>
            <w:tblPr>
              <w:tblStyle w:val="89"/>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002"/>
              <w:gridCol w:w="527"/>
              <w:gridCol w:w="1459"/>
              <w:gridCol w:w="181"/>
              <w:gridCol w:w="846"/>
              <w:gridCol w:w="811"/>
              <w:gridCol w:w="10"/>
              <w:gridCol w:w="725"/>
              <w:gridCol w:w="79"/>
              <w:gridCol w:w="339"/>
              <w:gridCol w:w="304"/>
              <w:gridCol w:w="196"/>
              <w:gridCol w:w="221"/>
              <w:gridCol w:w="453"/>
              <w:gridCol w:w="270"/>
              <w:gridCol w:w="709"/>
              <w:gridCol w:w="311"/>
            </w:tblGrid>
            <w:tr w14:paraId="75D8995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jc w:val="center"/>
              </w:trPr>
              <w:tc>
                <w:tcPr>
                  <w:tcW w:w="1876" w:type="pct"/>
                  <w:gridSpan w:val="4"/>
                  <w:vAlign w:val="center"/>
                </w:tcPr>
                <w:p w14:paraId="2CA0AD50">
                  <w:pPr>
                    <w:keepNext w:val="0"/>
                    <w:keepLines w:val="0"/>
                    <w:pageBreakBefore w:val="0"/>
                    <w:widowControl w:val="0"/>
                    <w:kinsoku/>
                    <w:wordWrap/>
                    <w:overflowPunct/>
                    <w:topLinePunct w:val="0"/>
                    <w:autoSpaceDE/>
                    <w:autoSpaceDN/>
                    <w:bidi w:val="0"/>
                    <w:adjustRightInd/>
                    <w:snapToGrid/>
                    <w:jc w:val="center"/>
                    <w:textAlignment w:val="auto"/>
                  </w:pPr>
                  <w:r>
                    <w:t>采样点位</w:t>
                  </w:r>
                </w:p>
              </w:tc>
              <w:tc>
                <w:tcPr>
                  <w:tcW w:w="3122" w:type="pct"/>
                  <w:gridSpan w:val="13"/>
                  <w:vAlign w:val="center"/>
                </w:tcPr>
                <w:p w14:paraId="77693963">
                  <w:pPr>
                    <w:keepNext w:val="0"/>
                    <w:keepLines w:val="0"/>
                    <w:pageBreakBefore w:val="0"/>
                    <w:widowControl w:val="0"/>
                    <w:kinsoku/>
                    <w:wordWrap/>
                    <w:overflowPunct/>
                    <w:topLinePunct w:val="0"/>
                    <w:autoSpaceDE/>
                    <w:autoSpaceDN/>
                    <w:bidi w:val="0"/>
                    <w:adjustRightInd/>
                    <w:snapToGrid/>
                    <w:jc w:val="center"/>
                    <w:textAlignment w:val="auto"/>
                  </w:pPr>
                  <w:r>
                    <w:t>DA001有机废气进口</w:t>
                  </w:r>
                </w:p>
              </w:tc>
            </w:tr>
            <w:tr w14:paraId="7D02ECE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jc w:val="center"/>
              </w:trPr>
              <w:tc>
                <w:tcPr>
                  <w:tcW w:w="1876" w:type="pct"/>
                  <w:gridSpan w:val="4"/>
                  <w:vAlign w:val="center"/>
                </w:tcPr>
                <w:p w14:paraId="58CA5A28">
                  <w:pPr>
                    <w:keepNext w:val="0"/>
                    <w:keepLines w:val="0"/>
                    <w:pageBreakBefore w:val="0"/>
                    <w:widowControl w:val="0"/>
                    <w:kinsoku/>
                    <w:wordWrap/>
                    <w:overflowPunct/>
                    <w:topLinePunct w:val="0"/>
                    <w:autoSpaceDE/>
                    <w:autoSpaceDN/>
                    <w:bidi w:val="0"/>
                    <w:adjustRightInd/>
                    <w:snapToGrid/>
                    <w:jc w:val="center"/>
                    <w:textAlignment w:val="auto"/>
                  </w:pPr>
                  <w:r>
                    <w:t>测点截面积(m²)</w:t>
                  </w:r>
                </w:p>
              </w:tc>
              <w:tc>
                <w:tcPr>
                  <w:tcW w:w="987" w:type="pct"/>
                  <w:gridSpan w:val="3"/>
                  <w:vAlign w:val="center"/>
                </w:tcPr>
                <w:p w14:paraId="4970A8B4">
                  <w:pPr>
                    <w:keepNext w:val="0"/>
                    <w:keepLines w:val="0"/>
                    <w:pageBreakBefore w:val="0"/>
                    <w:widowControl w:val="0"/>
                    <w:kinsoku/>
                    <w:wordWrap/>
                    <w:overflowPunct/>
                    <w:topLinePunct w:val="0"/>
                    <w:autoSpaceDE/>
                    <w:autoSpaceDN/>
                    <w:bidi w:val="0"/>
                    <w:adjustRightInd/>
                    <w:snapToGrid/>
                    <w:jc w:val="center"/>
                    <w:textAlignment w:val="auto"/>
                  </w:pPr>
                  <w:r>
                    <w:t>0.0707</w:t>
                  </w:r>
                </w:p>
              </w:tc>
              <w:tc>
                <w:tcPr>
                  <w:tcW w:w="857" w:type="pct"/>
                  <w:gridSpan w:val="4"/>
                  <w:vAlign w:val="center"/>
                </w:tcPr>
                <w:p w14:paraId="02B1F401">
                  <w:pPr>
                    <w:keepNext w:val="0"/>
                    <w:keepLines w:val="0"/>
                    <w:pageBreakBefore w:val="0"/>
                    <w:widowControl w:val="0"/>
                    <w:kinsoku/>
                    <w:wordWrap/>
                    <w:overflowPunct/>
                    <w:topLinePunct w:val="0"/>
                    <w:autoSpaceDE/>
                    <w:autoSpaceDN/>
                    <w:bidi w:val="0"/>
                    <w:adjustRightInd/>
                    <w:snapToGrid/>
                    <w:jc w:val="center"/>
                    <w:textAlignment w:val="auto"/>
                  </w:pPr>
                  <w:r>
                    <w:t>排气筒高度(m)</w:t>
                  </w:r>
                </w:p>
              </w:tc>
              <w:tc>
                <w:tcPr>
                  <w:tcW w:w="116" w:type="pct"/>
                  <w:vAlign w:val="center"/>
                </w:tcPr>
                <w:p w14:paraId="74828C15">
                  <w:pPr>
                    <w:keepNext w:val="0"/>
                    <w:keepLines w:val="0"/>
                    <w:pageBreakBefore w:val="0"/>
                    <w:widowControl w:val="0"/>
                    <w:kinsoku/>
                    <w:wordWrap/>
                    <w:overflowPunct/>
                    <w:topLinePunct w:val="0"/>
                    <w:autoSpaceDE/>
                    <w:autoSpaceDN/>
                    <w:bidi w:val="0"/>
                    <w:adjustRightInd/>
                    <w:snapToGrid/>
                    <w:jc w:val="center"/>
                    <w:textAlignment w:val="auto"/>
                  </w:pPr>
                  <w:r>
                    <w:t>/</w:t>
                  </w:r>
                </w:p>
              </w:tc>
              <w:tc>
                <w:tcPr>
                  <w:tcW w:w="979" w:type="pct"/>
                  <w:gridSpan w:val="4"/>
                  <w:vAlign w:val="center"/>
                </w:tcPr>
                <w:p w14:paraId="0351091F">
                  <w:pPr>
                    <w:keepNext w:val="0"/>
                    <w:keepLines w:val="0"/>
                    <w:pageBreakBefore w:val="0"/>
                    <w:widowControl w:val="0"/>
                    <w:kinsoku/>
                    <w:wordWrap/>
                    <w:overflowPunct/>
                    <w:topLinePunct w:val="0"/>
                    <w:autoSpaceDE/>
                    <w:autoSpaceDN/>
                    <w:bidi w:val="0"/>
                    <w:adjustRightInd/>
                    <w:snapToGrid/>
                    <w:jc w:val="center"/>
                    <w:textAlignment w:val="auto"/>
                  </w:pPr>
                  <w:r>
                    <w:t>废气治理措施</w:t>
                  </w:r>
                </w:p>
              </w:tc>
              <w:tc>
                <w:tcPr>
                  <w:tcW w:w="182" w:type="pct"/>
                  <w:vAlign w:val="center"/>
                </w:tcPr>
                <w:p w14:paraId="524837CB">
                  <w:pPr>
                    <w:keepNext w:val="0"/>
                    <w:keepLines w:val="0"/>
                    <w:pageBreakBefore w:val="0"/>
                    <w:widowControl w:val="0"/>
                    <w:kinsoku/>
                    <w:wordWrap/>
                    <w:overflowPunct/>
                    <w:topLinePunct w:val="0"/>
                    <w:autoSpaceDE/>
                    <w:autoSpaceDN/>
                    <w:bidi w:val="0"/>
                    <w:adjustRightInd/>
                    <w:snapToGrid/>
                    <w:jc w:val="center"/>
                    <w:textAlignment w:val="auto"/>
                  </w:pPr>
                  <w:r>
                    <w:t>/</w:t>
                  </w:r>
                </w:p>
              </w:tc>
            </w:tr>
            <w:tr w14:paraId="6971FC0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jc w:val="center"/>
              </w:trPr>
              <w:tc>
                <w:tcPr>
                  <w:tcW w:w="1876" w:type="pct"/>
                  <w:gridSpan w:val="4"/>
                  <w:vAlign w:val="center"/>
                </w:tcPr>
                <w:p w14:paraId="7F09BAD6">
                  <w:pPr>
                    <w:keepNext w:val="0"/>
                    <w:keepLines w:val="0"/>
                    <w:pageBreakBefore w:val="0"/>
                    <w:widowControl w:val="0"/>
                    <w:kinsoku/>
                    <w:wordWrap/>
                    <w:overflowPunct/>
                    <w:topLinePunct w:val="0"/>
                    <w:autoSpaceDE/>
                    <w:autoSpaceDN/>
                    <w:bidi w:val="0"/>
                    <w:adjustRightInd/>
                    <w:snapToGrid/>
                    <w:jc w:val="center"/>
                    <w:textAlignment w:val="auto"/>
                  </w:pPr>
                  <w:r>
                    <w:t>采样时间</w:t>
                  </w:r>
                </w:p>
              </w:tc>
              <w:tc>
                <w:tcPr>
                  <w:tcW w:w="3122" w:type="pct"/>
                  <w:gridSpan w:val="13"/>
                  <w:vAlign w:val="center"/>
                </w:tcPr>
                <w:p w14:paraId="416B0DAB">
                  <w:pPr>
                    <w:keepNext w:val="0"/>
                    <w:keepLines w:val="0"/>
                    <w:pageBreakBefore w:val="0"/>
                    <w:widowControl w:val="0"/>
                    <w:kinsoku/>
                    <w:wordWrap/>
                    <w:overflowPunct/>
                    <w:topLinePunct w:val="0"/>
                    <w:autoSpaceDE/>
                    <w:autoSpaceDN/>
                    <w:bidi w:val="0"/>
                    <w:adjustRightInd/>
                    <w:snapToGrid/>
                    <w:jc w:val="center"/>
                    <w:textAlignment w:val="auto"/>
                  </w:pPr>
                  <w:r>
                    <w:t>2025年06月25日</w:t>
                  </w:r>
                </w:p>
              </w:tc>
            </w:tr>
            <w:tr w14:paraId="45BA803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jc w:val="center"/>
              </w:trPr>
              <w:tc>
                <w:tcPr>
                  <w:tcW w:w="1876" w:type="pct"/>
                  <w:gridSpan w:val="4"/>
                  <w:vAlign w:val="center"/>
                </w:tcPr>
                <w:p w14:paraId="2FDF9669">
                  <w:pPr>
                    <w:keepNext w:val="0"/>
                    <w:keepLines w:val="0"/>
                    <w:pageBreakBefore w:val="0"/>
                    <w:widowControl w:val="0"/>
                    <w:kinsoku/>
                    <w:wordWrap/>
                    <w:overflowPunct/>
                    <w:topLinePunct w:val="0"/>
                    <w:autoSpaceDE/>
                    <w:autoSpaceDN/>
                    <w:bidi w:val="0"/>
                    <w:adjustRightInd/>
                    <w:snapToGrid/>
                    <w:jc w:val="center"/>
                    <w:textAlignment w:val="auto"/>
                  </w:pPr>
                  <w:r>
                    <w:t>采样频次</w:t>
                  </w:r>
                </w:p>
              </w:tc>
              <w:tc>
                <w:tcPr>
                  <w:tcW w:w="1416" w:type="pct"/>
                  <w:gridSpan w:val="4"/>
                  <w:vAlign w:val="center"/>
                </w:tcPr>
                <w:p w14:paraId="754ACBC8">
                  <w:pPr>
                    <w:keepNext w:val="0"/>
                    <w:keepLines w:val="0"/>
                    <w:pageBreakBefore w:val="0"/>
                    <w:widowControl w:val="0"/>
                    <w:kinsoku/>
                    <w:wordWrap/>
                    <w:overflowPunct/>
                    <w:topLinePunct w:val="0"/>
                    <w:autoSpaceDE/>
                    <w:autoSpaceDN/>
                    <w:bidi w:val="0"/>
                    <w:adjustRightInd/>
                    <w:snapToGrid/>
                    <w:jc w:val="center"/>
                    <w:textAlignment w:val="auto"/>
                  </w:pPr>
                  <w:r>
                    <w:t>第一次</w:t>
                  </w:r>
                </w:p>
              </w:tc>
              <w:tc>
                <w:tcPr>
                  <w:tcW w:w="943" w:type="pct"/>
                  <w:gridSpan w:val="6"/>
                  <w:vAlign w:val="center"/>
                </w:tcPr>
                <w:p w14:paraId="7A6B3D9E">
                  <w:pPr>
                    <w:keepNext w:val="0"/>
                    <w:keepLines w:val="0"/>
                    <w:pageBreakBefore w:val="0"/>
                    <w:widowControl w:val="0"/>
                    <w:kinsoku/>
                    <w:wordWrap/>
                    <w:overflowPunct/>
                    <w:topLinePunct w:val="0"/>
                    <w:autoSpaceDE/>
                    <w:autoSpaceDN/>
                    <w:bidi w:val="0"/>
                    <w:adjustRightInd/>
                    <w:snapToGrid/>
                    <w:jc w:val="center"/>
                    <w:textAlignment w:val="auto"/>
                  </w:pPr>
                  <w:r>
                    <w:t>第二次</w:t>
                  </w:r>
                </w:p>
              </w:tc>
              <w:tc>
                <w:tcPr>
                  <w:tcW w:w="763" w:type="pct"/>
                  <w:gridSpan w:val="3"/>
                  <w:vAlign w:val="center"/>
                </w:tcPr>
                <w:p w14:paraId="5156F28C">
                  <w:pPr>
                    <w:keepNext w:val="0"/>
                    <w:keepLines w:val="0"/>
                    <w:pageBreakBefore w:val="0"/>
                    <w:widowControl w:val="0"/>
                    <w:kinsoku/>
                    <w:wordWrap/>
                    <w:overflowPunct/>
                    <w:topLinePunct w:val="0"/>
                    <w:autoSpaceDE/>
                    <w:autoSpaceDN/>
                    <w:bidi w:val="0"/>
                    <w:adjustRightInd/>
                    <w:snapToGrid/>
                    <w:jc w:val="center"/>
                    <w:textAlignment w:val="auto"/>
                  </w:pPr>
                  <w:r>
                    <w:t>第三次</w:t>
                  </w:r>
                </w:p>
              </w:tc>
            </w:tr>
            <w:tr w14:paraId="60D1E49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jc w:val="center"/>
              </w:trPr>
              <w:tc>
                <w:tcPr>
                  <w:tcW w:w="1876" w:type="pct"/>
                  <w:gridSpan w:val="4"/>
                  <w:vAlign w:val="center"/>
                </w:tcPr>
                <w:p w14:paraId="49D1A5D4">
                  <w:pPr>
                    <w:keepNext w:val="0"/>
                    <w:keepLines w:val="0"/>
                    <w:pageBreakBefore w:val="0"/>
                    <w:widowControl w:val="0"/>
                    <w:kinsoku/>
                    <w:wordWrap/>
                    <w:overflowPunct/>
                    <w:topLinePunct w:val="0"/>
                    <w:autoSpaceDE/>
                    <w:autoSpaceDN/>
                    <w:bidi w:val="0"/>
                    <w:adjustRightInd/>
                    <w:snapToGrid/>
                    <w:jc w:val="center"/>
                    <w:textAlignment w:val="auto"/>
                  </w:pPr>
                  <w:r>
                    <w:t>烟气温度(℃)</w:t>
                  </w:r>
                </w:p>
              </w:tc>
              <w:tc>
                <w:tcPr>
                  <w:tcW w:w="1416" w:type="pct"/>
                  <w:gridSpan w:val="4"/>
                  <w:vAlign w:val="center"/>
                </w:tcPr>
                <w:p w14:paraId="496D2BEA">
                  <w:pPr>
                    <w:keepNext w:val="0"/>
                    <w:keepLines w:val="0"/>
                    <w:pageBreakBefore w:val="0"/>
                    <w:widowControl w:val="0"/>
                    <w:kinsoku/>
                    <w:wordWrap/>
                    <w:overflowPunct/>
                    <w:topLinePunct w:val="0"/>
                    <w:autoSpaceDE/>
                    <w:autoSpaceDN/>
                    <w:bidi w:val="0"/>
                    <w:adjustRightInd/>
                    <w:snapToGrid/>
                    <w:jc w:val="center"/>
                    <w:textAlignment w:val="auto"/>
                  </w:pPr>
                  <w:r>
                    <w:t>29</w:t>
                  </w:r>
                </w:p>
              </w:tc>
              <w:tc>
                <w:tcPr>
                  <w:tcW w:w="943" w:type="pct"/>
                  <w:gridSpan w:val="6"/>
                  <w:vAlign w:val="center"/>
                </w:tcPr>
                <w:p w14:paraId="62840A86">
                  <w:pPr>
                    <w:keepNext w:val="0"/>
                    <w:keepLines w:val="0"/>
                    <w:pageBreakBefore w:val="0"/>
                    <w:widowControl w:val="0"/>
                    <w:kinsoku/>
                    <w:wordWrap/>
                    <w:overflowPunct/>
                    <w:topLinePunct w:val="0"/>
                    <w:autoSpaceDE/>
                    <w:autoSpaceDN/>
                    <w:bidi w:val="0"/>
                    <w:adjustRightInd/>
                    <w:snapToGrid/>
                    <w:jc w:val="center"/>
                    <w:textAlignment w:val="auto"/>
                  </w:pPr>
                  <w:r>
                    <w:t>31</w:t>
                  </w:r>
                </w:p>
              </w:tc>
              <w:tc>
                <w:tcPr>
                  <w:tcW w:w="763" w:type="pct"/>
                  <w:gridSpan w:val="3"/>
                  <w:vAlign w:val="center"/>
                </w:tcPr>
                <w:p w14:paraId="11AF095F">
                  <w:pPr>
                    <w:keepNext w:val="0"/>
                    <w:keepLines w:val="0"/>
                    <w:pageBreakBefore w:val="0"/>
                    <w:widowControl w:val="0"/>
                    <w:kinsoku/>
                    <w:wordWrap/>
                    <w:overflowPunct/>
                    <w:topLinePunct w:val="0"/>
                    <w:autoSpaceDE/>
                    <w:autoSpaceDN/>
                    <w:bidi w:val="0"/>
                    <w:adjustRightInd/>
                    <w:snapToGrid/>
                    <w:jc w:val="center"/>
                    <w:textAlignment w:val="auto"/>
                  </w:pPr>
                  <w:r>
                    <w:t>31</w:t>
                  </w:r>
                </w:p>
              </w:tc>
            </w:tr>
            <w:tr w14:paraId="211D743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jc w:val="center"/>
              </w:trPr>
              <w:tc>
                <w:tcPr>
                  <w:tcW w:w="1876" w:type="pct"/>
                  <w:gridSpan w:val="4"/>
                  <w:vAlign w:val="center"/>
                </w:tcPr>
                <w:p w14:paraId="12EAA4D6">
                  <w:pPr>
                    <w:keepNext w:val="0"/>
                    <w:keepLines w:val="0"/>
                    <w:pageBreakBefore w:val="0"/>
                    <w:widowControl w:val="0"/>
                    <w:kinsoku/>
                    <w:wordWrap/>
                    <w:overflowPunct/>
                    <w:topLinePunct w:val="0"/>
                    <w:autoSpaceDE/>
                    <w:autoSpaceDN/>
                    <w:bidi w:val="0"/>
                    <w:adjustRightInd/>
                    <w:snapToGrid/>
                    <w:jc w:val="center"/>
                    <w:textAlignment w:val="auto"/>
                  </w:pPr>
                  <w:r>
                    <w:t>标干流量(Nm³/h)</w:t>
                  </w:r>
                </w:p>
              </w:tc>
              <w:tc>
                <w:tcPr>
                  <w:tcW w:w="1416" w:type="pct"/>
                  <w:gridSpan w:val="4"/>
                  <w:vAlign w:val="center"/>
                </w:tcPr>
                <w:p w14:paraId="32AAF311">
                  <w:pPr>
                    <w:keepNext w:val="0"/>
                    <w:keepLines w:val="0"/>
                    <w:pageBreakBefore w:val="0"/>
                    <w:widowControl w:val="0"/>
                    <w:kinsoku/>
                    <w:wordWrap/>
                    <w:overflowPunct/>
                    <w:topLinePunct w:val="0"/>
                    <w:autoSpaceDE/>
                    <w:autoSpaceDN/>
                    <w:bidi w:val="0"/>
                    <w:adjustRightInd/>
                    <w:snapToGrid/>
                    <w:jc w:val="center"/>
                    <w:textAlignment w:val="auto"/>
                  </w:pPr>
                  <w:r>
                    <w:t>1192</w:t>
                  </w:r>
                </w:p>
              </w:tc>
              <w:tc>
                <w:tcPr>
                  <w:tcW w:w="943" w:type="pct"/>
                  <w:gridSpan w:val="6"/>
                  <w:vAlign w:val="center"/>
                </w:tcPr>
                <w:p w14:paraId="1A79FCDD">
                  <w:pPr>
                    <w:keepNext w:val="0"/>
                    <w:keepLines w:val="0"/>
                    <w:pageBreakBefore w:val="0"/>
                    <w:widowControl w:val="0"/>
                    <w:kinsoku/>
                    <w:wordWrap/>
                    <w:overflowPunct/>
                    <w:topLinePunct w:val="0"/>
                    <w:autoSpaceDE/>
                    <w:autoSpaceDN/>
                    <w:bidi w:val="0"/>
                    <w:adjustRightInd/>
                    <w:snapToGrid/>
                    <w:jc w:val="center"/>
                    <w:textAlignment w:val="auto"/>
                  </w:pPr>
                  <w:r>
                    <w:t>1134</w:t>
                  </w:r>
                </w:p>
              </w:tc>
              <w:tc>
                <w:tcPr>
                  <w:tcW w:w="763" w:type="pct"/>
                  <w:gridSpan w:val="3"/>
                  <w:vAlign w:val="center"/>
                </w:tcPr>
                <w:p w14:paraId="541EEEC7">
                  <w:pPr>
                    <w:keepNext w:val="0"/>
                    <w:keepLines w:val="0"/>
                    <w:pageBreakBefore w:val="0"/>
                    <w:widowControl w:val="0"/>
                    <w:kinsoku/>
                    <w:wordWrap/>
                    <w:overflowPunct/>
                    <w:topLinePunct w:val="0"/>
                    <w:autoSpaceDE/>
                    <w:autoSpaceDN/>
                    <w:bidi w:val="0"/>
                    <w:adjustRightInd/>
                    <w:snapToGrid/>
                    <w:jc w:val="center"/>
                    <w:textAlignment w:val="auto"/>
                  </w:pPr>
                  <w:r>
                    <w:t>1053</w:t>
                  </w:r>
                </w:p>
              </w:tc>
            </w:tr>
            <w:tr w14:paraId="7F454B0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jc w:val="center"/>
              </w:trPr>
              <w:tc>
                <w:tcPr>
                  <w:tcW w:w="905" w:type="pct"/>
                  <w:gridSpan w:val="2"/>
                  <w:vMerge w:val="restart"/>
                  <w:tcBorders>
                    <w:bottom w:val="nil"/>
                  </w:tcBorders>
                  <w:vAlign w:val="center"/>
                </w:tcPr>
                <w:p w14:paraId="2FF7C817">
                  <w:pPr>
                    <w:keepNext w:val="0"/>
                    <w:keepLines w:val="0"/>
                    <w:pageBreakBefore w:val="0"/>
                    <w:widowControl w:val="0"/>
                    <w:kinsoku/>
                    <w:wordWrap/>
                    <w:overflowPunct/>
                    <w:topLinePunct w:val="0"/>
                    <w:autoSpaceDE/>
                    <w:autoSpaceDN/>
                    <w:bidi w:val="0"/>
                    <w:adjustRightInd/>
                    <w:snapToGrid/>
                    <w:jc w:val="center"/>
                    <w:textAlignment w:val="auto"/>
                  </w:pPr>
                  <w:r>
                    <w:rPr>
                      <w:rFonts w:hint="eastAsia"/>
                      <w:lang w:val="en-US" w:eastAsia="zh-CN"/>
                    </w:rPr>
                    <w:t>VOCs</w:t>
                  </w:r>
                  <w:r>
                    <w:t>(以</w:t>
                  </w:r>
                </w:p>
                <w:p w14:paraId="318C7653">
                  <w:pPr>
                    <w:keepNext w:val="0"/>
                    <w:keepLines w:val="0"/>
                    <w:pageBreakBefore w:val="0"/>
                    <w:widowControl w:val="0"/>
                    <w:kinsoku/>
                    <w:wordWrap/>
                    <w:overflowPunct/>
                    <w:topLinePunct w:val="0"/>
                    <w:autoSpaceDE/>
                    <w:autoSpaceDN/>
                    <w:bidi w:val="0"/>
                    <w:adjustRightInd/>
                    <w:snapToGrid/>
                    <w:jc w:val="center"/>
                    <w:textAlignment w:val="auto"/>
                  </w:pPr>
                  <w:r>
                    <w:t>非甲烷总烃计)</w:t>
                  </w:r>
                </w:p>
              </w:tc>
              <w:tc>
                <w:tcPr>
                  <w:tcW w:w="971" w:type="pct"/>
                  <w:gridSpan w:val="2"/>
                  <w:vAlign w:val="center"/>
                </w:tcPr>
                <w:p w14:paraId="652AD28F">
                  <w:pPr>
                    <w:keepNext w:val="0"/>
                    <w:keepLines w:val="0"/>
                    <w:pageBreakBefore w:val="0"/>
                    <w:widowControl w:val="0"/>
                    <w:kinsoku/>
                    <w:wordWrap/>
                    <w:overflowPunct/>
                    <w:topLinePunct w:val="0"/>
                    <w:autoSpaceDE/>
                    <w:autoSpaceDN/>
                    <w:bidi w:val="0"/>
                    <w:adjustRightInd/>
                    <w:snapToGrid/>
                    <w:jc w:val="center"/>
                    <w:textAlignment w:val="auto"/>
                  </w:pPr>
                  <w:r>
                    <w:t>样品编号</w:t>
                  </w:r>
                </w:p>
              </w:tc>
              <w:tc>
                <w:tcPr>
                  <w:tcW w:w="1416" w:type="pct"/>
                  <w:gridSpan w:val="4"/>
                  <w:vAlign w:val="center"/>
                </w:tcPr>
                <w:p w14:paraId="53C14E08">
                  <w:pPr>
                    <w:keepNext w:val="0"/>
                    <w:keepLines w:val="0"/>
                    <w:pageBreakBefore w:val="0"/>
                    <w:widowControl w:val="0"/>
                    <w:kinsoku/>
                    <w:wordWrap/>
                    <w:overflowPunct/>
                    <w:topLinePunct w:val="0"/>
                    <w:autoSpaceDE/>
                    <w:autoSpaceDN/>
                    <w:bidi w:val="0"/>
                    <w:adjustRightInd/>
                    <w:snapToGrid/>
                    <w:jc w:val="center"/>
                    <w:textAlignment w:val="auto"/>
                  </w:pPr>
                  <w:r>
                    <w:t>2506101Y001</w:t>
                  </w:r>
                </w:p>
              </w:tc>
              <w:tc>
                <w:tcPr>
                  <w:tcW w:w="943" w:type="pct"/>
                  <w:gridSpan w:val="6"/>
                  <w:vAlign w:val="center"/>
                </w:tcPr>
                <w:p w14:paraId="1857E44C">
                  <w:pPr>
                    <w:keepNext w:val="0"/>
                    <w:keepLines w:val="0"/>
                    <w:pageBreakBefore w:val="0"/>
                    <w:widowControl w:val="0"/>
                    <w:kinsoku/>
                    <w:wordWrap/>
                    <w:overflowPunct/>
                    <w:topLinePunct w:val="0"/>
                    <w:autoSpaceDE/>
                    <w:autoSpaceDN/>
                    <w:bidi w:val="0"/>
                    <w:adjustRightInd/>
                    <w:snapToGrid/>
                    <w:jc w:val="center"/>
                    <w:textAlignment w:val="auto"/>
                  </w:pPr>
                  <w:r>
                    <w:t>2506101Y002</w:t>
                  </w:r>
                </w:p>
              </w:tc>
              <w:tc>
                <w:tcPr>
                  <w:tcW w:w="763" w:type="pct"/>
                  <w:gridSpan w:val="3"/>
                  <w:vAlign w:val="center"/>
                </w:tcPr>
                <w:p w14:paraId="55AFBA17">
                  <w:pPr>
                    <w:keepNext w:val="0"/>
                    <w:keepLines w:val="0"/>
                    <w:pageBreakBefore w:val="0"/>
                    <w:widowControl w:val="0"/>
                    <w:kinsoku/>
                    <w:wordWrap/>
                    <w:overflowPunct/>
                    <w:topLinePunct w:val="0"/>
                    <w:autoSpaceDE/>
                    <w:autoSpaceDN/>
                    <w:bidi w:val="0"/>
                    <w:adjustRightInd/>
                    <w:snapToGrid/>
                    <w:jc w:val="center"/>
                    <w:textAlignment w:val="auto"/>
                  </w:pPr>
                  <w:r>
                    <w:t>2506101Y003</w:t>
                  </w:r>
                </w:p>
              </w:tc>
            </w:tr>
            <w:tr w14:paraId="2E0A443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1" w:hRule="atLeast"/>
                <w:jc w:val="center"/>
              </w:trPr>
              <w:tc>
                <w:tcPr>
                  <w:tcW w:w="905" w:type="pct"/>
                  <w:gridSpan w:val="2"/>
                  <w:vMerge w:val="continue"/>
                  <w:tcBorders>
                    <w:top w:val="nil"/>
                    <w:bottom w:val="nil"/>
                  </w:tcBorders>
                  <w:vAlign w:val="center"/>
                </w:tcPr>
                <w:p w14:paraId="74FFD714">
                  <w:pPr>
                    <w:keepNext w:val="0"/>
                    <w:keepLines w:val="0"/>
                    <w:pageBreakBefore w:val="0"/>
                    <w:widowControl w:val="0"/>
                    <w:kinsoku/>
                    <w:wordWrap/>
                    <w:overflowPunct/>
                    <w:topLinePunct w:val="0"/>
                    <w:autoSpaceDE/>
                    <w:autoSpaceDN/>
                    <w:bidi w:val="0"/>
                    <w:adjustRightInd/>
                    <w:snapToGrid/>
                    <w:jc w:val="center"/>
                    <w:textAlignment w:val="auto"/>
                  </w:pPr>
                </w:p>
              </w:tc>
              <w:tc>
                <w:tcPr>
                  <w:tcW w:w="971" w:type="pct"/>
                  <w:gridSpan w:val="2"/>
                  <w:vAlign w:val="center"/>
                </w:tcPr>
                <w:p w14:paraId="710B1D17">
                  <w:pPr>
                    <w:keepNext w:val="0"/>
                    <w:keepLines w:val="0"/>
                    <w:pageBreakBefore w:val="0"/>
                    <w:widowControl w:val="0"/>
                    <w:kinsoku/>
                    <w:wordWrap/>
                    <w:overflowPunct/>
                    <w:topLinePunct w:val="0"/>
                    <w:autoSpaceDE/>
                    <w:autoSpaceDN/>
                    <w:bidi w:val="0"/>
                    <w:adjustRightInd/>
                    <w:snapToGrid/>
                    <w:jc w:val="center"/>
                    <w:textAlignment w:val="auto"/>
                  </w:pPr>
                  <w:r>
                    <w:t>实测浓度(mg/m³)</w:t>
                  </w:r>
                </w:p>
              </w:tc>
              <w:tc>
                <w:tcPr>
                  <w:tcW w:w="1416" w:type="pct"/>
                  <w:gridSpan w:val="4"/>
                  <w:vAlign w:val="center"/>
                </w:tcPr>
                <w:p w14:paraId="71B075E0">
                  <w:pPr>
                    <w:keepNext w:val="0"/>
                    <w:keepLines w:val="0"/>
                    <w:pageBreakBefore w:val="0"/>
                    <w:widowControl w:val="0"/>
                    <w:kinsoku/>
                    <w:wordWrap/>
                    <w:overflowPunct/>
                    <w:topLinePunct w:val="0"/>
                    <w:autoSpaceDE/>
                    <w:autoSpaceDN/>
                    <w:bidi w:val="0"/>
                    <w:adjustRightInd/>
                    <w:snapToGrid/>
                    <w:jc w:val="center"/>
                    <w:textAlignment w:val="auto"/>
                  </w:pPr>
                  <w:r>
                    <w:t>8.45</w:t>
                  </w:r>
                </w:p>
              </w:tc>
              <w:tc>
                <w:tcPr>
                  <w:tcW w:w="943" w:type="pct"/>
                  <w:gridSpan w:val="6"/>
                  <w:vAlign w:val="center"/>
                </w:tcPr>
                <w:p w14:paraId="60678296">
                  <w:pPr>
                    <w:keepNext w:val="0"/>
                    <w:keepLines w:val="0"/>
                    <w:pageBreakBefore w:val="0"/>
                    <w:widowControl w:val="0"/>
                    <w:kinsoku/>
                    <w:wordWrap/>
                    <w:overflowPunct/>
                    <w:topLinePunct w:val="0"/>
                    <w:autoSpaceDE/>
                    <w:autoSpaceDN/>
                    <w:bidi w:val="0"/>
                    <w:adjustRightInd/>
                    <w:snapToGrid/>
                    <w:jc w:val="center"/>
                    <w:textAlignment w:val="auto"/>
                  </w:pPr>
                  <w:r>
                    <w:t>8.05</w:t>
                  </w:r>
                </w:p>
              </w:tc>
              <w:tc>
                <w:tcPr>
                  <w:tcW w:w="763" w:type="pct"/>
                  <w:gridSpan w:val="3"/>
                  <w:vAlign w:val="center"/>
                </w:tcPr>
                <w:p w14:paraId="77828FDA">
                  <w:pPr>
                    <w:keepNext w:val="0"/>
                    <w:keepLines w:val="0"/>
                    <w:pageBreakBefore w:val="0"/>
                    <w:widowControl w:val="0"/>
                    <w:kinsoku/>
                    <w:wordWrap/>
                    <w:overflowPunct/>
                    <w:topLinePunct w:val="0"/>
                    <w:autoSpaceDE/>
                    <w:autoSpaceDN/>
                    <w:bidi w:val="0"/>
                    <w:adjustRightInd/>
                    <w:snapToGrid/>
                    <w:jc w:val="center"/>
                    <w:textAlignment w:val="auto"/>
                  </w:pPr>
                  <w:r>
                    <w:t>8.03</w:t>
                  </w:r>
                </w:p>
              </w:tc>
            </w:tr>
            <w:tr w14:paraId="1E479FE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jc w:val="center"/>
              </w:trPr>
              <w:tc>
                <w:tcPr>
                  <w:tcW w:w="905" w:type="pct"/>
                  <w:gridSpan w:val="2"/>
                  <w:vMerge w:val="continue"/>
                  <w:tcBorders>
                    <w:top w:val="nil"/>
                  </w:tcBorders>
                  <w:vAlign w:val="center"/>
                </w:tcPr>
                <w:p w14:paraId="299F4F8C">
                  <w:pPr>
                    <w:keepNext w:val="0"/>
                    <w:keepLines w:val="0"/>
                    <w:pageBreakBefore w:val="0"/>
                    <w:widowControl w:val="0"/>
                    <w:kinsoku/>
                    <w:wordWrap/>
                    <w:overflowPunct/>
                    <w:topLinePunct w:val="0"/>
                    <w:autoSpaceDE/>
                    <w:autoSpaceDN/>
                    <w:bidi w:val="0"/>
                    <w:adjustRightInd/>
                    <w:snapToGrid/>
                    <w:jc w:val="center"/>
                    <w:textAlignment w:val="auto"/>
                  </w:pPr>
                </w:p>
              </w:tc>
              <w:tc>
                <w:tcPr>
                  <w:tcW w:w="971" w:type="pct"/>
                  <w:gridSpan w:val="2"/>
                  <w:vAlign w:val="center"/>
                </w:tcPr>
                <w:p w14:paraId="29918889">
                  <w:pPr>
                    <w:keepNext w:val="0"/>
                    <w:keepLines w:val="0"/>
                    <w:pageBreakBefore w:val="0"/>
                    <w:widowControl w:val="0"/>
                    <w:kinsoku/>
                    <w:wordWrap/>
                    <w:overflowPunct/>
                    <w:topLinePunct w:val="0"/>
                    <w:autoSpaceDE/>
                    <w:autoSpaceDN/>
                    <w:bidi w:val="0"/>
                    <w:adjustRightInd/>
                    <w:snapToGrid/>
                    <w:jc w:val="center"/>
                    <w:textAlignment w:val="auto"/>
                  </w:pPr>
                  <w:r>
                    <w:t>排放速率(kg/h)</w:t>
                  </w:r>
                </w:p>
              </w:tc>
              <w:tc>
                <w:tcPr>
                  <w:tcW w:w="1416" w:type="pct"/>
                  <w:gridSpan w:val="4"/>
                  <w:vAlign w:val="center"/>
                </w:tcPr>
                <w:p w14:paraId="4C6EC9A4">
                  <w:pPr>
                    <w:keepNext w:val="0"/>
                    <w:keepLines w:val="0"/>
                    <w:pageBreakBefore w:val="0"/>
                    <w:widowControl w:val="0"/>
                    <w:kinsoku/>
                    <w:wordWrap/>
                    <w:overflowPunct/>
                    <w:topLinePunct w:val="0"/>
                    <w:autoSpaceDE/>
                    <w:autoSpaceDN/>
                    <w:bidi w:val="0"/>
                    <w:adjustRightInd/>
                    <w:snapToGrid/>
                    <w:jc w:val="center"/>
                    <w:textAlignment w:val="auto"/>
                  </w:pPr>
                  <w:r>
                    <w:t>0.0101</w:t>
                  </w:r>
                </w:p>
              </w:tc>
              <w:tc>
                <w:tcPr>
                  <w:tcW w:w="943" w:type="pct"/>
                  <w:gridSpan w:val="6"/>
                  <w:vAlign w:val="center"/>
                </w:tcPr>
                <w:p w14:paraId="4801F371">
                  <w:pPr>
                    <w:keepNext w:val="0"/>
                    <w:keepLines w:val="0"/>
                    <w:pageBreakBefore w:val="0"/>
                    <w:widowControl w:val="0"/>
                    <w:kinsoku/>
                    <w:wordWrap/>
                    <w:overflowPunct/>
                    <w:topLinePunct w:val="0"/>
                    <w:autoSpaceDE/>
                    <w:autoSpaceDN/>
                    <w:bidi w:val="0"/>
                    <w:adjustRightInd/>
                    <w:snapToGrid/>
                    <w:jc w:val="center"/>
                    <w:textAlignment w:val="auto"/>
                    <w:rPr>
                      <w:rFonts w:hint="default" w:eastAsia="宋体"/>
                      <w:lang w:val="en-US" w:eastAsia="zh-CN"/>
                    </w:rPr>
                  </w:pPr>
                  <w:r>
                    <w:t>9.13×10</w:t>
                  </w:r>
                  <w:r>
                    <w:rPr>
                      <w:rFonts w:hint="eastAsia"/>
                      <w:vertAlign w:val="superscript"/>
                      <w:lang w:val="en-US" w:eastAsia="zh-CN"/>
                    </w:rPr>
                    <w:t>-3</w:t>
                  </w:r>
                </w:p>
              </w:tc>
              <w:tc>
                <w:tcPr>
                  <w:tcW w:w="763" w:type="pct"/>
                  <w:gridSpan w:val="3"/>
                  <w:vAlign w:val="center"/>
                </w:tcPr>
                <w:p w14:paraId="6DE7CD99">
                  <w:pPr>
                    <w:keepNext w:val="0"/>
                    <w:keepLines w:val="0"/>
                    <w:pageBreakBefore w:val="0"/>
                    <w:widowControl w:val="0"/>
                    <w:kinsoku/>
                    <w:wordWrap/>
                    <w:overflowPunct/>
                    <w:topLinePunct w:val="0"/>
                    <w:autoSpaceDE/>
                    <w:autoSpaceDN/>
                    <w:bidi w:val="0"/>
                    <w:adjustRightInd/>
                    <w:snapToGrid/>
                    <w:jc w:val="center"/>
                    <w:textAlignment w:val="auto"/>
                  </w:pPr>
                  <w:r>
                    <w:t>8.46×10</w:t>
                  </w:r>
                  <w:r>
                    <w:rPr>
                      <w:rFonts w:hint="eastAsia"/>
                      <w:vertAlign w:val="superscript"/>
                      <w:lang w:val="en-US" w:eastAsia="zh-CN"/>
                    </w:rPr>
                    <w:t>-3</w:t>
                  </w:r>
                </w:p>
              </w:tc>
            </w:tr>
            <w:tr w14:paraId="405BFED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jc w:val="center"/>
              </w:trPr>
              <w:tc>
                <w:tcPr>
                  <w:tcW w:w="1876" w:type="pct"/>
                  <w:gridSpan w:val="4"/>
                  <w:vAlign w:val="center"/>
                </w:tcPr>
                <w:p w14:paraId="46403D95">
                  <w:pPr>
                    <w:keepNext w:val="0"/>
                    <w:keepLines w:val="0"/>
                    <w:pageBreakBefore w:val="0"/>
                    <w:widowControl w:val="0"/>
                    <w:kinsoku/>
                    <w:wordWrap/>
                    <w:overflowPunct/>
                    <w:topLinePunct w:val="0"/>
                    <w:autoSpaceDE/>
                    <w:autoSpaceDN/>
                    <w:bidi w:val="0"/>
                    <w:adjustRightInd/>
                    <w:snapToGrid/>
                    <w:jc w:val="center"/>
                    <w:textAlignment w:val="auto"/>
                  </w:pPr>
                  <w:r>
                    <w:t>备注</w:t>
                  </w:r>
                </w:p>
              </w:tc>
              <w:tc>
                <w:tcPr>
                  <w:tcW w:w="3122" w:type="pct"/>
                  <w:gridSpan w:val="13"/>
                  <w:vAlign w:val="center"/>
                </w:tcPr>
                <w:p w14:paraId="479119A4">
                  <w:pPr>
                    <w:keepNext w:val="0"/>
                    <w:keepLines w:val="0"/>
                    <w:pageBreakBefore w:val="0"/>
                    <w:widowControl w:val="0"/>
                    <w:kinsoku/>
                    <w:wordWrap/>
                    <w:overflowPunct/>
                    <w:topLinePunct w:val="0"/>
                    <w:autoSpaceDE/>
                    <w:autoSpaceDN/>
                    <w:bidi w:val="0"/>
                    <w:adjustRightInd/>
                    <w:snapToGrid/>
                    <w:jc w:val="center"/>
                    <w:textAlignment w:val="auto"/>
                  </w:pPr>
                  <w:r>
                    <w:t>/</w:t>
                  </w:r>
                </w:p>
              </w:tc>
            </w:tr>
            <w:tr w14:paraId="13CBCF0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769" w:type="pct"/>
                  <w:gridSpan w:val="3"/>
                  <w:vAlign w:val="center"/>
                </w:tcPr>
                <w:p w14:paraId="3E6FCE39">
                  <w:pPr>
                    <w:pStyle w:val="9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采样点位</w:t>
                  </w:r>
                </w:p>
              </w:tc>
              <w:tc>
                <w:tcPr>
                  <w:tcW w:w="3230" w:type="pct"/>
                  <w:gridSpan w:val="14"/>
                  <w:vAlign w:val="center"/>
                </w:tcPr>
                <w:p w14:paraId="046DFB1F">
                  <w:pPr>
                    <w:pStyle w:val="9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DA</w:t>
                  </w:r>
                  <w:r>
                    <w:rPr>
                      <w:rFonts w:hint="default" w:ascii="Times New Roman" w:hAnsi="Times New Roman" w:cs="Times New Roman"/>
                      <w:color w:val="auto"/>
                      <w:spacing w:val="1"/>
                      <w:sz w:val="21"/>
                      <w:szCs w:val="21"/>
                    </w:rPr>
                    <w:t>001有机废气排放口</w:t>
                  </w:r>
                </w:p>
              </w:tc>
            </w:tr>
            <w:tr w14:paraId="08600F9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769" w:type="pct"/>
                  <w:gridSpan w:val="3"/>
                  <w:vAlign w:val="center"/>
                </w:tcPr>
                <w:p w14:paraId="270BEB11">
                  <w:pPr>
                    <w:pStyle w:val="9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eastAsia="宋体" w:cs="Times New Roman"/>
                      <w:color w:val="auto"/>
                      <w:sz w:val="21"/>
                      <w:szCs w:val="21"/>
                      <w:lang w:eastAsia="zh-CN"/>
                    </w:rPr>
                  </w:pPr>
                  <w:r>
                    <w:rPr>
                      <w:rFonts w:hint="default" w:ascii="Times New Roman" w:hAnsi="Times New Roman" w:cs="Times New Roman"/>
                      <w:color w:val="auto"/>
                      <w:spacing w:val="11"/>
                      <w:sz w:val="21"/>
                      <w:szCs w:val="21"/>
                    </w:rPr>
                    <w:t>测点截面积</w:t>
                  </w:r>
                  <w:r>
                    <w:rPr>
                      <w:rFonts w:hint="eastAsia" w:ascii="Times New Roman" w:hAnsi="Times New Roman" w:cs="Times New Roman"/>
                      <w:color w:val="auto"/>
                      <w:spacing w:val="11"/>
                      <w:sz w:val="21"/>
                      <w:szCs w:val="21"/>
                      <w:lang w:eastAsia="zh-CN"/>
                    </w:rPr>
                    <w:t>（</w:t>
                  </w:r>
                  <w:r>
                    <w:rPr>
                      <w:rFonts w:hint="default" w:ascii="Times New Roman" w:hAnsi="Times New Roman" w:cs="Times New Roman"/>
                      <w:color w:val="auto"/>
                      <w:spacing w:val="11"/>
                      <w:sz w:val="21"/>
                      <w:szCs w:val="21"/>
                    </w:rPr>
                    <w:t>m²</w:t>
                  </w:r>
                  <w:r>
                    <w:rPr>
                      <w:rFonts w:hint="eastAsia" w:ascii="Times New Roman" w:hAnsi="Times New Roman" w:cs="Times New Roman"/>
                      <w:color w:val="auto"/>
                      <w:spacing w:val="11"/>
                      <w:sz w:val="21"/>
                      <w:szCs w:val="21"/>
                      <w:lang w:eastAsia="zh-CN"/>
                    </w:rPr>
                    <w:t>）</w:t>
                  </w:r>
                </w:p>
              </w:tc>
              <w:tc>
                <w:tcPr>
                  <w:tcW w:w="608" w:type="pct"/>
                  <w:gridSpan w:val="2"/>
                  <w:vAlign w:val="center"/>
                </w:tcPr>
                <w:p w14:paraId="33657303">
                  <w:pPr>
                    <w:pStyle w:val="9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0.0707</w:t>
                  </w:r>
                </w:p>
              </w:tc>
              <w:tc>
                <w:tcPr>
                  <w:tcW w:w="962" w:type="pct"/>
                  <w:gridSpan w:val="4"/>
                  <w:vAlign w:val="center"/>
                </w:tcPr>
                <w:p w14:paraId="56206FFC">
                  <w:pPr>
                    <w:pStyle w:val="9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eastAsia="宋体" w:cs="Times New Roman"/>
                      <w:color w:val="auto"/>
                      <w:sz w:val="21"/>
                      <w:szCs w:val="21"/>
                      <w:lang w:eastAsia="zh-CN"/>
                    </w:rPr>
                  </w:pPr>
                  <w:r>
                    <w:rPr>
                      <w:rFonts w:hint="default" w:ascii="Times New Roman" w:hAnsi="Times New Roman" w:cs="Times New Roman"/>
                      <w:color w:val="auto"/>
                      <w:spacing w:val="3"/>
                      <w:sz w:val="21"/>
                      <w:szCs w:val="21"/>
                    </w:rPr>
                    <w:t>排气筒高度</w:t>
                  </w:r>
                  <w:r>
                    <w:rPr>
                      <w:rFonts w:hint="eastAsia" w:ascii="Times New Roman" w:hAnsi="Times New Roman" w:cs="Times New Roman"/>
                      <w:color w:val="auto"/>
                      <w:spacing w:val="3"/>
                      <w:sz w:val="21"/>
                      <w:szCs w:val="21"/>
                      <w:lang w:eastAsia="zh-CN"/>
                    </w:rPr>
                    <w:t>（</w:t>
                  </w:r>
                  <w:r>
                    <w:rPr>
                      <w:rFonts w:hint="default" w:ascii="Times New Roman" w:hAnsi="Times New Roman" w:cs="Times New Roman"/>
                      <w:color w:val="auto"/>
                      <w:spacing w:val="3"/>
                      <w:sz w:val="21"/>
                      <w:szCs w:val="21"/>
                    </w:rPr>
                    <w:t>m</w:t>
                  </w:r>
                  <w:r>
                    <w:rPr>
                      <w:rFonts w:hint="eastAsia" w:ascii="Times New Roman" w:hAnsi="Times New Roman" w:cs="Times New Roman"/>
                      <w:color w:val="auto"/>
                      <w:spacing w:val="3"/>
                      <w:sz w:val="21"/>
                      <w:szCs w:val="21"/>
                      <w:lang w:eastAsia="zh-CN"/>
                    </w:rPr>
                    <w:t>）</w:t>
                  </w:r>
                </w:p>
              </w:tc>
              <w:tc>
                <w:tcPr>
                  <w:tcW w:w="201" w:type="pct"/>
                  <w:vAlign w:val="center"/>
                </w:tcPr>
                <w:p w14:paraId="15AB06B2">
                  <w:pPr>
                    <w:pStyle w:val="9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5"/>
                      <w:sz w:val="21"/>
                      <w:szCs w:val="21"/>
                    </w:rPr>
                    <w:t>15</w:t>
                  </w:r>
                </w:p>
              </w:tc>
              <w:tc>
                <w:tcPr>
                  <w:tcW w:w="855" w:type="pct"/>
                  <w:gridSpan w:val="5"/>
                  <w:vAlign w:val="center"/>
                </w:tcPr>
                <w:p w14:paraId="30CB0B2D">
                  <w:pPr>
                    <w:pStyle w:val="9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废气治理措施</w:t>
                  </w:r>
                </w:p>
              </w:tc>
              <w:tc>
                <w:tcPr>
                  <w:tcW w:w="603" w:type="pct"/>
                  <w:gridSpan w:val="2"/>
                  <w:vAlign w:val="center"/>
                </w:tcPr>
                <w:p w14:paraId="339FD121">
                  <w:pPr>
                    <w:pStyle w:val="9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2"/>
                      <w:sz w:val="21"/>
                      <w:szCs w:val="21"/>
                    </w:rPr>
                    <w:t>活性炭</w:t>
                  </w:r>
                </w:p>
              </w:tc>
            </w:tr>
            <w:tr w14:paraId="1B6F366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769" w:type="pct"/>
                  <w:gridSpan w:val="3"/>
                  <w:vAlign w:val="center"/>
                </w:tcPr>
                <w:p w14:paraId="6CACF3AA">
                  <w:pPr>
                    <w:pStyle w:val="9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采样时间</w:t>
                  </w:r>
                </w:p>
              </w:tc>
              <w:tc>
                <w:tcPr>
                  <w:tcW w:w="3230" w:type="pct"/>
                  <w:gridSpan w:val="14"/>
                  <w:vAlign w:val="center"/>
                </w:tcPr>
                <w:p w14:paraId="4C4B5EF4">
                  <w:pPr>
                    <w:pStyle w:val="9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2"/>
                      <w:sz w:val="21"/>
                      <w:szCs w:val="21"/>
                    </w:rPr>
                    <w:t>2025年06月25日</w:t>
                  </w:r>
                </w:p>
              </w:tc>
            </w:tr>
            <w:tr w14:paraId="2585D52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769" w:type="pct"/>
                  <w:gridSpan w:val="3"/>
                  <w:vAlign w:val="center"/>
                </w:tcPr>
                <w:p w14:paraId="0C8CD4A5">
                  <w:pPr>
                    <w:pStyle w:val="9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采样频次</w:t>
                  </w:r>
                </w:p>
              </w:tc>
              <w:tc>
                <w:tcPr>
                  <w:tcW w:w="1088" w:type="pct"/>
                  <w:gridSpan w:val="3"/>
                  <w:vAlign w:val="center"/>
                </w:tcPr>
                <w:p w14:paraId="5FB268CE">
                  <w:pPr>
                    <w:pStyle w:val="9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2"/>
                      <w:sz w:val="21"/>
                      <w:szCs w:val="21"/>
                    </w:rPr>
                    <w:t>第一次</w:t>
                  </w:r>
                </w:p>
              </w:tc>
              <w:tc>
                <w:tcPr>
                  <w:tcW w:w="1110" w:type="pct"/>
                  <w:gridSpan w:val="7"/>
                  <w:vAlign w:val="center"/>
                </w:tcPr>
                <w:p w14:paraId="498AA487">
                  <w:pPr>
                    <w:pStyle w:val="9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2"/>
                      <w:sz w:val="21"/>
                      <w:szCs w:val="21"/>
                    </w:rPr>
                    <w:t>第二次</w:t>
                  </w:r>
                </w:p>
              </w:tc>
              <w:tc>
                <w:tcPr>
                  <w:tcW w:w="1031" w:type="pct"/>
                  <w:gridSpan w:val="4"/>
                  <w:vAlign w:val="center"/>
                </w:tcPr>
                <w:p w14:paraId="3E22F030">
                  <w:pPr>
                    <w:pStyle w:val="9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2"/>
                      <w:sz w:val="21"/>
                      <w:szCs w:val="21"/>
                    </w:rPr>
                    <w:t>第三次</w:t>
                  </w:r>
                </w:p>
              </w:tc>
            </w:tr>
            <w:tr w14:paraId="6597838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769" w:type="pct"/>
                  <w:gridSpan w:val="3"/>
                  <w:vAlign w:val="center"/>
                </w:tcPr>
                <w:p w14:paraId="4CF3CE9C">
                  <w:pPr>
                    <w:pStyle w:val="9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eastAsia="宋体" w:cs="Times New Roman"/>
                      <w:color w:val="auto"/>
                      <w:sz w:val="21"/>
                      <w:szCs w:val="21"/>
                      <w:lang w:eastAsia="zh-CN"/>
                    </w:rPr>
                  </w:pPr>
                  <w:r>
                    <w:rPr>
                      <w:rFonts w:hint="default" w:ascii="Times New Roman" w:hAnsi="Times New Roman" w:cs="Times New Roman"/>
                      <w:color w:val="auto"/>
                      <w:spacing w:val="4"/>
                      <w:sz w:val="21"/>
                      <w:szCs w:val="21"/>
                    </w:rPr>
                    <w:t>烟气温度</w:t>
                  </w:r>
                  <w:r>
                    <w:rPr>
                      <w:rFonts w:hint="eastAsia" w:ascii="Times New Roman" w:hAnsi="Times New Roman" w:cs="Times New Roman"/>
                      <w:color w:val="auto"/>
                      <w:spacing w:val="4"/>
                      <w:sz w:val="21"/>
                      <w:szCs w:val="21"/>
                      <w:lang w:eastAsia="zh-CN"/>
                    </w:rPr>
                    <w:t>（</w:t>
                  </w:r>
                  <w:r>
                    <w:rPr>
                      <w:rFonts w:hint="default" w:ascii="Times New Roman" w:hAnsi="Times New Roman" w:cs="Times New Roman"/>
                      <w:color w:val="auto"/>
                      <w:spacing w:val="4"/>
                      <w:sz w:val="21"/>
                      <w:szCs w:val="21"/>
                    </w:rPr>
                    <w:t>℃</w:t>
                  </w:r>
                  <w:r>
                    <w:rPr>
                      <w:rFonts w:hint="eastAsia" w:ascii="Times New Roman" w:hAnsi="Times New Roman" w:cs="Times New Roman"/>
                      <w:color w:val="auto"/>
                      <w:spacing w:val="4"/>
                      <w:sz w:val="21"/>
                      <w:szCs w:val="21"/>
                      <w:lang w:eastAsia="zh-CN"/>
                    </w:rPr>
                    <w:t>）</w:t>
                  </w:r>
                </w:p>
              </w:tc>
              <w:tc>
                <w:tcPr>
                  <w:tcW w:w="1088" w:type="pct"/>
                  <w:gridSpan w:val="3"/>
                  <w:vAlign w:val="center"/>
                </w:tcPr>
                <w:p w14:paraId="1078CC4F">
                  <w:pPr>
                    <w:pStyle w:val="9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pacing w:val="-2"/>
                      <w:sz w:val="21"/>
                      <w:szCs w:val="21"/>
                      <w:lang w:val="en-US" w:eastAsia="zh-CN"/>
                    </w:rPr>
                    <w:t>29</w:t>
                  </w:r>
                </w:p>
              </w:tc>
              <w:tc>
                <w:tcPr>
                  <w:tcW w:w="1110" w:type="pct"/>
                  <w:gridSpan w:val="7"/>
                  <w:vAlign w:val="center"/>
                </w:tcPr>
                <w:p w14:paraId="1070DD3E">
                  <w:pPr>
                    <w:pStyle w:val="9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pacing w:val="-2"/>
                      <w:sz w:val="21"/>
                      <w:szCs w:val="21"/>
                      <w:lang w:val="en-US" w:eastAsia="zh-CN"/>
                    </w:rPr>
                    <w:t>30</w:t>
                  </w:r>
                </w:p>
              </w:tc>
              <w:tc>
                <w:tcPr>
                  <w:tcW w:w="1031" w:type="pct"/>
                  <w:gridSpan w:val="4"/>
                  <w:vAlign w:val="center"/>
                </w:tcPr>
                <w:p w14:paraId="570E5CEB">
                  <w:pPr>
                    <w:pStyle w:val="9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pacing w:val="-2"/>
                      <w:sz w:val="21"/>
                      <w:szCs w:val="21"/>
                      <w:lang w:val="en-US" w:eastAsia="zh-CN"/>
                    </w:rPr>
                    <w:t>32</w:t>
                  </w:r>
                </w:p>
              </w:tc>
            </w:tr>
            <w:tr w14:paraId="4126A01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769" w:type="pct"/>
                  <w:gridSpan w:val="3"/>
                  <w:vAlign w:val="center"/>
                </w:tcPr>
                <w:p w14:paraId="0697AAF0">
                  <w:pPr>
                    <w:pStyle w:val="9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eastAsia="宋体" w:cs="Times New Roman"/>
                      <w:color w:val="auto"/>
                      <w:sz w:val="21"/>
                      <w:szCs w:val="21"/>
                      <w:lang w:eastAsia="zh-CN"/>
                    </w:rPr>
                  </w:pPr>
                  <w:r>
                    <w:rPr>
                      <w:rFonts w:hint="default" w:ascii="Times New Roman" w:hAnsi="Times New Roman" w:cs="Times New Roman"/>
                      <w:color w:val="auto"/>
                      <w:spacing w:val="11"/>
                      <w:sz w:val="21"/>
                      <w:szCs w:val="21"/>
                    </w:rPr>
                    <w:t>标干流量</w:t>
                  </w:r>
                  <w:r>
                    <w:rPr>
                      <w:rFonts w:hint="eastAsia" w:ascii="Times New Roman" w:hAnsi="Times New Roman" w:cs="Times New Roman"/>
                      <w:color w:val="auto"/>
                      <w:spacing w:val="11"/>
                      <w:sz w:val="21"/>
                      <w:szCs w:val="21"/>
                      <w:lang w:eastAsia="zh-CN"/>
                    </w:rPr>
                    <w:t>（</w:t>
                  </w:r>
                  <w:r>
                    <w:rPr>
                      <w:rFonts w:hint="default" w:ascii="Times New Roman" w:hAnsi="Times New Roman" w:cs="Times New Roman"/>
                      <w:color w:val="auto"/>
                      <w:sz w:val="21"/>
                      <w:szCs w:val="21"/>
                    </w:rPr>
                    <w:t>Nm</w:t>
                  </w:r>
                  <w:r>
                    <w:rPr>
                      <w:rFonts w:hint="default" w:ascii="Times New Roman" w:hAnsi="Times New Roman" w:cs="Times New Roman"/>
                      <w:color w:val="auto"/>
                      <w:spacing w:val="11"/>
                      <w:sz w:val="21"/>
                      <w:szCs w:val="21"/>
                    </w:rPr>
                    <w:t>³/h</w:t>
                  </w:r>
                  <w:r>
                    <w:rPr>
                      <w:rFonts w:hint="eastAsia" w:ascii="Times New Roman" w:hAnsi="Times New Roman" w:cs="Times New Roman"/>
                      <w:color w:val="auto"/>
                      <w:spacing w:val="11"/>
                      <w:sz w:val="21"/>
                      <w:szCs w:val="21"/>
                      <w:lang w:eastAsia="zh-CN"/>
                    </w:rPr>
                    <w:t>）</w:t>
                  </w:r>
                </w:p>
              </w:tc>
              <w:tc>
                <w:tcPr>
                  <w:tcW w:w="1088" w:type="pct"/>
                  <w:gridSpan w:val="3"/>
                  <w:vAlign w:val="center"/>
                </w:tcPr>
                <w:p w14:paraId="286B70F0">
                  <w:pPr>
                    <w:pStyle w:val="9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pacing w:val="-4"/>
                      <w:sz w:val="21"/>
                      <w:szCs w:val="21"/>
                      <w:lang w:val="en-US" w:eastAsia="zh-CN"/>
                    </w:rPr>
                    <w:t>1355</w:t>
                  </w:r>
                </w:p>
              </w:tc>
              <w:tc>
                <w:tcPr>
                  <w:tcW w:w="1110" w:type="pct"/>
                  <w:gridSpan w:val="7"/>
                  <w:vAlign w:val="center"/>
                </w:tcPr>
                <w:p w14:paraId="706DDA9B">
                  <w:pPr>
                    <w:pStyle w:val="9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pacing w:val="-4"/>
                      <w:sz w:val="21"/>
                      <w:szCs w:val="21"/>
                      <w:lang w:val="en-US" w:eastAsia="zh-CN"/>
                    </w:rPr>
                    <w:t>1436</w:t>
                  </w:r>
                </w:p>
              </w:tc>
              <w:tc>
                <w:tcPr>
                  <w:tcW w:w="1031" w:type="pct"/>
                  <w:gridSpan w:val="4"/>
                  <w:vAlign w:val="center"/>
                </w:tcPr>
                <w:p w14:paraId="23007D30">
                  <w:pPr>
                    <w:pStyle w:val="9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pacing w:val="-4"/>
                      <w:sz w:val="21"/>
                      <w:szCs w:val="21"/>
                      <w:lang w:val="en-US" w:eastAsia="zh-CN"/>
                    </w:rPr>
                    <w:t>1507</w:t>
                  </w:r>
                </w:p>
              </w:tc>
            </w:tr>
            <w:tr w14:paraId="171BFA9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593" w:type="pct"/>
                  <w:vMerge w:val="restart"/>
                  <w:tcBorders>
                    <w:bottom w:val="nil"/>
                  </w:tcBorders>
                  <w:vAlign w:val="center"/>
                </w:tcPr>
                <w:p w14:paraId="42857E5A">
                  <w:pPr>
                    <w:pStyle w:val="9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eastAsia="宋体" w:cs="Times New Roman"/>
                      <w:color w:val="auto"/>
                      <w:sz w:val="21"/>
                      <w:szCs w:val="21"/>
                      <w:lang w:eastAsia="zh-CN"/>
                    </w:rPr>
                  </w:pPr>
                  <w:r>
                    <w:rPr>
                      <w:rFonts w:hint="eastAsia" w:ascii="Times New Roman" w:hAnsi="Times New Roman" w:cs="Times New Roman"/>
                      <w:color w:val="auto"/>
                      <w:spacing w:val="-1"/>
                      <w:sz w:val="21"/>
                      <w:szCs w:val="21"/>
                      <w:lang w:eastAsia="zh-CN"/>
                    </w:rPr>
                    <w:t>VOCs（以非甲烷总烃计）</w:t>
                  </w:r>
                </w:p>
              </w:tc>
              <w:tc>
                <w:tcPr>
                  <w:tcW w:w="1175" w:type="pct"/>
                  <w:gridSpan w:val="2"/>
                  <w:vAlign w:val="center"/>
                </w:tcPr>
                <w:p w14:paraId="2788E15E">
                  <w:pPr>
                    <w:pStyle w:val="9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样品编号</w:t>
                  </w:r>
                </w:p>
              </w:tc>
              <w:tc>
                <w:tcPr>
                  <w:tcW w:w="1838" w:type="dxa"/>
                  <w:gridSpan w:val="3"/>
                  <w:vAlign w:val="top"/>
                </w:tcPr>
                <w:p w14:paraId="3B89C9D6">
                  <w:pPr>
                    <w:pStyle w:val="9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color w:val="auto"/>
                      <w:spacing w:val="-4"/>
                      <w:sz w:val="21"/>
                      <w:szCs w:val="21"/>
                      <w:lang w:val="en-US" w:eastAsia="zh-CN"/>
                    </w:rPr>
                  </w:pPr>
                  <w:r>
                    <w:rPr>
                      <w:rFonts w:hint="eastAsia" w:ascii="Times New Roman" w:hAnsi="Times New Roman" w:cs="Times New Roman"/>
                      <w:color w:val="auto"/>
                      <w:spacing w:val="-4"/>
                      <w:sz w:val="21"/>
                      <w:szCs w:val="21"/>
                      <w:lang w:val="en-US" w:eastAsia="zh-CN"/>
                    </w:rPr>
                    <w:t>2506101Y004</w:t>
                  </w:r>
                </w:p>
              </w:tc>
              <w:tc>
                <w:tcPr>
                  <w:tcW w:w="1874" w:type="dxa"/>
                  <w:gridSpan w:val="7"/>
                  <w:vAlign w:val="top"/>
                </w:tcPr>
                <w:p w14:paraId="2398C573">
                  <w:pPr>
                    <w:pStyle w:val="9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color w:val="auto"/>
                      <w:spacing w:val="-4"/>
                      <w:sz w:val="21"/>
                      <w:szCs w:val="21"/>
                      <w:lang w:val="en-US" w:eastAsia="zh-CN"/>
                    </w:rPr>
                  </w:pPr>
                  <w:r>
                    <w:rPr>
                      <w:rFonts w:hint="eastAsia" w:ascii="Times New Roman" w:hAnsi="Times New Roman" w:cs="Times New Roman"/>
                      <w:color w:val="auto"/>
                      <w:spacing w:val="-4"/>
                      <w:sz w:val="21"/>
                      <w:szCs w:val="21"/>
                      <w:lang w:val="en-US" w:eastAsia="zh-CN"/>
                    </w:rPr>
                    <w:t>2506101Y005</w:t>
                  </w:r>
                </w:p>
              </w:tc>
              <w:tc>
                <w:tcPr>
                  <w:tcW w:w="1743" w:type="dxa"/>
                  <w:gridSpan w:val="4"/>
                  <w:vAlign w:val="top"/>
                </w:tcPr>
                <w:p w14:paraId="4987129A">
                  <w:pPr>
                    <w:pStyle w:val="9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color w:val="auto"/>
                      <w:spacing w:val="-4"/>
                      <w:sz w:val="21"/>
                      <w:szCs w:val="21"/>
                      <w:lang w:val="en-US" w:eastAsia="zh-CN"/>
                    </w:rPr>
                  </w:pPr>
                  <w:r>
                    <w:rPr>
                      <w:rFonts w:hint="eastAsia" w:ascii="Times New Roman" w:hAnsi="Times New Roman" w:cs="Times New Roman"/>
                      <w:color w:val="auto"/>
                      <w:spacing w:val="-4"/>
                      <w:sz w:val="21"/>
                      <w:szCs w:val="21"/>
                      <w:lang w:val="en-US" w:eastAsia="zh-CN"/>
                    </w:rPr>
                    <w:t>2506101Y006</w:t>
                  </w:r>
                </w:p>
              </w:tc>
            </w:tr>
            <w:tr w14:paraId="0C0813D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593" w:type="pct"/>
                  <w:vMerge w:val="continue"/>
                  <w:tcBorders>
                    <w:top w:val="nil"/>
                    <w:bottom w:val="nil"/>
                  </w:tcBorders>
                  <w:vAlign w:val="center"/>
                </w:tcPr>
                <w:p w14:paraId="5D91CF4C">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color w:val="auto"/>
                      <w:sz w:val="21"/>
                      <w:szCs w:val="21"/>
                    </w:rPr>
                  </w:pPr>
                </w:p>
              </w:tc>
              <w:tc>
                <w:tcPr>
                  <w:tcW w:w="1175" w:type="pct"/>
                  <w:gridSpan w:val="2"/>
                  <w:vAlign w:val="center"/>
                </w:tcPr>
                <w:p w14:paraId="2ACB0B2C">
                  <w:pPr>
                    <w:pStyle w:val="9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eastAsia="宋体" w:cs="Times New Roman"/>
                      <w:color w:val="auto"/>
                      <w:sz w:val="21"/>
                      <w:szCs w:val="21"/>
                      <w:lang w:eastAsia="zh-CN"/>
                    </w:rPr>
                  </w:pPr>
                  <w:r>
                    <w:rPr>
                      <w:rFonts w:hint="default" w:ascii="Times New Roman" w:hAnsi="Times New Roman" w:cs="Times New Roman"/>
                      <w:color w:val="auto"/>
                      <w:spacing w:val="11"/>
                      <w:sz w:val="21"/>
                      <w:szCs w:val="21"/>
                    </w:rPr>
                    <w:t>实测浓度</w:t>
                  </w:r>
                  <w:r>
                    <w:rPr>
                      <w:rFonts w:hint="eastAsia" w:ascii="Times New Roman" w:hAnsi="Times New Roman" w:cs="Times New Roman"/>
                      <w:color w:val="auto"/>
                      <w:spacing w:val="11"/>
                      <w:sz w:val="21"/>
                      <w:szCs w:val="21"/>
                      <w:lang w:eastAsia="zh-CN"/>
                    </w:rPr>
                    <w:t>（</w:t>
                  </w:r>
                  <w:r>
                    <w:rPr>
                      <w:rFonts w:hint="default" w:ascii="Times New Roman" w:hAnsi="Times New Roman" w:cs="Times New Roman"/>
                      <w:color w:val="auto"/>
                      <w:sz w:val="21"/>
                      <w:szCs w:val="21"/>
                    </w:rPr>
                    <w:t>mg</w:t>
                  </w:r>
                  <w:r>
                    <w:rPr>
                      <w:rFonts w:hint="default" w:ascii="Times New Roman" w:hAnsi="Times New Roman" w:cs="Times New Roman"/>
                      <w:color w:val="auto"/>
                      <w:spacing w:val="11"/>
                      <w:sz w:val="21"/>
                      <w:szCs w:val="21"/>
                    </w:rPr>
                    <w:t>/m³</w:t>
                  </w:r>
                  <w:r>
                    <w:rPr>
                      <w:rFonts w:hint="eastAsia" w:ascii="Times New Roman" w:hAnsi="Times New Roman" w:cs="Times New Roman"/>
                      <w:color w:val="auto"/>
                      <w:spacing w:val="11"/>
                      <w:sz w:val="21"/>
                      <w:szCs w:val="21"/>
                      <w:lang w:eastAsia="zh-CN"/>
                    </w:rPr>
                    <w:t>）</w:t>
                  </w:r>
                </w:p>
              </w:tc>
              <w:tc>
                <w:tcPr>
                  <w:tcW w:w="1838" w:type="dxa"/>
                  <w:gridSpan w:val="3"/>
                  <w:vAlign w:val="top"/>
                </w:tcPr>
                <w:p w14:paraId="1091888A">
                  <w:pPr>
                    <w:pStyle w:val="9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color w:val="auto"/>
                      <w:spacing w:val="-4"/>
                      <w:sz w:val="21"/>
                      <w:szCs w:val="21"/>
                      <w:lang w:val="en-US" w:eastAsia="zh-CN"/>
                    </w:rPr>
                  </w:pPr>
                  <w:r>
                    <w:rPr>
                      <w:rFonts w:hint="eastAsia" w:ascii="Times New Roman" w:hAnsi="Times New Roman" w:cs="Times New Roman"/>
                      <w:color w:val="auto"/>
                      <w:spacing w:val="-4"/>
                      <w:sz w:val="21"/>
                      <w:szCs w:val="21"/>
                      <w:lang w:val="en-US" w:eastAsia="zh-CN"/>
                    </w:rPr>
                    <w:t>4.24</w:t>
                  </w:r>
                </w:p>
              </w:tc>
              <w:tc>
                <w:tcPr>
                  <w:tcW w:w="1874" w:type="dxa"/>
                  <w:gridSpan w:val="7"/>
                  <w:vAlign w:val="top"/>
                </w:tcPr>
                <w:p w14:paraId="74F8870F">
                  <w:pPr>
                    <w:pStyle w:val="9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color w:val="auto"/>
                      <w:spacing w:val="-4"/>
                      <w:sz w:val="21"/>
                      <w:szCs w:val="21"/>
                      <w:lang w:val="en-US" w:eastAsia="zh-CN"/>
                    </w:rPr>
                  </w:pPr>
                  <w:r>
                    <w:rPr>
                      <w:rFonts w:hint="eastAsia" w:ascii="Times New Roman" w:hAnsi="Times New Roman" w:cs="Times New Roman"/>
                      <w:color w:val="auto"/>
                      <w:spacing w:val="-4"/>
                      <w:sz w:val="21"/>
                      <w:szCs w:val="21"/>
                      <w:lang w:val="en-US" w:eastAsia="zh-CN"/>
                    </w:rPr>
                    <w:t>4.11</w:t>
                  </w:r>
                </w:p>
              </w:tc>
              <w:tc>
                <w:tcPr>
                  <w:tcW w:w="1743" w:type="dxa"/>
                  <w:gridSpan w:val="4"/>
                  <w:vAlign w:val="top"/>
                </w:tcPr>
                <w:p w14:paraId="42B4B51F">
                  <w:pPr>
                    <w:pStyle w:val="9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color w:val="auto"/>
                      <w:spacing w:val="-4"/>
                      <w:sz w:val="21"/>
                      <w:szCs w:val="21"/>
                      <w:lang w:val="en-US" w:eastAsia="zh-CN"/>
                    </w:rPr>
                  </w:pPr>
                  <w:r>
                    <w:rPr>
                      <w:rFonts w:hint="eastAsia" w:ascii="Times New Roman" w:hAnsi="Times New Roman" w:cs="Times New Roman"/>
                      <w:color w:val="auto"/>
                      <w:spacing w:val="-4"/>
                      <w:sz w:val="21"/>
                      <w:szCs w:val="21"/>
                      <w:lang w:val="en-US" w:eastAsia="zh-CN"/>
                    </w:rPr>
                    <w:t>4.10</w:t>
                  </w:r>
                </w:p>
              </w:tc>
            </w:tr>
            <w:tr w14:paraId="4138549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593" w:type="pct"/>
                  <w:vMerge w:val="continue"/>
                  <w:tcBorders>
                    <w:top w:val="nil"/>
                  </w:tcBorders>
                  <w:vAlign w:val="center"/>
                </w:tcPr>
                <w:p w14:paraId="7AB14F43">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color w:val="auto"/>
                      <w:sz w:val="21"/>
                      <w:szCs w:val="21"/>
                    </w:rPr>
                  </w:pPr>
                </w:p>
              </w:tc>
              <w:tc>
                <w:tcPr>
                  <w:tcW w:w="1175" w:type="pct"/>
                  <w:gridSpan w:val="2"/>
                  <w:vAlign w:val="center"/>
                </w:tcPr>
                <w:p w14:paraId="41B67EF0">
                  <w:pPr>
                    <w:pStyle w:val="9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eastAsia="宋体" w:cs="Times New Roman"/>
                      <w:color w:val="auto"/>
                      <w:sz w:val="21"/>
                      <w:szCs w:val="21"/>
                      <w:lang w:eastAsia="zh-CN"/>
                    </w:rPr>
                  </w:pPr>
                  <w:r>
                    <w:rPr>
                      <w:rFonts w:hint="default" w:ascii="Times New Roman" w:hAnsi="Times New Roman" w:cs="Times New Roman"/>
                      <w:color w:val="auto"/>
                      <w:spacing w:val="4"/>
                      <w:sz w:val="21"/>
                      <w:szCs w:val="21"/>
                    </w:rPr>
                    <w:t>排放速率</w:t>
                  </w:r>
                  <w:r>
                    <w:rPr>
                      <w:rFonts w:hint="eastAsia" w:ascii="Times New Roman" w:hAnsi="Times New Roman" w:cs="Times New Roman"/>
                      <w:color w:val="auto"/>
                      <w:spacing w:val="4"/>
                      <w:sz w:val="21"/>
                      <w:szCs w:val="21"/>
                      <w:lang w:eastAsia="zh-CN"/>
                    </w:rPr>
                    <w:t>（</w:t>
                  </w:r>
                  <w:r>
                    <w:rPr>
                      <w:rFonts w:hint="default" w:ascii="Times New Roman" w:hAnsi="Times New Roman" w:cs="Times New Roman"/>
                      <w:color w:val="auto"/>
                      <w:sz w:val="21"/>
                      <w:szCs w:val="21"/>
                    </w:rPr>
                    <w:t>kg</w:t>
                  </w:r>
                  <w:r>
                    <w:rPr>
                      <w:rFonts w:hint="default" w:ascii="Times New Roman" w:hAnsi="Times New Roman" w:cs="Times New Roman"/>
                      <w:color w:val="auto"/>
                      <w:spacing w:val="4"/>
                      <w:sz w:val="21"/>
                      <w:szCs w:val="21"/>
                    </w:rPr>
                    <w:t>/h</w:t>
                  </w:r>
                  <w:r>
                    <w:rPr>
                      <w:rFonts w:hint="eastAsia" w:ascii="Times New Roman" w:hAnsi="Times New Roman" w:cs="Times New Roman"/>
                      <w:color w:val="auto"/>
                      <w:spacing w:val="4"/>
                      <w:sz w:val="21"/>
                      <w:szCs w:val="21"/>
                      <w:lang w:eastAsia="zh-CN"/>
                    </w:rPr>
                    <w:t>）</w:t>
                  </w:r>
                </w:p>
              </w:tc>
              <w:tc>
                <w:tcPr>
                  <w:tcW w:w="1838" w:type="dxa"/>
                  <w:gridSpan w:val="3"/>
                  <w:vAlign w:val="top"/>
                </w:tcPr>
                <w:p w14:paraId="12C0A38E">
                  <w:pPr>
                    <w:pStyle w:val="9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color w:val="auto"/>
                      <w:spacing w:val="-4"/>
                      <w:sz w:val="21"/>
                      <w:szCs w:val="21"/>
                      <w:lang w:val="en-US" w:eastAsia="zh-CN"/>
                    </w:rPr>
                  </w:pPr>
                  <w:r>
                    <w:rPr>
                      <w:rFonts w:hint="eastAsia" w:ascii="Times New Roman" w:hAnsi="Times New Roman" w:cs="Times New Roman"/>
                      <w:color w:val="auto"/>
                      <w:spacing w:val="-4"/>
                      <w:sz w:val="21"/>
                      <w:szCs w:val="21"/>
                      <w:lang w:val="en-US" w:eastAsia="zh-CN"/>
                    </w:rPr>
                    <w:t>5.75×10</w:t>
                  </w:r>
                  <w:r>
                    <w:rPr>
                      <w:rFonts w:hint="eastAsia" w:ascii="Times New Roman" w:hAnsi="Times New Roman" w:cs="Times New Roman"/>
                      <w:color w:val="auto"/>
                      <w:spacing w:val="-4"/>
                      <w:sz w:val="21"/>
                      <w:szCs w:val="21"/>
                      <w:vertAlign w:val="superscript"/>
                      <w:lang w:val="en-US" w:eastAsia="zh-CN"/>
                    </w:rPr>
                    <w:t>-3</w:t>
                  </w:r>
                </w:p>
              </w:tc>
              <w:tc>
                <w:tcPr>
                  <w:tcW w:w="1874" w:type="dxa"/>
                  <w:gridSpan w:val="7"/>
                  <w:vAlign w:val="top"/>
                </w:tcPr>
                <w:p w14:paraId="3421D2BB">
                  <w:pPr>
                    <w:pStyle w:val="9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color w:val="auto"/>
                      <w:spacing w:val="-4"/>
                      <w:sz w:val="21"/>
                      <w:szCs w:val="21"/>
                      <w:lang w:val="en-US" w:eastAsia="zh-CN"/>
                    </w:rPr>
                  </w:pPr>
                  <w:r>
                    <w:rPr>
                      <w:rFonts w:hint="eastAsia" w:ascii="Times New Roman" w:hAnsi="Times New Roman" w:cs="Times New Roman"/>
                      <w:color w:val="auto"/>
                      <w:spacing w:val="-4"/>
                      <w:sz w:val="21"/>
                      <w:szCs w:val="21"/>
                      <w:lang w:val="en-US" w:eastAsia="zh-CN"/>
                    </w:rPr>
                    <w:t>5.90×10</w:t>
                  </w:r>
                  <w:r>
                    <w:rPr>
                      <w:rFonts w:hint="eastAsia" w:ascii="Times New Roman" w:hAnsi="Times New Roman" w:cs="Times New Roman"/>
                      <w:color w:val="auto"/>
                      <w:spacing w:val="-4"/>
                      <w:sz w:val="21"/>
                      <w:szCs w:val="21"/>
                      <w:vertAlign w:val="superscript"/>
                      <w:lang w:val="en-US" w:eastAsia="zh-CN"/>
                    </w:rPr>
                    <w:t>-3</w:t>
                  </w:r>
                </w:p>
              </w:tc>
              <w:tc>
                <w:tcPr>
                  <w:tcW w:w="1743" w:type="dxa"/>
                  <w:gridSpan w:val="4"/>
                  <w:vAlign w:val="top"/>
                </w:tcPr>
                <w:p w14:paraId="04AB9794">
                  <w:pPr>
                    <w:pStyle w:val="9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color w:val="auto"/>
                      <w:spacing w:val="-4"/>
                      <w:sz w:val="21"/>
                      <w:szCs w:val="21"/>
                      <w:lang w:val="en-US" w:eastAsia="zh-CN"/>
                    </w:rPr>
                  </w:pPr>
                  <w:r>
                    <w:rPr>
                      <w:rFonts w:hint="eastAsia" w:ascii="Times New Roman" w:hAnsi="Times New Roman" w:cs="Times New Roman"/>
                      <w:color w:val="auto"/>
                      <w:spacing w:val="-4"/>
                      <w:sz w:val="21"/>
                      <w:szCs w:val="21"/>
                      <w:lang w:val="en-US" w:eastAsia="zh-CN"/>
                    </w:rPr>
                    <w:t>6.18×10</w:t>
                  </w:r>
                  <w:r>
                    <w:rPr>
                      <w:rFonts w:hint="eastAsia" w:ascii="Times New Roman" w:hAnsi="Times New Roman" w:cs="Times New Roman"/>
                      <w:color w:val="auto"/>
                      <w:spacing w:val="-4"/>
                      <w:sz w:val="21"/>
                      <w:szCs w:val="21"/>
                      <w:vertAlign w:val="superscript"/>
                      <w:lang w:val="en-US" w:eastAsia="zh-CN"/>
                    </w:rPr>
                    <w:t>-3</w:t>
                  </w:r>
                </w:p>
              </w:tc>
            </w:tr>
            <w:tr w14:paraId="118D80E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769" w:type="pct"/>
                  <w:gridSpan w:val="3"/>
                  <w:vAlign w:val="center"/>
                </w:tcPr>
                <w:p w14:paraId="096CEA02">
                  <w:pPr>
                    <w:pStyle w:val="9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2"/>
                      <w:sz w:val="21"/>
                      <w:szCs w:val="21"/>
                    </w:rPr>
                    <w:t>备注</w:t>
                  </w:r>
                </w:p>
              </w:tc>
              <w:tc>
                <w:tcPr>
                  <w:tcW w:w="3230" w:type="pct"/>
                  <w:gridSpan w:val="14"/>
                  <w:vAlign w:val="center"/>
                </w:tcPr>
                <w:p w14:paraId="136A7DA8">
                  <w:pPr>
                    <w:pStyle w:val="9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bl>
          <w:p w14:paraId="6E1CB765">
            <w:pPr>
              <w:keepNext w:val="0"/>
              <w:keepLines w:val="0"/>
              <w:pageBreakBefore w:val="0"/>
              <w:widowControl w:val="0"/>
              <w:numPr>
                <w:ilvl w:val="0"/>
                <w:numId w:val="14"/>
              </w:numPr>
              <w:kinsoku/>
              <w:wordWrap/>
              <w:overflowPunct/>
              <w:topLinePunct w:val="0"/>
              <w:autoSpaceDE w:val="0"/>
              <w:autoSpaceDN w:val="0"/>
              <w:bidi w:val="0"/>
              <w:adjustRightInd w:val="0"/>
              <w:snapToGrid/>
              <w:spacing w:line="360" w:lineRule="auto"/>
              <w:ind w:left="0" w:leftChars="0" w:firstLine="0" w:firstLineChars="0"/>
              <w:jc w:val="center"/>
              <w:textAlignment w:val="auto"/>
              <w:rPr>
                <w:rFonts w:hint="default" w:cs="Times New Roman"/>
                <w:b/>
                <w:bCs/>
                <w:color w:val="auto"/>
                <w:kern w:val="0"/>
                <w:sz w:val="24"/>
                <w:szCs w:val="24"/>
                <w:lang w:val="en-US" w:eastAsia="zh-CN" w:bidi="ar"/>
              </w:rPr>
            </w:pPr>
            <w:r>
              <w:rPr>
                <w:rFonts w:hint="default" w:cs="Times New Roman"/>
                <w:b/>
                <w:bCs/>
                <w:color w:val="auto"/>
                <w:kern w:val="0"/>
                <w:sz w:val="24"/>
                <w:szCs w:val="24"/>
                <w:lang w:val="en-US" w:eastAsia="zh-CN" w:bidi="ar"/>
              </w:rPr>
              <w:t>DA001有机废气排放口检测结果表</w:t>
            </w:r>
            <w:r>
              <w:rPr>
                <w:rFonts w:hint="eastAsia"/>
                <w:lang w:eastAsia="zh-CN"/>
              </w:rPr>
              <w:t>（</w:t>
            </w:r>
            <w:r>
              <w:rPr>
                <w:rFonts w:hint="eastAsia"/>
                <w:lang w:val="en-US" w:eastAsia="zh-CN"/>
              </w:rPr>
              <w:t>二</w:t>
            </w:r>
            <w:r>
              <w:rPr>
                <w:rFonts w:hint="eastAsia"/>
                <w:lang w:eastAsia="zh-CN"/>
              </w:rPr>
              <w:t>）</w:t>
            </w:r>
          </w:p>
          <w:tbl>
            <w:tblPr>
              <w:tblStyle w:val="89"/>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002"/>
              <w:gridCol w:w="527"/>
              <w:gridCol w:w="1459"/>
              <w:gridCol w:w="181"/>
              <w:gridCol w:w="846"/>
              <w:gridCol w:w="811"/>
              <w:gridCol w:w="10"/>
              <w:gridCol w:w="725"/>
              <w:gridCol w:w="79"/>
              <w:gridCol w:w="339"/>
              <w:gridCol w:w="304"/>
              <w:gridCol w:w="196"/>
              <w:gridCol w:w="221"/>
              <w:gridCol w:w="453"/>
              <w:gridCol w:w="270"/>
              <w:gridCol w:w="709"/>
              <w:gridCol w:w="311"/>
            </w:tblGrid>
            <w:tr w14:paraId="729D305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jc w:val="center"/>
              </w:trPr>
              <w:tc>
                <w:tcPr>
                  <w:tcW w:w="1876" w:type="pct"/>
                  <w:gridSpan w:val="4"/>
                  <w:vAlign w:val="center"/>
                </w:tcPr>
                <w:p w14:paraId="3367E20F">
                  <w:pPr>
                    <w:keepNext w:val="0"/>
                    <w:keepLines w:val="0"/>
                    <w:pageBreakBefore w:val="0"/>
                    <w:widowControl w:val="0"/>
                    <w:kinsoku/>
                    <w:wordWrap/>
                    <w:overflowPunct/>
                    <w:topLinePunct w:val="0"/>
                    <w:autoSpaceDE/>
                    <w:autoSpaceDN/>
                    <w:bidi w:val="0"/>
                    <w:adjustRightInd/>
                    <w:snapToGrid/>
                    <w:jc w:val="center"/>
                    <w:textAlignment w:val="auto"/>
                    <w:rPr>
                      <w:color w:val="auto"/>
                    </w:rPr>
                  </w:pPr>
                  <w:r>
                    <w:rPr>
                      <w:color w:val="auto"/>
                    </w:rPr>
                    <w:t>采样点位</w:t>
                  </w:r>
                </w:p>
              </w:tc>
              <w:tc>
                <w:tcPr>
                  <w:tcW w:w="3122" w:type="pct"/>
                  <w:gridSpan w:val="13"/>
                  <w:vAlign w:val="center"/>
                </w:tcPr>
                <w:p w14:paraId="4761B7F7">
                  <w:pPr>
                    <w:keepNext w:val="0"/>
                    <w:keepLines w:val="0"/>
                    <w:pageBreakBefore w:val="0"/>
                    <w:widowControl w:val="0"/>
                    <w:kinsoku/>
                    <w:wordWrap/>
                    <w:overflowPunct/>
                    <w:topLinePunct w:val="0"/>
                    <w:autoSpaceDE/>
                    <w:autoSpaceDN/>
                    <w:bidi w:val="0"/>
                    <w:adjustRightInd/>
                    <w:snapToGrid/>
                    <w:jc w:val="center"/>
                    <w:textAlignment w:val="auto"/>
                    <w:rPr>
                      <w:color w:val="auto"/>
                    </w:rPr>
                  </w:pPr>
                  <w:r>
                    <w:rPr>
                      <w:color w:val="auto"/>
                    </w:rPr>
                    <w:t>DA001有机废气进口</w:t>
                  </w:r>
                </w:p>
              </w:tc>
            </w:tr>
            <w:tr w14:paraId="32D37DD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jc w:val="center"/>
              </w:trPr>
              <w:tc>
                <w:tcPr>
                  <w:tcW w:w="1876" w:type="pct"/>
                  <w:gridSpan w:val="4"/>
                  <w:vAlign w:val="center"/>
                </w:tcPr>
                <w:p w14:paraId="1837A9CB">
                  <w:pPr>
                    <w:keepNext w:val="0"/>
                    <w:keepLines w:val="0"/>
                    <w:pageBreakBefore w:val="0"/>
                    <w:widowControl w:val="0"/>
                    <w:kinsoku/>
                    <w:wordWrap/>
                    <w:overflowPunct/>
                    <w:topLinePunct w:val="0"/>
                    <w:autoSpaceDE/>
                    <w:autoSpaceDN/>
                    <w:bidi w:val="0"/>
                    <w:adjustRightInd/>
                    <w:snapToGrid/>
                    <w:jc w:val="center"/>
                    <w:textAlignment w:val="auto"/>
                    <w:rPr>
                      <w:color w:val="auto"/>
                    </w:rPr>
                  </w:pPr>
                  <w:r>
                    <w:rPr>
                      <w:color w:val="auto"/>
                    </w:rPr>
                    <w:t>测点截面积(m²)</w:t>
                  </w:r>
                </w:p>
              </w:tc>
              <w:tc>
                <w:tcPr>
                  <w:tcW w:w="987" w:type="pct"/>
                  <w:gridSpan w:val="3"/>
                  <w:vAlign w:val="center"/>
                </w:tcPr>
                <w:p w14:paraId="2246DC2E">
                  <w:pPr>
                    <w:keepNext w:val="0"/>
                    <w:keepLines w:val="0"/>
                    <w:pageBreakBefore w:val="0"/>
                    <w:widowControl w:val="0"/>
                    <w:kinsoku/>
                    <w:wordWrap/>
                    <w:overflowPunct/>
                    <w:topLinePunct w:val="0"/>
                    <w:autoSpaceDE/>
                    <w:autoSpaceDN/>
                    <w:bidi w:val="0"/>
                    <w:adjustRightInd/>
                    <w:snapToGrid/>
                    <w:jc w:val="center"/>
                    <w:textAlignment w:val="auto"/>
                    <w:rPr>
                      <w:color w:val="auto"/>
                    </w:rPr>
                  </w:pPr>
                  <w:r>
                    <w:rPr>
                      <w:color w:val="auto"/>
                    </w:rPr>
                    <w:t>0.0707</w:t>
                  </w:r>
                </w:p>
              </w:tc>
              <w:tc>
                <w:tcPr>
                  <w:tcW w:w="857" w:type="pct"/>
                  <w:gridSpan w:val="4"/>
                  <w:vAlign w:val="center"/>
                </w:tcPr>
                <w:p w14:paraId="542D337C">
                  <w:pPr>
                    <w:keepNext w:val="0"/>
                    <w:keepLines w:val="0"/>
                    <w:pageBreakBefore w:val="0"/>
                    <w:widowControl w:val="0"/>
                    <w:kinsoku/>
                    <w:wordWrap/>
                    <w:overflowPunct/>
                    <w:topLinePunct w:val="0"/>
                    <w:autoSpaceDE/>
                    <w:autoSpaceDN/>
                    <w:bidi w:val="0"/>
                    <w:adjustRightInd/>
                    <w:snapToGrid/>
                    <w:jc w:val="center"/>
                    <w:textAlignment w:val="auto"/>
                    <w:rPr>
                      <w:color w:val="auto"/>
                    </w:rPr>
                  </w:pPr>
                  <w:r>
                    <w:rPr>
                      <w:color w:val="auto"/>
                    </w:rPr>
                    <w:t>排气筒高度(m)</w:t>
                  </w:r>
                </w:p>
              </w:tc>
              <w:tc>
                <w:tcPr>
                  <w:tcW w:w="116" w:type="pct"/>
                  <w:vAlign w:val="center"/>
                </w:tcPr>
                <w:p w14:paraId="4D869C11">
                  <w:pPr>
                    <w:keepNext w:val="0"/>
                    <w:keepLines w:val="0"/>
                    <w:pageBreakBefore w:val="0"/>
                    <w:widowControl w:val="0"/>
                    <w:kinsoku/>
                    <w:wordWrap/>
                    <w:overflowPunct/>
                    <w:topLinePunct w:val="0"/>
                    <w:autoSpaceDE/>
                    <w:autoSpaceDN/>
                    <w:bidi w:val="0"/>
                    <w:adjustRightInd/>
                    <w:snapToGrid/>
                    <w:jc w:val="center"/>
                    <w:textAlignment w:val="auto"/>
                    <w:rPr>
                      <w:color w:val="auto"/>
                    </w:rPr>
                  </w:pPr>
                  <w:r>
                    <w:rPr>
                      <w:color w:val="auto"/>
                    </w:rPr>
                    <w:t>/</w:t>
                  </w:r>
                </w:p>
              </w:tc>
              <w:tc>
                <w:tcPr>
                  <w:tcW w:w="979" w:type="pct"/>
                  <w:gridSpan w:val="4"/>
                  <w:vAlign w:val="center"/>
                </w:tcPr>
                <w:p w14:paraId="50E5B797">
                  <w:pPr>
                    <w:keepNext w:val="0"/>
                    <w:keepLines w:val="0"/>
                    <w:pageBreakBefore w:val="0"/>
                    <w:widowControl w:val="0"/>
                    <w:kinsoku/>
                    <w:wordWrap/>
                    <w:overflowPunct/>
                    <w:topLinePunct w:val="0"/>
                    <w:autoSpaceDE/>
                    <w:autoSpaceDN/>
                    <w:bidi w:val="0"/>
                    <w:adjustRightInd/>
                    <w:snapToGrid/>
                    <w:jc w:val="center"/>
                    <w:textAlignment w:val="auto"/>
                    <w:rPr>
                      <w:color w:val="auto"/>
                    </w:rPr>
                  </w:pPr>
                  <w:r>
                    <w:rPr>
                      <w:color w:val="auto"/>
                    </w:rPr>
                    <w:t>废气治理措施</w:t>
                  </w:r>
                </w:p>
              </w:tc>
              <w:tc>
                <w:tcPr>
                  <w:tcW w:w="182" w:type="pct"/>
                  <w:vAlign w:val="center"/>
                </w:tcPr>
                <w:p w14:paraId="55DB0F75">
                  <w:pPr>
                    <w:keepNext w:val="0"/>
                    <w:keepLines w:val="0"/>
                    <w:pageBreakBefore w:val="0"/>
                    <w:widowControl w:val="0"/>
                    <w:kinsoku/>
                    <w:wordWrap/>
                    <w:overflowPunct/>
                    <w:topLinePunct w:val="0"/>
                    <w:autoSpaceDE/>
                    <w:autoSpaceDN/>
                    <w:bidi w:val="0"/>
                    <w:adjustRightInd/>
                    <w:snapToGrid/>
                    <w:jc w:val="center"/>
                    <w:textAlignment w:val="auto"/>
                    <w:rPr>
                      <w:color w:val="auto"/>
                    </w:rPr>
                  </w:pPr>
                  <w:r>
                    <w:rPr>
                      <w:color w:val="auto"/>
                    </w:rPr>
                    <w:t>/</w:t>
                  </w:r>
                </w:p>
              </w:tc>
            </w:tr>
            <w:tr w14:paraId="1678B80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jc w:val="center"/>
              </w:trPr>
              <w:tc>
                <w:tcPr>
                  <w:tcW w:w="1876" w:type="pct"/>
                  <w:gridSpan w:val="4"/>
                  <w:vAlign w:val="center"/>
                </w:tcPr>
                <w:p w14:paraId="1C96D366">
                  <w:pPr>
                    <w:keepNext w:val="0"/>
                    <w:keepLines w:val="0"/>
                    <w:pageBreakBefore w:val="0"/>
                    <w:widowControl w:val="0"/>
                    <w:kinsoku/>
                    <w:wordWrap/>
                    <w:overflowPunct/>
                    <w:topLinePunct w:val="0"/>
                    <w:autoSpaceDE/>
                    <w:autoSpaceDN/>
                    <w:bidi w:val="0"/>
                    <w:adjustRightInd/>
                    <w:snapToGrid/>
                    <w:jc w:val="center"/>
                    <w:textAlignment w:val="auto"/>
                    <w:rPr>
                      <w:color w:val="auto"/>
                    </w:rPr>
                  </w:pPr>
                  <w:r>
                    <w:rPr>
                      <w:color w:val="auto"/>
                    </w:rPr>
                    <w:t>采样时间</w:t>
                  </w:r>
                </w:p>
              </w:tc>
              <w:tc>
                <w:tcPr>
                  <w:tcW w:w="3122" w:type="pct"/>
                  <w:gridSpan w:val="13"/>
                  <w:vAlign w:val="center"/>
                </w:tcPr>
                <w:p w14:paraId="2EA5B97F">
                  <w:pPr>
                    <w:keepNext w:val="0"/>
                    <w:keepLines w:val="0"/>
                    <w:pageBreakBefore w:val="0"/>
                    <w:widowControl w:val="0"/>
                    <w:kinsoku/>
                    <w:wordWrap/>
                    <w:overflowPunct/>
                    <w:topLinePunct w:val="0"/>
                    <w:autoSpaceDE/>
                    <w:autoSpaceDN/>
                    <w:bidi w:val="0"/>
                    <w:adjustRightInd/>
                    <w:snapToGrid/>
                    <w:jc w:val="center"/>
                    <w:textAlignment w:val="auto"/>
                    <w:rPr>
                      <w:color w:val="auto"/>
                    </w:rPr>
                  </w:pPr>
                  <w:r>
                    <w:rPr>
                      <w:color w:val="auto"/>
                    </w:rPr>
                    <w:t>2025年</w:t>
                  </w:r>
                  <w:r>
                    <w:rPr>
                      <w:rFonts w:hint="eastAsia"/>
                      <w:color w:val="auto"/>
                      <w:lang w:val="en-US" w:eastAsia="zh-CN"/>
                    </w:rPr>
                    <w:t>12</w:t>
                  </w:r>
                  <w:r>
                    <w:rPr>
                      <w:color w:val="auto"/>
                    </w:rPr>
                    <w:t>月</w:t>
                  </w:r>
                  <w:r>
                    <w:rPr>
                      <w:rFonts w:hint="eastAsia"/>
                      <w:color w:val="auto"/>
                      <w:lang w:val="en-US" w:eastAsia="zh-CN"/>
                    </w:rPr>
                    <w:t>08</w:t>
                  </w:r>
                  <w:r>
                    <w:rPr>
                      <w:color w:val="auto"/>
                    </w:rPr>
                    <w:t>日</w:t>
                  </w:r>
                </w:p>
              </w:tc>
            </w:tr>
            <w:tr w14:paraId="04A6CC1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jc w:val="center"/>
              </w:trPr>
              <w:tc>
                <w:tcPr>
                  <w:tcW w:w="1876" w:type="pct"/>
                  <w:gridSpan w:val="4"/>
                  <w:vAlign w:val="center"/>
                </w:tcPr>
                <w:p w14:paraId="2F096E2A">
                  <w:pPr>
                    <w:keepNext w:val="0"/>
                    <w:keepLines w:val="0"/>
                    <w:pageBreakBefore w:val="0"/>
                    <w:widowControl w:val="0"/>
                    <w:kinsoku/>
                    <w:wordWrap/>
                    <w:overflowPunct/>
                    <w:topLinePunct w:val="0"/>
                    <w:autoSpaceDE/>
                    <w:autoSpaceDN/>
                    <w:bidi w:val="0"/>
                    <w:adjustRightInd/>
                    <w:snapToGrid/>
                    <w:jc w:val="center"/>
                    <w:textAlignment w:val="auto"/>
                    <w:rPr>
                      <w:color w:val="auto"/>
                    </w:rPr>
                  </w:pPr>
                  <w:r>
                    <w:rPr>
                      <w:color w:val="auto"/>
                    </w:rPr>
                    <w:t>采样频次</w:t>
                  </w:r>
                </w:p>
              </w:tc>
              <w:tc>
                <w:tcPr>
                  <w:tcW w:w="1416" w:type="pct"/>
                  <w:gridSpan w:val="4"/>
                  <w:vAlign w:val="center"/>
                </w:tcPr>
                <w:p w14:paraId="23F7D566">
                  <w:pPr>
                    <w:keepNext w:val="0"/>
                    <w:keepLines w:val="0"/>
                    <w:pageBreakBefore w:val="0"/>
                    <w:widowControl w:val="0"/>
                    <w:kinsoku/>
                    <w:wordWrap/>
                    <w:overflowPunct/>
                    <w:topLinePunct w:val="0"/>
                    <w:autoSpaceDE/>
                    <w:autoSpaceDN/>
                    <w:bidi w:val="0"/>
                    <w:adjustRightInd/>
                    <w:snapToGrid/>
                    <w:jc w:val="center"/>
                    <w:textAlignment w:val="auto"/>
                    <w:rPr>
                      <w:color w:val="auto"/>
                    </w:rPr>
                  </w:pPr>
                  <w:r>
                    <w:rPr>
                      <w:color w:val="auto"/>
                    </w:rPr>
                    <w:t>第一次</w:t>
                  </w:r>
                </w:p>
              </w:tc>
              <w:tc>
                <w:tcPr>
                  <w:tcW w:w="943" w:type="pct"/>
                  <w:gridSpan w:val="6"/>
                  <w:vAlign w:val="center"/>
                </w:tcPr>
                <w:p w14:paraId="059DABA3">
                  <w:pPr>
                    <w:keepNext w:val="0"/>
                    <w:keepLines w:val="0"/>
                    <w:pageBreakBefore w:val="0"/>
                    <w:widowControl w:val="0"/>
                    <w:kinsoku/>
                    <w:wordWrap/>
                    <w:overflowPunct/>
                    <w:topLinePunct w:val="0"/>
                    <w:autoSpaceDE/>
                    <w:autoSpaceDN/>
                    <w:bidi w:val="0"/>
                    <w:adjustRightInd/>
                    <w:snapToGrid/>
                    <w:jc w:val="center"/>
                    <w:textAlignment w:val="auto"/>
                    <w:rPr>
                      <w:color w:val="auto"/>
                    </w:rPr>
                  </w:pPr>
                  <w:r>
                    <w:rPr>
                      <w:color w:val="auto"/>
                    </w:rPr>
                    <w:t>第二次</w:t>
                  </w:r>
                </w:p>
              </w:tc>
              <w:tc>
                <w:tcPr>
                  <w:tcW w:w="763" w:type="pct"/>
                  <w:gridSpan w:val="3"/>
                  <w:vAlign w:val="center"/>
                </w:tcPr>
                <w:p w14:paraId="506FE595">
                  <w:pPr>
                    <w:keepNext w:val="0"/>
                    <w:keepLines w:val="0"/>
                    <w:pageBreakBefore w:val="0"/>
                    <w:widowControl w:val="0"/>
                    <w:kinsoku/>
                    <w:wordWrap/>
                    <w:overflowPunct/>
                    <w:topLinePunct w:val="0"/>
                    <w:autoSpaceDE/>
                    <w:autoSpaceDN/>
                    <w:bidi w:val="0"/>
                    <w:adjustRightInd/>
                    <w:snapToGrid/>
                    <w:jc w:val="center"/>
                    <w:textAlignment w:val="auto"/>
                    <w:rPr>
                      <w:color w:val="auto"/>
                    </w:rPr>
                  </w:pPr>
                  <w:r>
                    <w:rPr>
                      <w:color w:val="auto"/>
                    </w:rPr>
                    <w:t>第三次</w:t>
                  </w:r>
                </w:p>
              </w:tc>
            </w:tr>
            <w:tr w14:paraId="36AC58C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jc w:val="center"/>
              </w:trPr>
              <w:tc>
                <w:tcPr>
                  <w:tcW w:w="1876" w:type="pct"/>
                  <w:gridSpan w:val="4"/>
                  <w:vAlign w:val="center"/>
                </w:tcPr>
                <w:p w14:paraId="45FDA575">
                  <w:pPr>
                    <w:keepNext w:val="0"/>
                    <w:keepLines w:val="0"/>
                    <w:pageBreakBefore w:val="0"/>
                    <w:widowControl w:val="0"/>
                    <w:kinsoku/>
                    <w:wordWrap/>
                    <w:overflowPunct/>
                    <w:topLinePunct w:val="0"/>
                    <w:autoSpaceDE/>
                    <w:autoSpaceDN/>
                    <w:bidi w:val="0"/>
                    <w:adjustRightInd/>
                    <w:snapToGrid/>
                    <w:jc w:val="center"/>
                    <w:textAlignment w:val="auto"/>
                    <w:rPr>
                      <w:color w:val="auto"/>
                    </w:rPr>
                  </w:pPr>
                  <w:r>
                    <w:rPr>
                      <w:color w:val="auto"/>
                    </w:rPr>
                    <w:t>烟气温度(℃)</w:t>
                  </w:r>
                </w:p>
              </w:tc>
              <w:tc>
                <w:tcPr>
                  <w:tcW w:w="1416" w:type="pct"/>
                  <w:gridSpan w:val="4"/>
                  <w:vAlign w:val="center"/>
                </w:tcPr>
                <w:p w14:paraId="0A0AE83A">
                  <w:pPr>
                    <w:keepNext w:val="0"/>
                    <w:keepLines w:val="0"/>
                    <w:pageBreakBefore w:val="0"/>
                    <w:widowControl w:val="0"/>
                    <w:kinsoku/>
                    <w:wordWrap/>
                    <w:overflowPunct/>
                    <w:topLinePunct w:val="0"/>
                    <w:autoSpaceDE/>
                    <w:autoSpaceDN/>
                    <w:bidi w:val="0"/>
                    <w:adjustRightInd/>
                    <w:snapToGrid/>
                    <w:jc w:val="center"/>
                    <w:textAlignment w:val="auto"/>
                    <w:rPr>
                      <w:rFonts w:hint="default" w:eastAsia="宋体"/>
                      <w:color w:val="auto"/>
                      <w:lang w:val="en-US" w:eastAsia="zh-CN"/>
                    </w:rPr>
                  </w:pPr>
                  <w:r>
                    <w:rPr>
                      <w:rFonts w:hint="eastAsia"/>
                      <w:color w:val="auto"/>
                      <w:lang w:val="en-US" w:eastAsia="zh-CN"/>
                    </w:rPr>
                    <w:t>16</w:t>
                  </w:r>
                </w:p>
              </w:tc>
              <w:tc>
                <w:tcPr>
                  <w:tcW w:w="943" w:type="pct"/>
                  <w:gridSpan w:val="6"/>
                  <w:vAlign w:val="center"/>
                </w:tcPr>
                <w:p w14:paraId="65831CDB">
                  <w:pPr>
                    <w:keepNext w:val="0"/>
                    <w:keepLines w:val="0"/>
                    <w:pageBreakBefore w:val="0"/>
                    <w:widowControl w:val="0"/>
                    <w:kinsoku/>
                    <w:wordWrap/>
                    <w:overflowPunct/>
                    <w:topLinePunct w:val="0"/>
                    <w:autoSpaceDE/>
                    <w:autoSpaceDN/>
                    <w:bidi w:val="0"/>
                    <w:adjustRightInd/>
                    <w:snapToGrid/>
                    <w:jc w:val="center"/>
                    <w:textAlignment w:val="auto"/>
                    <w:rPr>
                      <w:rFonts w:hint="default" w:eastAsia="宋体"/>
                      <w:color w:val="auto"/>
                      <w:lang w:val="en-US" w:eastAsia="zh-CN"/>
                    </w:rPr>
                  </w:pPr>
                  <w:r>
                    <w:rPr>
                      <w:rFonts w:hint="eastAsia"/>
                      <w:color w:val="auto"/>
                      <w:lang w:val="en-US" w:eastAsia="zh-CN"/>
                    </w:rPr>
                    <w:t>15</w:t>
                  </w:r>
                </w:p>
              </w:tc>
              <w:tc>
                <w:tcPr>
                  <w:tcW w:w="763" w:type="pct"/>
                  <w:gridSpan w:val="3"/>
                  <w:vAlign w:val="center"/>
                </w:tcPr>
                <w:p w14:paraId="0198B56D">
                  <w:pPr>
                    <w:keepNext w:val="0"/>
                    <w:keepLines w:val="0"/>
                    <w:pageBreakBefore w:val="0"/>
                    <w:widowControl w:val="0"/>
                    <w:kinsoku/>
                    <w:wordWrap/>
                    <w:overflowPunct/>
                    <w:topLinePunct w:val="0"/>
                    <w:autoSpaceDE/>
                    <w:autoSpaceDN/>
                    <w:bidi w:val="0"/>
                    <w:adjustRightInd/>
                    <w:snapToGrid/>
                    <w:jc w:val="center"/>
                    <w:textAlignment w:val="auto"/>
                    <w:rPr>
                      <w:rFonts w:hint="default" w:eastAsia="宋体"/>
                      <w:color w:val="auto"/>
                      <w:lang w:val="en-US" w:eastAsia="zh-CN"/>
                    </w:rPr>
                  </w:pPr>
                  <w:r>
                    <w:rPr>
                      <w:rFonts w:hint="eastAsia"/>
                      <w:color w:val="auto"/>
                      <w:lang w:val="en-US" w:eastAsia="zh-CN"/>
                    </w:rPr>
                    <w:t>15</w:t>
                  </w:r>
                </w:p>
              </w:tc>
            </w:tr>
            <w:tr w14:paraId="4BBA1B4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jc w:val="center"/>
              </w:trPr>
              <w:tc>
                <w:tcPr>
                  <w:tcW w:w="1876" w:type="pct"/>
                  <w:gridSpan w:val="4"/>
                  <w:vAlign w:val="center"/>
                </w:tcPr>
                <w:p w14:paraId="19C7171B">
                  <w:pPr>
                    <w:keepNext w:val="0"/>
                    <w:keepLines w:val="0"/>
                    <w:pageBreakBefore w:val="0"/>
                    <w:widowControl w:val="0"/>
                    <w:kinsoku/>
                    <w:wordWrap/>
                    <w:overflowPunct/>
                    <w:topLinePunct w:val="0"/>
                    <w:autoSpaceDE/>
                    <w:autoSpaceDN/>
                    <w:bidi w:val="0"/>
                    <w:adjustRightInd/>
                    <w:snapToGrid/>
                    <w:jc w:val="center"/>
                    <w:textAlignment w:val="auto"/>
                    <w:rPr>
                      <w:color w:val="auto"/>
                    </w:rPr>
                  </w:pPr>
                  <w:r>
                    <w:rPr>
                      <w:color w:val="auto"/>
                    </w:rPr>
                    <w:t>标干流量(Nm³/h)</w:t>
                  </w:r>
                </w:p>
              </w:tc>
              <w:tc>
                <w:tcPr>
                  <w:tcW w:w="1416" w:type="pct"/>
                  <w:gridSpan w:val="4"/>
                  <w:vAlign w:val="center"/>
                </w:tcPr>
                <w:p w14:paraId="2E75E99C">
                  <w:pPr>
                    <w:keepNext w:val="0"/>
                    <w:keepLines w:val="0"/>
                    <w:pageBreakBefore w:val="0"/>
                    <w:widowControl w:val="0"/>
                    <w:kinsoku/>
                    <w:wordWrap/>
                    <w:overflowPunct/>
                    <w:topLinePunct w:val="0"/>
                    <w:autoSpaceDE/>
                    <w:autoSpaceDN/>
                    <w:bidi w:val="0"/>
                    <w:adjustRightInd/>
                    <w:snapToGrid/>
                    <w:jc w:val="center"/>
                    <w:textAlignment w:val="auto"/>
                    <w:rPr>
                      <w:rFonts w:hint="default" w:eastAsia="宋体"/>
                      <w:color w:val="auto"/>
                      <w:lang w:val="en-US" w:eastAsia="zh-CN"/>
                    </w:rPr>
                  </w:pPr>
                  <w:r>
                    <w:rPr>
                      <w:rFonts w:hint="eastAsia"/>
                      <w:color w:val="auto"/>
                      <w:lang w:val="en-US" w:eastAsia="zh-CN"/>
                    </w:rPr>
                    <w:t>1029</w:t>
                  </w:r>
                </w:p>
              </w:tc>
              <w:tc>
                <w:tcPr>
                  <w:tcW w:w="943" w:type="pct"/>
                  <w:gridSpan w:val="6"/>
                  <w:vAlign w:val="center"/>
                </w:tcPr>
                <w:p w14:paraId="7251B3A4">
                  <w:pPr>
                    <w:keepNext w:val="0"/>
                    <w:keepLines w:val="0"/>
                    <w:pageBreakBefore w:val="0"/>
                    <w:widowControl w:val="0"/>
                    <w:kinsoku/>
                    <w:wordWrap/>
                    <w:overflowPunct/>
                    <w:topLinePunct w:val="0"/>
                    <w:autoSpaceDE/>
                    <w:autoSpaceDN/>
                    <w:bidi w:val="0"/>
                    <w:adjustRightInd/>
                    <w:snapToGrid/>
                    <w:jc w:val="center"/>
                    <w:textAlignment w:val="auto"/>
                    <w:rPr>
                      <w:rFonts w:hint="default" w:eastAsia="宋体"/>
                      <w:color w:val="auto"/>
                      <w:lang w:val="en-US" w:eastAsia="zh-CN"/>
                    </w:rPr>
                  </w:pPr>
                  <w:r>
                    <w:rPr>
                      <w:rFonts w:hint="eastAsia"/>
                      <w:color w:val="auto"/>
                      <w:lang w:val="en-US" w:eastAsia="zh-CN"/>
                    </w:rPr>
                    <w:t>1065</w:t>
                  </w:r>
                </w:p>
              </w:tc>
              <w:tc>
                <w:tcPr>
                  <w:tcW w:w="763" w:type="pct"/>
                  <w:gridSpan w:val="3"/>
                  <w:vAlign w:val="center"/>
                </w:tcPr>
                <w:p w14:paraId="7773EF1A">
                  <w:pPr>
                    <w:keepNext w:val="0"/>
                    <w:keepLines w:val="0"/>
                    <w:pageBreakBefore w:val="0"/>
                    <w:widowControl w:val="0"/>
                    <w:kinsoku/>
                    <w:wordWrap/>
                    <w:overflowPunct/>
                    <w:topLinePunct w:val="0"/>
                    <w:autoSpaceDE/>
                    <w:autoSpaceDN/>
                    <w:bidi w:val="0"/>
                    <w:adjustRightInd/>
                    <w:snapToGrid/>
                    <w:jc w:val="center"/>
                    <w:textAlignment w:val="auto"/>
                    <w:rPr>
                      <w:rFonts w:hint="default" w:eastAsia="宋体"/>
                      <w:color w:val="auto"/>
                      <w:lang w:val="en-US" w:eastAsia="zh-CN"/>
                    </w:rPr>
                  </w:pPr>
                  <w:r>
                    <w:rPr>
                      <w:rFonts w:hint="eastAsia"/>
                      <w:color w:val="auto"/>
                      <w:lang w:val="en-US" w:eastAsia="zh-CN"/>
                    </w:rPr>
                    <w:t>1127</w:t>
                  </w:r>
                </w:p>
              </w:tc>
            </w:tr>
            <w:tr w14:paraId="4D6E177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jc w:val="center"/>
              </w:trPr>
              <w:tc>
                <w:tcPr>
                  <w:tcW w:w="905" w:type="pct"/>
                  <w:gridSpan w:val="2"/>
                  <w:vMerge w:val="restart"/>
                  <w:tcBorders>
                    <w:bottom w:val="nil"/>
                  </w:tcBorders>
                  <w:vAlign w:val="center"/>
                </w:tcPr>
                <w:p w14:paraId="05A906A5">
                  <w:pPr>
                    <w:keepNext w:val="0"/>
                    <w:keepLines w:val="0"/>
                    <w:pageBreakBefore w:val="0"/>
                    <w:widowControl w:val="0"/>
                    <w:kinsoku/>
                    <w:wordWrap/>
                    <w:overflowPunct/>
                    <w:topLinePunct w:val="0"/>
                    <w:autoSpaceDE/>
                    <w:autoSpaceDN/>
                    <w:bidi w:val="0"/>
                    <w:adjustRightInd/>
                    <w:snapToGrid/>
                    <w:jc w:val="center"/>
                    <w:textAlignment w:val="auto"/>
                    <w:rPr>
                      <w:color w:val="auto"/>
                    </w:rPr>
                  </w:pPr>
                  <w:r>
                    <w:rPr>
                      <w:rFonts w:hint="eastAsia"/>
                      <w:color w:val="auto"/>
                      <w:lang w:val="en-US" w:eastAsia="zh-CN"/>
                    </w:rPr>
                    <w:t>VOCs</w:t>
                  </w:r>
                  <w:r>
                    <w:rPr>
                      <w:color w:val="auto"/>
                    </w:rPr>
                    <w:t>(以</w:t>
                  </w:r>
                </w:p>
                <w:p w14:paraId="53408CE5">
                  <w:pPr>
                    <w:keepNext w:val="0"/>
                    <w:keepLines w:val="0"/>
                    <w:pageBreakBefore w:val="0"/>
                    <w:widowControl w:val="0"/>
                    <w:kinsoku/>
                    <w:wordWrap/>
                    <w:overflowPunct/>
                    <w:topLinePunct w:val="0"/>
                    <w:autoSpaceDE/>
                    <w:autoSpaceDN/>
                    <w:bidi w:val="0"/>
                    <w:adjustRightInd/>
                    <w:snapToGrid/>
                    <w:jc w:val="center"/>
                    <w:textAlignment w:val="auto"/>
                    <w:rPr>
                      <w:color w:val="auto"/>
                    </w:rPr>
                  </w:pPr>
                  <w:r>
                    <w:rPr>
                      <w:color w:val="auto"/>
                    </w:rPr>
                    <w:t>非甲烷总烃计)</w:t>
                  </w:r>
                </w:p>
              </w:tc>
              <w:tc>
                <w:tcPr>
                  <w:tcW w:w="971" w:type="pct"/>
                  <w:gridSpan w:val="2"/>
                  <w:vAlign w:val="center"/>
                </w:tcPr>
                <w:p w14:paraId="5068997B">
                  <w:pPr>
                    <w:keepNext w:val="0"/>
                    <w:keepLines w:val="0"/>
                    <w:pageBreakBefore w:val="0"/>
                    <w:widowControl w:val="0"/>
                    <w:kinsoku/>
                    <w:wordWrap/>
                    <w:overflowPunct/>
                    <w:topLinePunct w:val="0"/>
                    <w:autoSpaceDE/>
                    <w:autoSpaceDN/>
                    <w:bidi w:val="0"/>
                    <w:adjustRightInd/>
                    <w:snapToGrid/>
                    <w:jc w:val="center"/>
                    <w:textAlignment w:val="auto"/>
                    <w:rPr>
                      <w:color w:val="auto"/>
                    </w:rPr>
                  </w:pPr>
                  <w:r>
                    <w:rPr>
                      <w:color w:val="auto"/>
                    </w:rPr>
                    <w:t>样品编号</w:t>
                  </w:r>
                </w:p>
              </w:tc>
              <w:tc>
                <w:tcPr>
                  <w:tcW w:w="1416" w:type="pct"/>
                  <w:gridSpan w:val="4"/>
                  <w:vAlign w:val="center"/>
                </w:tcPr>
                <w:p w14:paraId="3E7D22F7">
                  <w:pPr>
                    <w:keepNext w:val="0"/>
                    <w:keepLines w:val="0"/>
                    <w:pageBreakBefore w:val="0"/>
                    <w:widowControl w:val="0"/>
                    <w:kinsoku/>
                    <w:wordWrap/>
                    <w:overflowPunct/>
                    <w:topLinePunct w:val="0"/>
                    <w:autoSpaceDE/>
                    <w:autoSpaceDN/>
                    <w:bidi w:val="0"/>
                    <w:adjustRightInd/>
                    <w:snapToGrid/>
                    <w:jc w:val="center"/>
                    <w:textAlignment w:val="auto"/>
                    <w:rPr>
                      <w:color w:val="auto"/>
                    </w:rPr>
                  </w:pPr>
                  <w:r>
                    <w:rPr>
                      <w:rFonts w:hint="eastAsia"/>
                      <w:color w:val="auto"/>
                    </w:rPr>
                    <w:t>251293Y001</w:t>
                  </w:r>
                </w:p>
              </w:tc>
              <w:tc>
                <w:tcPr>
                  <w:tcW w:w="943" w:type="pct"/>
                  <w:gridSpan w:val="6"/>
                  <w:vAlign w:val="center"/>
                </w:tcPr>
                <w:p w14:paraId="3C08EF51">
                  <w:pPr>
                    <w:keepNext w:val="0"/>
                    <w:keepLines w:val="0"/>
                    <w:pageBreakBefore w:val="0"/>
                    <w:widowControl w:val="0"/>
                    <w:kinsoku/>
                    <w:wordWrap/>
                    <w:overflowPunct/>
                    <w:topLinePunct w:val="0"/>
                    <w:autoSpaceDE/>
                    <w:autoSpaceDN/>
                    <w:bidi w:val="0"/>
                    <w:adjustRightInd/>
                    <w:snapToGrid/>
                    <w:jc w:val="center"/>
                    <w:textAlignment w:val="auto"/>
                    <w:rPr>
                      <w:color w:val="auto"/>
                    </w:rPr>
                  </w:pPr>
                  <w:r>
                    <w:rPr>
                      <w:rFonts w:hint="eastAsia"/>
                      <w:color w:val="auto"/>
                    </w:rPr>
                    <w:t>251293Y00</w:t>
                  </w:r>
                  <w:r>
                    <w:rPr>
                      <w:color w:val="auto"/>
                    </w:rPr>
                    <w:t>2</w:t>
                  </w:r>
                </w:p>
              </w:tc>
              <w:tc>
                <w:tcPr>
                  <w:tcW w:w="763" w:type="pct"/>
                  <w:gridSpan w:val="3"/>
                  <w:vAlign w:val="center"/>
                </w:tcPr>
                <w:p w14:paraId="0A98D742">
                  <w:pPr>
                    <w:keepNext w:val="0"/>
                    <w:keepLines w:val="0"/>
                    <w:pageBreakBefore w:val="0"/>
                    <w:widowControl w:val="0"/>
                    <w:kinsoku/>
                    <w:wordWrap/>
                    <w:overflowPunct/>
                    <w:topLinePunct w:val="0"/>
                    <w:autoSpaceDE/>
                    <w:autoSpaceDN/>
                    <w:bidi w:val="0"/>
                    <w:adjustRightInd/>
                    <w:snapToGrid/>
                    <w:jc w:val="center"/>
                    <w:textAlignment w:val="auto"/>
                    <w:rPr>
                      <w:color w:val="auto"/>
                    </w:rPr>
                  </w:pPr>
                  <w:r>
                    <w:rPr>
                      <w:rFonts w:hint="eastAsia"/>
                      <w:color w:val="auto"/>
                    </w:rPr>
                    <w:t>251293Y00</w:t>
                  </w:r>
                  <w:r>
                    <w:rPr>
                      <w:color w:val="auto"/>
                    </w:rPr>
                    <w:t>3</w:t>
                  </w:r>
                </w:p>
              </w:tc>
            </w:tr>
            <w:tr w14:paraId="01F0ADD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1" w:hRule="atLeast"/>
                <w:jc w:val="center"/>
              </w:trPr>
              <w:tc>
                <w:tcPr>
                  <w:tcW w:w="905" w:type="pct"/>
                  <w:gridSpan w:val="2"/>
                  <w:vMerge w:val="continue"/>
                  <w:tcBorders>
                    <w:top w:val="nil"/>
                    <w:bottom w:val="nil"/>
                  </w:tcBorders>
                  <w:vAlign w:val="center"/>
                </w:tcPr>
                <w:p w14:paraId="3265FBD5">
                  <w:pPr>
                    <w:keepNext w:val="0"/>
                    <w:keepLines w:val="0"/>
                    <w:pageBreakBefore w:val="0"/>
                    <w:widowControl w:val="0"/>
                    <w:kinsoku/>
                    <w:wordWrap/>
                    <w:overflowPunct/>
                    <w:topLinePunct w:val="0"/>
                    <w:autoSpaceDE/>
                    <w:autoSpaceDN/>
                    <w:bidi w:val="0"/>
                    <w:adjustRightInd/>
                    <w:snapToGrid/>
                    <w:jc w:val="center"/>
                    <w:textAlignment w:val="auto"/>
                    <w:rPr>
                      <w:color w:val="auto"/>
                    </w:rPr>
                  </w:pPr>
                </w:p>
              </w:tc>
              <w:tc>
                <w:tcPr>
                  <w:tcW w:w="971" w:type="pct"/>
                  <w:gridSpan w:val="2"/>
                  <w:vAlign w:val="center"/>
                </w:tcPr>
                <w:p w14:paraId="0827A1D2">
                  <w:pPr>
                    <w:keepNext w:val="0"/>
                    <w:keepLines w:val="0"/>
                    <w:pageBreakBefore w:val="0"/>
                    <w:widowControl w:val="0"/>
                    <w:kinsoku/>
                    <w:wordWrap/>
                    <w:overflowPunct/>
                    <w:topLinePunct w:val="0"/>
                    <w:autoSpaceDE/>
                    <w:autoSpaceDN/>
                    <w:bidi w:val="0"/>
                    <w:adjustRightInd/>
                    <w:snapToGrid/>
                    <w:jc w:val="center"/>
                    <w:textAlignment w:val="auto"/>
                    <w:rPr>
                      <w:color w:val="auto"/>
                    </w:rPr>
                  </w:pPr>
                  <w:r>
                    <w:rPr>
                      <w:color w:val="auto"/>
                    </w:rPr>
                    <w:t>实测浓度(mg/m³)</w:t>
                  </w:r>
                </w:p>
              </w:tc>
              <w:tc>
                <w:tcPr>
                  <w:tcW w:w="1416" w:type="pct"/>
                  <w:gridSpan w:val="4"/>
                  <w:vAlign w:val="center"/>
                </w:tcPr>
                <w:p w14:paraId="01808425">
                  <w:pPr>
                    <w:keepNext w:val="0"/>
                    <w:keepLines w:val="0"/>
                    <w:pageBreakBefore w:val="0"/>
                    <w:widowControl w:val="0"/>
                    <w:kinsoku/>
                    <w:wordWrap/>
                    <w:overflowPunct/>
                    <w:topLinePunct w:val="0"/>
                    <w:autoSpaceDE/>
                    <w:autoSpaceDN/>
                    <w:bidi w:val="0"/>
                    <w:adjustRightInd/>
                    <w:snapToGrid/>
                    <w:jc w:val="center"/>
                    <w:textAlignment w:val="auto"/>
                    <w:rPr>
                      <w:rFonts w:hint="default" w:eastAsia="宋体"/>
                      <w:color w:val="auto"/>
                      <w:lang w:val="en-US" w:eastAsia="zh-CN"/>
                    </w:rPr>
                  </w:pPr>
                  <w:r>
                    <w:rPr>
                      <w:rFonts w:hint="eastAsia"/>
                      <w:color w:val="auto"/>
                      <w:lang w:val="en-US" w:eastAsia="zh-CN"/>
                    </w:rPr>
                    <w:t>8.92</w:t>
                  </w:r>
                </w:p>
              </w:tc>
              <w:tc>
                <w:tcPr>
                  <w:tcW w:w="943" w:type="pct"/>
                  <w:gridSpan w:val="6"/>
                  <w:vAlign w:val="center"/>
                </w:tcPr>
                <w:p w14:paraId="0944B5F2">
                  <w:pPr>
                    <w:keepNext w:val="0"/>
                    <w:keepLines w:val="0"/>
                    <w:pageBreakBefore w:val="0"/>
                    <w:widowControl w:val="0"/>
                    <w:kinsoku/>
                    <w:wordWrap/>
                    <w:overflowPunct/>
                    <w:topLinePunct w:val="0"/>
                    <w:autoSpaceDE/>
                    <w:autoSpaceDN/>
                    <w:bidi w:val="0"/>
                    <w:adjustRightInd/>
                    <w:snapToGrid/>
                    <w:jc w:val="center"/>
                    <w:textAlignment w:val="auto"/>
                    <w:rPr>
                      <w:rFonts w:hint="default" w:eastAsia="宋体"/>
                      <w:color w:val="auto"/>
                      <w:lang w:val="en-US" w:eastAsia="zh-CN"/>
                    </w:rPr>
                  </w:pPr>
                  <w:r>
                    <w:rPr>
                      <w:rFonts w:hint="eastAsia"/>
                      <w:color w:val="auto"/>
                      <w:lang w:val="en-US" w:eastAsia="zh-CN"/>
                    </w:rPr>
                    <w:t>8.60</w:t>
                  </w:r>
                </w:p>
              </w:tc>
              <w:tc>
                <w:tcPr>
                  <w:tcW w:w="763" w:type="pct"/>
                  <w:gridSpan w:val="3"/>
                  <w:vAlign w:val="center"/>
                </w:tcPr>
                <w:p w14:paraId="01068CA1">
                  <w:pPr>
                    <w:keepNext w:val="0"/>
                    <w:keepLines w:val="0"/>
                    <w:pageBreakBefore w:val="0"/>
                    <w:widowControl w:val="0"/>
                    <w:kinsoku/>
                    <w:wordWrap/>
                    <w:overflowPunct/>
                    <w:topLinePunct w:val="0"/>
                    <w:autoSpaceDE/>
                    <w:autoSpaceDN/>
                    <w:bidi w:val="0"/>
                    <w:adjustRightInd/>
                    <w:snapToGrid/>
                    <w:jc w:val="center"/>
                    <w:textAlignment w:val="auto"/>
                    <w:rPr>
                      <w:rFonts w:hint="default" w:eastAsia="宋体"/>
                      <w:color w:val="auto"/>
                      <w:lang w:val="en-US" w:eastAsia="zh-CN"/>
                    </w:rPr>
                  </w:pPr>
                  <w:r>
                    <w:rPr>
                      <w:rFonts w:hint="eastAsia"/>
                      <w:color w:val="auto"/>
                      <w:lang w:val="en-US" w:eastAsia="zh-CN"/>
                    </w:rPr>
                    <w:t>8.01</w:t>
                  </w:r>
                </w:p>
              </w:tc>
            </w:tr>
            <w:tr w14:paraId="25EEB6E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jc w:val="center"/>
              </w:trPr>
              <w:tc>
                <w:tcPr>
                  <w:tcW w:w="905" w:type="pct"/>
                  <w:gridSpan w:val="2"/>
                  <w:vMerge w:val="continue"/>
                  <w:tcBorders>
                    <w:top w:val="nil"/>
                  </w:tcBorders>
                  <w:vAlign w:val="center"/>
                </w:tcPr>
                <w:p w14:paraId="30655A88">
                  <w:pPr>
                    <w:keepNext w:val="0"/>
                    <w:keepLines w:val="0"/>
                    <w:pageBreakBefore w:val="0"/>
                    <w:widowControl w:val="0"/>
                    <w:kinsoku/>
                    <w:wordWrap/>
                    <w:overflowPunct/>
                    <w:topLinePunct w:val="0"/>
                    <w:autoSpaceDE/>
                    <w:autoSpaceDN/>
                    <w:bidi w:val="0"/>
                    <w:adjustRightInd/>
                    <w:snapToGrid/>
                    <w:jc w:val="center"/>
                    <w:textAlignment w:val="auto"/>
                    <w:rPr>
                      <w:color w:val="auto"/>
                    </w:rPr>
                  </w:pPr>
                </w:p>
              </w:tc>
              <w:tc>
                <w:tcPr>
                  <w:tcW w:w="971" w:type="pct"/>
                  <w:gridSpan w:val="2"/>
                  <w:vAlign w:val="center"/>
                </w:tcPr>
                <w:p w14:paraId="42989BFF">
                  <w:pPr>
                    <w:keepNext w:val="0"/>
                    <w:keepLines w:val="0"/>
                    <w:pageBreakBefore w:val="0"/>
                    <w:widowControl w:val="0"/>
                    <w:kinsoku/>
                    <w:wordWrap/>
                    <w:overflowPunct/>
                    <w:topLinePunct w:val="0"/>
                    <w:autoSpaceDE/>
                    <w:autoSpaceDN/>
                    <w:bidi w:val="0"/>
                    <w:adjustRightInd/>
                    <w:snapToGrid/>
                    <w:jc w:val="center"/>
                    <w:textAlignment w:val="auto"/>
                    <w:rPr>
                      <w:color w:val="auto"/>
                    </w:rPr>
                  </w:pPr>
                  <w:r>
                    <w:rPr>
                      <w:color w:val="auto"/>
                    </w:rPr>
                    <w:t>排放速率(kg/h)</w:t>
                  </w:r>
                </w:p>
              </w:tc>
              <w:tc>
                <w:tcPr>
                  <w:tcW w:w="1416" w:type="pct"/>
                  <w:gridSpan w:val="4"/>
                  <w:vAlign w:val="center"/>
                </w:tcPr>
                <w:p w14:paraId="54AFA4AF">
                  <w:pPr>
                    <w:keepNext w:val="0"/>
                    <w:keepLines w:val="0"/>
                    <w:pageBreakBefore w:val="0"/>
                    <w:widowControl w:val="0"/>
                    <w:kinsoku/>
                    <w:wordWrap/>
                    <w:overflowPunct/>
                    <w:topLinePunct w:val="0"/>
                    <w:autoSpaceDE/>
                    <w:autoSpaceDN/>
                    <w:bidi w:val="0"/>
                    <w:adjustRightInd/>
                    <w:snapToGrid/>
                    <w:jc w:val="center"/>
                    <w:textAlignment w:val="auto"/>
                    <w:rPr>
                      <w:rFonts w:hint="default" w:eastAsia="宋体"/>
                      <w:color w:val="auto"/>
                      <w:lang w:val="en-US" w:eastAsia="zh-CN"/>
                    </w:rPr>
                  </w:pPr>
                  <w:r>
                    <w:rPr>
                      <w:rFonts w:hint="eastAsia"/>
                      <w:color w:val="auto"/>
                      <w:lang w:val="en-US" w:eastAsia="zh-CN"/>
                    </w:rPr>
                    <w:t>9.18</w:t>
                  </w:r>
                  <w:r>
                    <w:rPr>
                      <w:color w:val="auto"/>
                    </w:rPr>
                    <w:t>×10</w:t>
                  </w:r>
                  <w:r>
                    <w:rPr>
                      <w:rFonts w:hint="eastAsia"/>
                      <w:color w:val="auto"/>
                      <w:vertAlign w:val="superscript"/>
                      <w:lang w:val="en-US" w:eastAsia="zh-CN"/>
                    </w:rPr>
                    <w:t>-3</w:t>
                  </w:r>
                </w:p>
              </w:tc>
              <w:tc>
                <w:tcPr>
                  <w:tcW w:w="943" w:type="pct"/>
                  <w:gridSpan w:val="6"/>
                  <w:vAlign w:val="center"/>
                </w:tcPr>
                <w:p w14:paraId="3F59394E">
                  <w:pPr>
                    <w:keepNext w:val="0"/>
                    <w:keepLines w:val="0"/>
                    <w:pageBreakBefore w:val="0"/>
                    <w:widowControl w:val="0"/>
                    <w:kinsoku/>
                    <w:wordWrap/>
                    <w:overflowPunct/>
                    <w:topLinePunct w:val="0"/>
                    <w:autoSpaceDE/>
                    <w:autoSpaceDN/>
                    <w:bidi w:val="0"/>
                    <w:adjustRightInd/>
                    <w:snapToGrid/>
                    <w:jc w:val="center"/>
                    <w:textAlignment w:val="auto"/>
                    <w:rPr>
                      <w:rFonts w:hint="default" w:eastAsia="宋体"/>
                      <w:color w:val="auto"/>
                      <w:lang w:val="en-US" w:eastAsia="zh-CN"/>
                    </w:rPr>
                  </w:pPr>
                  <w:r>
                    <w:rPr>
                      <w:color w:val="auto"/>
                    </w:rPr>
                    <w:t>9.1</w:t>
                  </w:r>
                  <w:r>
                    <w:rPr>
                      <w:rFonts w:hint="eastAsia"/>
                      <w:color w:val="auto"/>
                      <w:lang w:val="en-US" w:eastAsia="zh-CN"/>
                    </w:rPr>
                    <w:t>6</w:t>
                  </w:r>
                  <w:r>
                    <w:rPr>
                      <w:color w:val="auto"/>
                    </w:rPr>
                    <w:t>×10</w:t>
                  </w:r>
                  <w:r>
                    <w:rPr>
                      <w:rFonts w:hint="eastAsia"/>
                      <w:color w:val="auto"/>
                      <w:vertAlign w:val="superscript"/>
                      <w:lang w:val="en-US" w:eastAsia="zh-CN"/>
                    </w:rPr>
                    <w:t>-3</w:t>
                  </w:r>
                </w:p>
              </w:tc>
              <w:tc>
                <w:tcPr>
                  <w:tcW w:w="763" w:type="pct"/>
                  <w:gridSpan w:val="3"/>
                  <w:vAlign w:val="center"/>
                </w:tcPr>
                <w:p w14:paraId="6EC9481B">
                  <w:pPr>
                    <w:keepNext w:val="0"/>
                    <w:keepLines w:val="0"/>
                    <w:pageBreakBefore w:val="0"/>
                    <w:widowControl w:val="0"/>
                    <w:kinsoku/>
                    <w:wordWrap/>
                    <w:overflowPunct/>
                    <w:topLinePunct w:val="0"/>
                    <w:autoSpaceDE/>
                    <w:autoSpaceDN/>
                    <w:bidi w:val="0"/>
                    <w:adjustRightInd/>
                    <w:snapToGrid/>
                    <w:jc w:val="center"/>
                    <w:textAlignment w:val="auto"/>
                    <w:rPr>
                      <w:color w:val="auto"/>
                    </w:rPr>
                  </w:pPr>
                  <w:r>
                    <w:rPr>
                      <w:rFonts w:hint="eastAsia"/>
                      <w:color w:val="auto"/>
                      <w:lang w:val="en-US" w:eastAsia="zh-CN"/>
                    </w:rPr>
                    <w:t>9.03</w:t>
                  </w:r>
                  <w:r>
                    <w:rPr>
                      <w:color w:val="auto"/>
                    </w:rPr>
                    <w:t>×10</w:t>
                  </w:r>
                  <w:r>
                    <w:rPr>
                      <w:rFonts w:hint="eastAsia"/>
                      <w:color w:val="auto"/>
                      <w:vertAlign w:val="superscript"/>
                      <w:lang w:val="en-US" w:eastAsia="zh-CN"/>
                    </w:rPr>
                    <w:t>-3</w:t>
                  </w:r>
                </w:p>
              </w:tc>
            </w:tr>
            <w:tr w14:paraId="05D1A4B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2" w:hRule="atLeast"/>
                <w:jc w:val="center"/>
              </w:trPr>
              <w:tc>
                <w:tcPr>
                  <w:tcW w:w="1876" w:type="pct"/>
                  <w:gridSpan w:val="4"/>
                  <w:vAlign w:val="center"/>
                </w:tcPr>
                <w:p w14:paraId="6FFC4590">
                  <w:pPr>
                    <w:keepNext w:val="0"/>
                    <w:keepLines w:val="0"/>
                    <w:pageBreakBefore w:val="0"/>
                    <w:widowControl w:val="0"/>
                    <w:kinsoku/>
                    <w:wordWrap/>
                    <w:overflowPunct/>
                    <w:topLinePunct w:val="0"/>
                    <w:autoSpaceDE/>
                    <w:autoSpaceDN/>
                    <w:bidi w:val="0"/>
                    <w:adjustRightInd/>
                    <w:snapToGrid/>
                    <w:jc w:val="center"/>
                    <w:textAlignment w:val="auto"/>
                    <w:rPr>
                      <w:color w:val="auto"/>
                    </w:rPr>
                  </w:pPr>
                  <w:r>
                    <w:rPr>
                      <w:color w:val="auto"/>
                    </w:rPr>
                    <w:t>备注</w:t>
                  </w:r>
                </w:p>
              </w:tc>
              <w:tc>
                <w:tcPr>
                  <w:tcW w:w="3122" w:type="pct"/>
                  <w:gridSpan w:val="13"/>
                  <w:vAlign w:val="center"/>
                </w:tcPr>
                <w:p w14:paraId="7CF952E2">
                  <w:pPr>
                    <w:keepNext w:val="0"/>
                    <w:keepLines w:val="0"/>
                    <w:pageBreakBefore w:val="0"/>
                    <w:widowControl w:val="0"/>
                    <w:kinsoku/>
                    <w:wordWrap/>
                    <w:overflowPunct/>
                    <w:topLinePunct w:val="0"/>
                    <w:autoSpaceDE/>
                    <w:autoSpaceDN/>
                    <w:bidi w:val="0"/>
                    <w:adjustRightInd/>
                    <w:snapToGrid/>
                    <w:jc w:val="center"/>
                    <w:textAlignment w:val="auto"/>
                    <w:rPr>
                      <w:color w:val="auto"/>
                    </w:rPr>
                  </w:pPr>
                  <w:r>
                    <w:rPr>
                      <w:color w:val="auto"/>
                    </w:rPr>
                    <w:t>/</w:t>
                  </w:r>
                </w:p>
              </w:tc>
            </w:tr>
            <w:tr w14:paraId="140E68C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769" w:type="pct"/>
                  <w:gridSpan w:val="3"/>
                  <w:vAlign w:val="center"/>
                </w:tcPr>
                <w:p w14:paraId="529159B4">
                  <w:pPr>
                    <w:pStyle w:val="9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采样点位</w:t>
                  </w:r>
                </w:p>
              </w:tc>
              <w:tc>
                <w:tcPr>
                  <w:tcW w:w="3230" w:type="pct"/>
                  <w:gridSpan w:val="14"/>
                  <w:vAlign w:val="center"/>
                </w:tcPr>
                <w:p w14:paraId="77420640">
                  <w:pPr>
                    <w:pStyle w:val="9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DA</w:t>
                  </w:r>
                  <w:r>
                    <w:rPr>
                      <w:rFonts w:hint="default" w:ascii="Times New Roman" w:hAnsi="Times New Roman" w:cs="Times New Roman"/>
                      <w:color w:val="auto"/>
                      <w:spacing w:val="1"/>
                      <w:sz w:val="21"/>
                      <w:szCs w:val="21"/>
                    </w:rPr>
                    <w:t>001有机废气排放口</w:t>
                  </w:r>
                </w:p>
              </w:tc>
            </w:tr>
            <w:tr w14:paraId="6D4841C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769" w:type="pct"/>
                  <w:gridSpan w:val="3"/>
                  <w:vAlign w:val="center"/>
                </w:tcPr>
                <w:p w14:paraId="38C7C582">
                  <w:pPr>
                    <w:pStyle w:val="9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eastAsia="宋体" w:cs="Times New Roman"/>
                      <w:color w:val="auto"/>
                      <w:sz w:val="21"/>
                      <w:szCs w:val="21"/>
                      <w:lang w:eastAsia="zh-CN"/>
                    </w:rPr>
                  </w:pPr>
                  <w:r>
                    <w:rPr>
                      <w:rFonts w:hint="default" w:ascii="Times New Roman" w:hAnsi="Times New Roman" w:cs="Times New Roman"/>
                      <w:color w:val="auto"/>
                      <w:spacing w:val="11"/>
                      <w:sz w:val="21"/>
                      <w:szCs w:val="21"/>
                    </w:rPr>
                    <w:t>测点截面积</w:t>
                  </w:r>
                  <w:r>
                    <w:rPr>
                      <w:rFonts w:hint="eastAsia" w:ascii="Times New Roman" w:hAnsi="Times New Roman" w:cs="Times New Roman"/>
                      <w:color w:val="auto"/>
                      <w:spacing w:val="11"/>
                      <w:sz w:val="21"/>
                      <w:szCs w:val="21"/>
                      <w:lang w:eastAsia="zh-CN"/>
                    </w:rPr>
                    <w:t>（</w:t>
                  </w:r>
                  <w:r>
                    <w:rPr>
                      <w:rFonts w:hint="default" w:ascii="Times New Roman" w:hAnsi="Times New Roman" w:cs="Times New Roman"/>
                      <w:color w:val="auto"/>
                      <w:spacing w:val="11"/>
                      <w:sz w:val="21"/>
                      <w:szCs w:val="21"/>
                    </w:rPr>
                    <w:t>m²</w:t>
                  </w:r>
                  <w:r>
                    <w:rPr>
                      <w:rFonts w:hint="eastAsia" w:ascii="Times New Roman" w:hAnsi="Times New Roman" w:cs="Times New Roman"/>
                      <w:color w:val="auto"/>
                      <w:spacing w:val="11"/>
                      <w:sz w:val="21"/>
                      <w:szCs w:val="21"/>
                      <w:lang w:eastAsia="zh-CN"/>
                    </w:rPr>
                    <w:t>）</w:t>
                  </w:r>
                </w:p>
              </w:tc>
              <w:tc>
                <w:tcPr>
                  <w:tcW w:w="608" w:type="pct"/>
                  <w:gridSpan w:val="2"/>
                  <w:vAlign w:val="center"/>
                </w:tcPr>
                <w:p w14:paraId="18C4EBF0">
                  <w:pPr>
                    <w:pStyle w:val="9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0.0707</w:t>
                  </w:r>
                </w:p>
              </w:tc>
              <w:tc>
                <w:tcPr>
                  <w:tcW w:w="962" w:type="pct"/>
                  <w:gridSpan w:val="4"/>
                  <w:vAlign w:val="center"/>
                </w:tcPr>
                <w:p w14:paraId="4D80D388">
                  <w:pPr>
                    <w:pStyle w:val="9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eastAsia="宋体" w:cs="Times New Roman"/>
                      <w:color w:val="auto"/>
                      <w:sz w:val="21"/>
                      <w:szCs w:val="21"/>
                      <w:lang w:eastAsia="zh-CN"/>
                    </w:rPr>
                  </w:pPr>
                  <w:r>
                    <w:rPr>
                      <w:rFonts w:hint="default" w:ascii="Times New Roman" w:hAnsi="Times New Roman" w:cs="Times New Roman"/>
                      <w:color w:val="auto"/>
                      <w:spacing w:val="3"/>
                      <w:sz w:val="21"/>
                      <w:szCs w:val="21"/>
                    </w:rPr>
                    <w:t>排气筒高度</w:t>
                  </w:r>
                  <w:r>
                    <w:rPr>
                      <w:rFonts w:hint="eastAsia" w:ascii="Times New Roman" w:hAnsi="Times New Roman" w:cs="Times New Roman"/>
                      <w:color w:val="auto"/>
                      <w:spacing w:val="3"/>
                      <w:sz w:val="21"/>
                      <w:szCs w:val="21"/>
                      <w:lang w:eastAsia="zh-CN"/>
                    </w:rPr>
                    <w:t>（</w:t>
                  </w:r>
                  <w:r>
                    <w:rPr>
                      <w:rFonts w:hint="default" w:ascii="Times New Roman" w:hAnsi="Times New Roman" w:cs="Times New Roman"/>
                      <w:color w:val="auto"/>
                      <w:spacing w:val="3"/>
                      <w:sz w:val="21"/>
                      <w:szCs w:val="21"/>
                    </w:rPr>
                    <w:t>m</w:t>
                  </w:r>
                  <w:r>
                    <w:rPr>
                      <w:rFonts w:hint="eastAsia" w:ascii="Times New Roman" w:hAnsi="Times New Roman" w:cs="Times New Roman"/>
                      <w:color w:val="auto"/>
                      <w:spacing w:val="3"/>
                      <w:sz w:val="21"/>
                      <w:szCs w:val="21"/>
                      <w:lang w:eastAsia="zh-CN"/>
                    </w:rPr>
                    <w:t>）</w:t>
                  </w:r>
                </w:p>
              </w:tc>
              <w:tc>
                <w:tcPr>
                  <w:tcW w:w="201" w:type="pct"/>
                  <w:vAlign w:val="center"/>
                </w:tcPr>
                <w:p w14:paraId="6506F818">
                  <w:pPr>
                    <w:pStyle w:val="9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5"/>
                      <w:sz w:val="21"/>
                      <w:szCs w:val="21"/>
                    </w:rPr>
                    <w:t>15</w:t>
                  </w:r>
                </w:p>
              </w:tc>
              <w:tc>
                <w:tcPr>
                  <w:tcW w:w="855" w:type="pct"/>
                  <w:gridSpan w:val="5"/>
                  <w:vAlign w:val="center"/>
                </w:tcPr>
                <w:p w14:paraId="78776037">
                  <w:pPr>
                    <w:pStyle w:val="9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废气治理措施</w:t>
                  </w:r>
                </w:p>
              </w:tc>
              <w:tc>
                <w:tcPr>
                  <w:tcW w:w="603" w:type="pct"/>
                  <w:gridSpan w:val="2"/>
                  <w:vAlign w:val="center"/>
                </w:tcPr>
                <w:p w14:paraId="027205A1">
                  <w:pPr>
                    <w:pStyle w:val="9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2"/>
                      <w:sz w:val="21"/>
                      <w:szCs w:val="21"/>
                    </w:rPr>
                    <w:t>活性炭</w:t>
                  </w:r>
                </w:p>
              </w:tc>
            </w:tr>
            <w:tr w14:paraId="04C2258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769" w:type="pct"/>
                  <w:gridSpan w:val="3"/>
                  <w:vAlign w:val="center"/>
                </w:tcPr>
                <w:p w14:paraId="70CD643F">
                  <w:pPr>
                    <w:pStyle w:val="9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采样时间</w:t>
                  </w:r>
                </w:p>
              </w:tc>
              <w:tc>
                <w:tcPr>
                  <w:tcW w:w="3230" w:type="pct"/>
                  <w:gridSpan w:val="14"/>
                  <w:vAlign w:val="center"/>
                </w:tcPr>
                <w:p w14:paraId="4B107403">
                  <w:pPr>
                    <w:pStyle w:val="9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2"/>
                      <w:sz w:val="21"/>
                      <w:szCs w:val="21"/>
                    </w:rPr>
                    <w:t>2025年12月08日</w:t>
                  </w:r>
                </w:p>
              </w:tc>
            </w:tr>
            <w:tr w14:paraId="0DC9AD2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769" w:type="pct"/>
                  <w:gridSpan w:val="3"/>
                  <w:vAlign w:val="center"/>
                </w:tcPr>
                <w:p w14:paraId="427E38C0">
                  <w:pPr>
                    <w:pStyle w:val="9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采样频次</w:t>
                  </w:r>
                </w:p>
              </w:tc>
              <w:tc>
                <w:tcPr>
                  <w:tcW w:w="1088" w:type="pct"/>
                  <w:gridSpan w:val="3"/>
                  <w:vAlign w:val="center"/>
                </w:tcPr>
                <w:p w14:paraId="257BD187">
                  <w:pPr>
                    <w:pStyle w:val="9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2"/>
                      <w:sz w:val="21"/>
                      <w:szCs w:val="21"/>
                    </w:rPr>
                    <w:t>第一次</w:t>
                  </w:r>
                </w:p>
              </w:tc>
              <w:tc>
                <w:tcPr>
                  <w:tcW w:w="1110" w:type="pct"/>
                  <w:gridSpan w:val="7"/>
                  <w:vAlign w:val="center"/>
                </w:tcPr>
                <w:p w14:paraId="5197BE98">
                  <w:pPr>
                    <w:pStyle w:val="9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2"/>
                      <w:sz w:val="21"/>
                      <w:szCs w:val="21"/>
                    </w:rPr>
                    <w:t>第二次</w:t>
                  </w:r>
                </w:p>
              </w:tc>
              <w:tc>
                <w:tcPr>
                  <w:tcW w:w="1031" w:type="pct"/>
                  <w:gridSpan w:val="4"/>
                  <w:vAlign w:val="center"/>
                </w:tcPr>
                <w:p w14:paraId="52F00597">
                  <w:pPr>
                    <w:pStyle w:val="9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2"/>
                      <w:sz w:val="21"/>
                      <w:szCs w:val="21"/>
                    </w:rPr>
                    <w:t>第三次</w:t>
                  </w:r>
                </w:p>
              </w:tc>
            </w:tr>
            <w:tr w14:paraId="4D9B7C0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769" w:type="pct"/>
                  <w:gridSpan w:val="3"/>
                  <w:vAlign w:val="center"/>
                </w:tcPr>
                <w:p w14:paraId="74513BE7">
                  <w:pPr>
                    <w:pStyle w:val="9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eastAsia="宋体" w:cs="Times New Roman"/>
                      <w:color w:val="auto"/>
                      <w:sz w:val="21"/>
                      <w:szCs w:val="21"/>
                      <w:lang w:eastAsia="zh-CN"/>
                    </w:rPr>
                  </w:pPr>
                  <w:r>
                    <w:rPr>
                      <w:rFonts w:hint="default" w:ascii="Times New Roman" w:hAnsi="Times New Roman" w:cs="Times New Roman"/>
                      <w:color w:val="auto"/>
                      <w:spacing w:val="4"/>
                      <w:sz w:val="21"/>
                      <w:szCs w:val="21"/>
                    </w:rPr>
                    <w:t>烟气温度</w:t>
                  </w:r>
                  <w:r>
                    <w:rPr>
                      <w:rFonts w:hint="eastAsia" w:ascii="Times New Roman" w:hAnsi="Times New Roman" w:cs="Times New Roman"/>
                      <w:color w:val="auto"/>
                      <w:spacing w:val="4"/>
                      <w:sz w:val="21"/>
                      <w:szCs w:val="21"/>
                      <w:lang w:eastAsia="zh-CN"/>
                    </w:rPr>
                    <w:t>（</w:t>
                  </w:r>
                  <w:r>
                    <w:rPr>
                      <w:rFonts w:hint="default" w:ascii="Times New Roman" w:hAnsi="Times New Roman" w:cs="Times New Roman"/>
                      <w:color w:val="auto"/>
                      <w:spacing w:val="4"/>
                      <w:sz w:val="21"/>
                      <w:szCs w:val="21"/>
                    </w:rPr>
                    <w:t>℃</w:t>
                  </w:r>
                  <w:r>
                    <w:rPr>
                      <w:rFonts w:hint="eastAsia" w:ascii="Times New Roman" w:hAnsi="Times New Roman" w:cs="Times New Roman"/>
                      <w:color w:val="auto"/>
                      <w:spacing w:val="4"/>
                      <w:sz w:val="21"/>
                      <w:szCs w:val="21"/>
                      <w:lang w:eastAsia="zh-CN"/>
                    </w:rPr>
                    <w:t>）</w:t>
                  </w:r>
                </w:p>
              </w:tc>
              <w:tc>
                <w:tcPr>
                  <w:tcW w:w="1088" w:type="pct"/>
                  <w:gridSpan w:val="3"/>
                  <w:vAlign w:val="center"/>
                </w:tcPr>
                <w:p w14:paraId="3CBE118B">
                  <w:pPr>
                    <w:pStyle w:val="9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pacing w:val="-2"/>
                      <w:sz w:val="21"/>
                      <w:szCs w:val="21"/>
                      <w:lang w:val="en-US" w:eastAsia="zh-CN"/>
                    </w:rPr>
                    <w:t>16</w:t>
                  </w:r>
                </w:p>
              </w:tc>
              <w:tc>
                <w:tcPr>
                  <w:tcW w:w="1110" w:type="pct"/>
                  <w:gridSpan w:val="7"/>
                  <w:vAlign w:val="center"/>
                </w:tcPr>
                <w:p w14:paraId="59E429AF">
                  <w:pPr>
                    <w:pStyle w:val="9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pacing w:val="-2"/>
                      <w:sz w:val="21"/>
                      <w:szCs w:val="21"/>
                      <w:lang w:val="en-US" w:eastAsia="zh-CN"/>
                    </w:rPr>
                    <w:t>15</w:t>
                  </w:r>
                </w:p>
              </w:tc>
              <w:tc>
                <w:tcPr>
                  <w:tcW w:w="1031" w:type="pct"/>
                  <w:gridSpan w:val="4"/>
                  <w:vAlign w:val="center"/>
                </w:tcPr>
                <w:p w14:paraId="0A10ED5E">
                  <w:pPr>
                    <w:pStyle w:val="9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pacing w:val="-2"/>
                      <w:sz w:val="21"/>
                      <w:szCs w:val="21"/>
                      <w:lang w:val="en-US" w:eastAsia="zh-CN"/>
                    </w:rPr>
                    <w:t>14</w:t>
                  </w:r>
                </w:p>
              </w:tc>
            </w:tr>
            <w:tr w14:paraId="472D734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769" w:type="pct"/>
                  <w:gridSpan w:val="3"/>
                  <w:vAlign w:val="center"/>
                </w:tcPr>
                <w:p w14:paraId="4884030A">
                  <w:pPr>
                    <w:pStyle w:val="9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eastAsia="宋体" w:cs="Times New Roman"/>
                      <w:color w:val="auto"/>
                      <w:sz w:val="21"/>
                      <w:szCs w:val="21"/>
                      <w:lang w:eastAsia="zh-CN"/>
                    </w:rPr>
                  </w:pPr>
                  <w:r>
                    <w:rPr>
                      <w:rFonts w:hint="default" w:ascii="Times New Roman" w:hAnsi="Times New Roman" w:cs="Times New Roman"/>
                      <w:color w:val="auto"/>
                      <w:spacing w:val="11"/>
                      <w:sz w:val="21"/>
                      <w:szCs w:val="21"/>
                    </w:rPr>
                    <w:t>标干流量</w:t>
                  </w:r>
                  <w:r>
                    <w:rPr>
                      <w:rFonts w:hint="eastAsia" w:ascii="Times New Roman" w:hAnsi="Times New Roman" w:cs="Times New Roman"/>
                      <w:color w:val="auto"/>
                      <w:spacing w:val="11"/>
                      <w:sz w:val="21"/>
                      <w:szCs w:val="21"/>
                      <w:lang w:eastAsia="zh-CN"/>
                    </w:rPr>
                    <w:t>（</w:t>
                  </w:r>
                  <w:r>
                    <w:rPr>
                      <w:rFonts w:hint="default" w:ascii="Times New Roman" w:hAnsi="Times New Roman" w:cs="Times New Roman"/>
                      <w:color w:val="auto"/>
                      <w:sz w:val="21"/>
                      <w:szCs w:val="21"/>
                    </w:rPr>
                    <w:t>Nm</w:t>
                  </w:r>
                  <w:r>
                    <w:rPr>
                      <w:rFonts w:hint="default" w:ascii="Times New Roman" w:hAnsi="Times New Roman" w:cs="Times New Roman"/>
                      <w:color w:val="auto"/>
                      <w:spacing w:val="11"/>
                      <w:sz w:val="21"/>
                      <w:szCs w:val="21"/>
                    </w:rPr>
                    <w:t>³/h</w:t>
                  </w:r>
                  <w:r>
                    <w:rPr>
                      <w:rFonts w:hint="eastAsia" w:ascii="Times New Roman" w:hAnsi="Times New Roman" w:cs="Times New Roman"/>
                      <w:color w:val="auto"/>
                      <w:spacing w:val="11"/>
                      <w:sz w:val="21"/>
                      <w:szCs w:val="21"/>
                      <w:lang w:eastAsia="zh-CN"/>
                    </w:rPr>
                    <w:t>）</w:t>
                  </w:r>
                </w:p>
              </w:tc>
              <w:tc>
                <w:tcPr>
                  <w:tcW w:w="1088" w:type="pct"/>
                  <w:gridSpan w:val="3"/>
                  <w:vAlign w:val="center"/>
                </w:tcPr>
                <w:p w14:paraId="5EDBB01F">
                  <w:pPr>
                    <w:pStyle w:val="9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pacing w:val="-4"/>
                      <w:sz w:val="21"/>
                      <w:szCs w:val="21"/>
                      <w:lang w:val="en-US" w:eastAsia="zh-CN"/>
                    </w:rPr>
                    <w:t>1423</w:t>
                  </w:r>
                </w:p>
              </w:tc>
              <w:tc>
                <w:tcPr>
                  <w:tcW w:w="1110" w:type="pct"/>
                  <w:gridSpan w:val="7"/>
                  <w:vAlign w:val="center"/>
                </w:tcPr>
                <w:p w14:paraId="01624191">
                  <w:pPr>
                    <w:pStyle w:val="9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pacing w:val="-4"/>
                      <w:sz w:val="21"/>
                      <w:szCs w:val="21"/>
                      <w:lang w:val="en-US" w:eastAsia="zh-CN"/>
                    </w:rPr>
                    <w:t>1449</w:t>
                  </w:r>
                </w:p>
              </w:tc>
              <w:tc>
                <w:tcPr>
                  <w:tcW w:w="1031" w:type="pct"/>
                  <w:gridSpan w:val="4"/>
                  <w:vAlign w:val="center"/>
                </w:tcPr>
                <w:p w14:paraId="66A6FFBD">
                  <w:pPr>
                    <w:pStyle w:val="9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pacing w:val="-4"/>
                      <w:sz w:val="21"/>
                      <w:szCs w:val="21"/>
                      <w:lang w:val="en-US" w:eastAsia="zh-CN"/>
                    </w:rPr>
                    <w:t>1513</w:t>
                  </w:r>
                </w:p>
              </w:tc>
            </w:tr>
            <w:tr w14:paraId="139546C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593" w:type="pct"/>
                  <w:vMerge w:val="restart"/>
                  <w:tcBorders>
                    <w:bottom w:val="nil"/>
                  </w:tcBorders>
                  <w:vAlign w:val="center"/>
                </w:tcPr>
                <w:p w14:paraId="000DD0D1">
                  <w:pPr>
                    <w:pStyle w:val="9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eastAsia="宋体" w:cs="Times New Roman"/>
                      <w:color w:val="auto"/>
                      <w:sz w:val="21"/>
                      <w:szCs w:val="21"/>
                      <w:lang w:eastAsia="zh-CN"/>
                    </w:rPr>
                  </w:pPr>
                  <w:r>
                    <w:rPr>
                      <w:rFonts w:hint="eastAsia" w:ascii="Times New Roman" w:hAnsi="Times New Roman" w:cs="Times New Roman"/>
                      <w:color w:val="auto"/>
                      <w:spacing w:val="-1"/>
                      <w:sz w:val="21"/>
                      <w:szCs w:val="21"/>
                      <w:lang w:eastAsia="zh-CN"/>
                    </w:rPr>
                    <w:t>VOCs（以非甲烷总烃计）</w:t>
                  </w:r>
                </w:p>
              </w:tc>
              <w:tc>
                <w:tcPr>
                  <w:tcW w:w="1175" w:type="pct"/>
                  <w:gridSpan w:val="2"/>
                  <w:vAlign w:val="center"/>
                </w:tcPr>
                <w:p w14:paraId="1FDD1707">
                  <w:pPr>
                    <w:pStyle w:val="9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样品编号</w:t>
                  </w:r>
                </w:p>
              </w:tc>
              <w:tc>
                <w:tcPr>
                  <w:tcW w:w="1838" w:type="dxa"/>
                  <w:gridSpan w:val="3"/>
                  <w:vAlign w:val="top"/>
                </w:tcPr>
                <w:p w14:paraId="424AFCDA">
                  <w:pPr>
                    <w:keepNext w:val="0"/>
                    <w:keepLines w:val="0"/>
                    <w:pageBreakBefore w:val="0"/>
                    <w:widowControl w:val="0"/>
                    <w:kinsoku/>
                    <w:wordWrap/>
                    <w:overflowPunct/>
                    <w:topLinePunct w:val="0"/>
                    <w:autoSpaceDE/>
                    <w:autoSpaceDN/>
                    <w:bidi w:val="0"/>
                    <w:adjustRightInd/>
                    <w:snapToGrid/>
                    <w:jc w:val="center"/>
                    <w:textAlignment w:val="auto"/>
                    <w:rPr>
                      <w:rFonts w:hint="default"/>
                      <w:color w:val="auto"/>
                      <w:lang w:val="en-US" w:eastAsia="zh-CN"/>
                    </w:rPr>
                  </w:pPr>
                  <w:r>
                    <w:rPr>
                      <w:rFonts w:hint="eastAsia"/>
                      <w:color w:val="auto"/>
                      <w:lang w:val="en-US" w:eastAsia="zh-CN"/>
                    </w:rPr>
                    <w:t>251293Y004</w:t>
                  </w:r>
                </w:p>
              </w:tc>
              <w:tc>
                <w:tcPr>
                  <w:tcW w:w="1874" w:type="dxa"/>
                  <w:gridSpan w:val="7"/>
                  <w:vAlign w:val="top"/>
                </w:tcPr>
                <w:p w14:paraId="2FE2ADCD">
                  <w:pPr>
                    <w:keepNext w:val="0"/>
                    <w:keepLines w:val="0"/>
                    <w:pageBreakBefore w:val="0"/>
                    <w:widowControl w:val="0"/>
                    <w:kinsoku/>
                    <w:wordWrap/>
                    <w:overflowPunct/>
                    <w:topLinePunct w:val="0"/>
                    <w:autoSpaceDE/>
                    <w:autoSpaceDN/>
                    <w:bidi w:val="0"/>
                    <w:adjustRightInd/>
                    <w:snapToGrid/>
                    <w:jc w:val="center"/>
                    <w:textAlignment w:val="auto"/>
                    <w:rPr>
                      <w:rFonts w:hint="default"/>
                      <w:color w:val="auto"/>
                      <w:lang w:val="en-US" w:eastAsia="zh-CN"/>
                    </w:rPr>
                  </w:pPr>
                  <w:r>
                    <w:rPr>
                      <w:rFonts w:hint="eastAsia"/>
                      <w:color w:val="auto"/>
                      <w:lang w:val="en-US" w:eastAsia="zh-CN"/>
                    </w:rPr>
                    <w:t>251293Y005</w:t>
                  </w:r>
                </w:p>
              </w:tc>
              <w:tc>
                <w:tcPr>
                  <w:tcW w:w="1743" w:type="dxa"/>
                  <w:gridSpan w:val="4"/>
                  <w:vAlign w:val="top"/>
                </w:tcPr>
                <w:p w14:paraId="057495B0">
                  <w:pPr>
                    <w:keepNext w:val="0"/>
                    <w:keepLines w:val="0"/>
                    <w:pageBreakBefore w:val="0"/>
                    <w:widowControl w:val="0"/>
                    <w:kinsoku/>
                    <w:wordWrap/>
                    <w:overflowPunct/>
                    <w:topLinePunct w:val="0"/>
                    <w:autoSpaceDE/>
                    <w:autoSpaceDN/>
                    <w:bidi w:val="0"/>
                    <w:adjustRightInd/>
                    <w:snapToGrid/>
                    <w:jc w:val="center"/>
                    <w:textAlignment w:val="auto"/>
                    <w:rPr>
                      <w:rFonts w:hint="default"/>
                      <w:color w:val="auto"/>
                      <w:lang w:val="en-US" w:eastAsia="zh-CN"/>
                    </w:rPr>
                  </w:pPr>
                  <w:r>
                    <w:rPr>
                      <w:rFonts w:hint="eastAsia"/>
                      <w:color w:val="auto"/>
                      <w:lang w:val="en-US" w:eastAsia="zh-CN"/>
                    </w:rPr>
                    <w:t>251293Y006</w:t>
                  </w:r>
                </w:p>
              </w:tc>
            </w:tr>
            <w:tr w14:paraId="6283A53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593" w:type="pct"/>
                  <w:vMerge w:val="continue"/>
                  <w:tcBorders>
                    <w:top w:val="nil"/>
                    <w:bottom w:val="nil"/>
                  </w:tcBorders>
                  <w:vAlign w:val="center"/>
                </w:tcPr>
                <w:p w14:paraId="00BB7582">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color w:val="auto"/>
                      <w:sz w:val="21"/>
                      <w:szCs w:val="21"/>
                    </w:rPr>
                  </w:pPr>
                </w:p>
              </w:tc>
              <w:tc>
                <w:tcPr>
                  <w:tcW w:w="1175" w:type="pct"/>
                  <w:gridSpan w:val="2"/>
                  <w:vAlign w:val="center"/>
                </w:tcPr>
                <w:p w14:paraId="4302566D">
                  <w:pPr>
                    <w:pStyle w:val="9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eastAsia="宋体" w:cs="Times New Roman"/>
                      <w:color w:val="auto"/>
                      <w:sz w:val="21"/>
                      <w:szCs w:val="21"/>
                      <w:lang w:eastAsia="zh-CN"/>
                    </w:rPr>
                  </w:pPr>
                  <w:r>
                    <w:rPr>
                      <w:rFonts w:hint="default" w:ascii="Times New Roman" w:hAnsi="Times New Roman" w:cs="Times New Roman"/>
                      <w:color w:val="auto"/>
                      <w:spacing w:val="11"/>
                      <w:sz w:val="21"/>
                      <w:szCs w:val="21"/>
                    </w:rPr>
                    <w:t>实测浓度</w:t>
                  </w:r>
                  <w:r>
                    <w:rPr>
                      <w:rFonts w:hint="eastAsia" w:ascii="Times New Roman" w:hAnsi="Times New Roman" w:cs="Times New Roman"/>
                      <w:color w:val="auto"/>
                      <w:spacing w:val="11"/>
                      <w:sz w:val="21"/>
                      <w:szCs w:val="21"/>
                      <w:lang w:eastAsia="zh-CN"/>
                    </w:rPr>
                    <w:t>（</w:t>
                  </w:r>
                  <w:r>
                    <w:rPr>
                      <w:rFonts w:hint="default" w:ascii="Times New Roman" w:hAnsi="Times New Roman" w:cs="Times New Roman"/>
                      <w:color w:val="auto"/>
                      <w:sz w:val="21"/>
                      <w:szCs w:val="21"/>
                    </w:rPr>
                    <w:t>mg</w:t>
                  </w:r>
                  <w:r>
                    <w:rPr>
                      <w:rFonts w:hint="default" w:ascii="Times New Roman" w:hAnsi="Times New Roman" w:cs="Times New Roman"/>
                      <w:color w:val="auto"/>
                      <w:spacing w:val="11"/>
                      <w:sz w:val="21"/>
                      <w:szCs w:val="21"/>
                    </w:rPr>
                    <w:t>/m³</w:t>
                  </w:r>
                  <w:r>
                    <w:rPr>
                      <w:rFonts w:hint="eastAsia" w:ascii="Times New Roman" w:hAnsi="Times New Roman" w:cs="Times New Roman"/>
                      <w:color w:val="auto"/>
                      <w:spacing w:val="11"/>
                      <w:sz w:val="21"/>
                      <w:szCs w:val="21"/>
                      <w:lang w:eastAsia="zh-CN"/>
                    </w:rPr>
                    <w:t>）</w:t>
                  </w:r>
                </w:p>
              </w:tc>
              <w:tc>
                <w:tcPr>
                  <w:tcW w:w="1838" w:type="dxa"/>
                  <w:gridSpan w:val="3"/>
                  <w:vAlign w:val="top"/>
                </w:tcPr>
                <w:p w14:paraId="71B3E55B">
                  <w:pPr>
                    <w:pStyle w:val="9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color w:val="auto"/>
                      <w:spacing w:val="-4"/>
                      <w:sz w:val="21"/>
                      <w:szCs w:val="21"/>
                      <w:lang w:val="en-US" w:eastAsia="zh-CN"/>
                    </w:rPr>
                  </w:pPr>
                  <w:r>
                    <w:rPr>
                      <w:rFonts w:hint="eastAsia" w:ascii="Times New Roman" w:hAnsi="Times New Roman" w:cs="Times New Roman"/>
                      <w:color w:val="auto"/>
                      <w:spacing w:val="-4"/>
                      <w:sz w:val="21"/>
                      <w:szCs w:val="21"/>
                      <w:lang w:val="en-US" w:eastAsia="zh-CN"/>
                    </w:rPr>
                    <w:t>4.17</w:t>
                  </w:r>
                </w:p>
              </w:tc>
              <w:tc>
                <w:tcPr>
                  <w:tcW w:w="1874" w:type="dxa"/>
                  <w:gridSpan w:val="7"/>
                  <w:vAlign w:val="top"/>
                </w:tcPr>
                <w:p w14:paraId="640E3D93">
                  <w:pPr>
                    <w:pStyle w:val="9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color w:val="auto"/>
                      <w:spacing w:val="-4"/>
                      <w:sz w:val="21"/>
                      <w:szCs w:val="21"/>
                      <w:lang w:val="en-US" w:eastAsia="zh-CN"/>
                    </w:rPr>
                  </w:pPr>
                  <w:r>
                    <w:rPr>
                      <w:rFonts w:hint="eastAsia" w:ascii="Times New Roman" w:hAnsi="Times New Roman" w:cs="Times New Roman"/>
                      <w:color w:val="auto"/>
                      <w:spacing w:val="-4"/>
                      <w:sz w:val="21"/>
                      <w:szCs w:val="21"/>
                      <w:lang w:val="en-US" w:eastAsia="zh-CN"/>
                    </w:rPr>
                    <w:t>4.62</w:t>
                  </w:r>
                </w:p>
              </w:tc>
              <w:tc>
                <w:tcPr>
                  <w:tcW w:w="1743" w:type="dxa"/>
                  <w:gridSpan w:val="4"/>
                  <w:vAlign w:val="top"/>
                </w:tcPr>
                <w:p w14:paraId="4CFA1FF3">
                  <w:pPr>
                    <w:pStyle w:val="9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color w:val="auto"/>
                      <w:spacing w:val="-4"/>
                      <w:sz w:val="21"/>
                      <w:szCs w:val="21"/>
                      <w:lang w:val="en-US" w:eastAsia="zh-CN"/>
                    </w:rPr>
                  </w:pPr>
                  <w:r>
                    <w:rPr>
                      <w:rFonts w:hint="eastAsia" w:ascii="Times New Roman" w:hAnsi="Times New Roman" w:cs="Times New Roman"/>
                      <w:color w:val="auto"/>
                      <w:spacing w:val="-4"/>
                      <w:sz w:val="21"/>
                      <w:szCs w:val="21"/>
                      <w:lang w:val="en-US" w:eastAsia="zh-CN"/>
                    </w:rPr>
                    <w:t>4.37</w:t>
                  </w:r>
                </w:p>
              </w:tc>
            </w:tr>
            <w:tr w14:paraId="064D943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593" w:type="pct"/>
                  <w:vMerge w:val="continue"/>
                  <w:tcBorders>
                    <w:top w:val="nil"/>
                  </w:tcBorders>
                  <w:vAlign w:val="center"/>
                </w:tcPr>
                <w:p w14:paraId="55A40F3E">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color w:val="auto"/>
                      <w:sz w:val="21"/>
                      <w:szCs w:val="21"/>
                    </w:rPr>
                  </w:pPr>
                </w:p>
              </w:tc>
              <w:tc>
                <w:tcPr>
                  <w:tcW w:w="1175" w:type="pct"/>
                  <w:gridSpan w:val="2"/>
                  <w:vAlign w:val="center"/>
                </w:tcPr>
                <w:p w14:paraId="5AF0F6DA">
                  <w:pPr>
                    <w:pStyle w:val="9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eastAsia="宋体" w:cs="Times New Roman"/>
                      <w:color w:val="auto"/>
                      <w:sz w:val="21"/>
                      <w:szCs w:val="21"/>
                      <w:lang w:eastAsia="zh-CN"/>
                    </w:rPr>
                  </w:pPr>
                  <w:r>
                    <w:rPr>
                      <w:rFonts w:hint="default" w:ascii="Times New Roman" w:hAnsi="Times New Roman" w:cs="Times New Roman"/>
                      <w:color w:val="auto"/>
                      <w:spacing w:val="4"/>
                      <w:sz w:val="21"/>
                      <w:szCs w:val="21"/>
                    </w:rPr>
                    <w:t>排放速率</w:t>
                  </w:r>
                  <w:r>
                    <w:rPr>
                      <w:rFonts w:hint="eastAsia" w:ascii="Times New Roman" w:hAnsi="Times New Roman" w:cs="Times New Roman"/>
                      <w:color w:val="auto"/>
                      <w:spacing w:val="4"/>
                      <w:sz w:val="21"/>
                      <w:szCs w:val="21"/>
                      <w:lang w:eastAsia="zh-CN"/>
                    </w:rPr>
                    <w:t>（</w:t>
                  </w:r>
                  <w:r>
                    <w:rPr>
                      <w:rFonts w:hint="default" w:ascii="Times New Roman" w:hAnsi="Times New Roman" w:cs="Times New Roman"/>
                      <w:color w:val="auto"/>
                      <w:sz w:val="21"/>
                      <w:szCs w:val="21"/>
                    </w:rPr>
                    <w:t>kg</w:t>
                  </w:r>
                  <w:r>
                    <w:rPr>
                      <w:rFonts w:hint="default" w:ascii="Times New Roman" w:hAnsi="Times New Roman" w:cs="Times New Roman"/>
                      <w:color w:val="auto"/>
                      <w:spacing w:val="4"/>
                      <w:sz w:val="21"/>
                      <w:szCs w:val="21"/>
                    </w:rPr>
                    <w:t>/h</w:t>
                  </w:r>
                  <w:r>
                    <w:rPr>
                      <w:rFonts w:hint="eastAsia" w:ascii="Times New Roman" w:hAnsi="Times New Roman" w:cs="Times New Roman"/>
                      <w:color w:val="auto"/>
                      <w:spacing w:val="4"/>
                      <w:sz w:val="21"/>
                      <w:szCs w:val="21"/>
                      <w:lang w:eastAsia="zh-CN"/>
                    </w:rPr>
                    <w:t>）</w:t>
                  </w:r>
                </w:p>
              </w:tc>
              <w:tc>
                <w:tcPr>
                  <w:tcW w:w="1838" w:type="dxa"/>
                  <w:gridSpan w:val="3"/>
                  <w:vAlign w:val="top"/>
                </w:tcPr>
                <w:p w14:paraId="17B2D931">
                  <w:pPr>
                    <w:pStyle w:val="9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color w:val="auto"/>
                      <w:spacing w:val="-4"/>
                      <w:sz w:val="21"/>
                      <w:szCs w:val="21"/>
                      <w:lang w:val="en-US" w:eastAsia="zh-CN"/>
                    </w:rPr>
                  </w:pPr>
                  <w:r>
                    <w:rPr>
                      <w:rFonts w:hint="eastAsia" w:ascii="Times New Roman" w:hAnsi="Times New Roman" w:cs="Times New Roman"/>
                      <w:color w:val="auto"/>
                      <w:spacing w:val="-4"/>
                      <w:sz w:val="21"/>
                      <w:szCs w:val="21"/>
                      <w:lang w:val="en-US" w:eastAsia="zh-CN"/>
                    </w:rPr>
                    <w:t>5.93×10</w:t>
                  </w:r>
                  <w:r>
                    <w:rPr>
                      <w:rFonts w:hint="eastAsia" w:ascii="Times New Roman" w:hAnsi="Times New Roman" w:cs="Times New Roman"/>
                      <w:color w:val="auto"/>
                      <w:spacing w:val="-4"/>
                      <w:sz w:val="21"/>
                      <w:szCs w:val="21"/>
                      <w:vertAlign w:val="superscript"/>
                      <w:lang w:val="en-US" w:eastAsia="zh-CN"/>
                    </w:rPr>
                    <w:t>-3</w:t>
                  </w:r>
                </w:p>
              </w:tc>
              <w:tc>
                <w:tcPr>
                  <w:tcW w:w="1874" w:type="dxa"/>
                  <w:gridSpan w:val="7"/>
                  <w:vAlign w:val="top"/>
                </w:tcPr>
                <w:p w14:paraId="7377DFEF">
                  <w:pPr>
                    <w:pStyle w:val="9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color w:val="auto"/>
                      <w:spacing w:val="-4"/>
                      <w:sz w:val="21"/>
                      <w:szCs w:val="21"/>
                      <w:lang w:val="en-US" w:eastAsia="zh-CN"/>
                    </w:rPr>
                  </w:pPr>
                  <w:r>
                    <w:rPr>
                      <w:rFonts w:hint="eastAsia" w:ascii="Times New Roman" w:hAnsi="Times New Roman" w:cs="Times New Roman"/>
                      <w:color w:val="auto"/>
                      <w:spacing w:val="-4"/>
                      <w:sz w:val="21"/>
                      <w:szCs w:val="21"/>
                      <w:lang w:val="en-US" w:eastAsia="zh-CN"/>
                    </w:rPr>
                    <w:t>6.69×10</w:t>
                  </w:r>
                  <w:r>
                    <w:rPr>
                      <w:rFonts w:hint="eastAsia" w:ascii="Times New Roman" w:hAnsi="Times New Roman" w:cs="Times New Roman"/>
                      <w:color w:val="auto"/>
                      <w:spacing w:val="-4"/>
                      <w:sz w:val="21"/>
                      <w:szCs w:val="21"/>
                      <w:vertAlign w:val="superscript"/>
                      <w:lang w:val="en-US" w:eastAsia="zh-CN"/>
                    </w:rPr>
                    <w:t>-3</w:t>
                  </w:r>
                </w:p>
              </w:tc>
              <w:tc>
                <w:tcPr>
                  <w:tcW w:w="1743" w:type="dxa"/>
                  <w:gridSpan w:val="4"/>
                  <w:vAlign w:val="top"/>
                </w:tcPr>
                <w:p w14:paraId="59AE0815">
                  <w:pPr>
                    <w:pStyle w:val="9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color w:val="auto"/>
                      <w:spacing w:val="-4"/>
                      <w:sz w:val="21"/>
                      <w:szCs w:val="21"/>
                      <w:lang w:val="en-US" w:eastAsia="zh-CN"/>
                    </w:rPr>
                  </w:pPr>
                  <w:r>
                    <w:rPr>
                      <w:rFonts w:hint="eastAsia" w:ascii="Times New Roman" w:hAnsi="Times New Roman" w:cs="Times New Roman"/>
                      <w:color w:val="auto"/>
                      <w:spacing w:val="-4"/>
                      <w:sz w:val="21"/>
                      <w:szCs w:val="21"/>
                      <w:lang w:val="en-US" w:eastAsia="zh-CN"/>
                    </w:rPr>
                    <w:t>6.61×10</w:t>
                  </w:r>
                  <w:r>
                    <w:rPr>
                      <w:rFonts w:hint="eastAsia" w:ascii="Times New Roman" w:hAnsi="Times New Roman" w:cs="Times New Roman"/>
                      <w:color w:val="auto"/>
                      <w:spacing w:val="-4"/>
                      <w:sz w:val="21"/>
                      <w:szCs w:val="21"/>
                      <w:vertAlign w:val="superscript"/>
                      <w:lang w:val="en-US" w:eastAsia="zh-CN"/>
                    </w:rPr>
                    <w:t>-3</w:t>
                  </w:r>
                </w:p>
              </w:tc>
            </w:tr>
            <w:tr w14:paraId="097C5C9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769" w:type="pct"/>
                  <w:gridSpan w:val="3"/>
                  <w:vAlign w:val="center"/>
                </w:tcPr>
                <w:p w14:paraId="7CCCB5AB">
                  <w:pPr>
                    <w:pStyle w:val="9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2"/>
                      <w:sz w:val="21"/>
                      <w:szCs w:val="21"/>
                    </w:rPr>
                    <w:t>备注</w:t>
                  </w:r>
                </w:p>
              </w:tc>
              <w:tc>
                <w:tcPr>
                  <w:tcW w:w="3230" w:type="pct"/>
                  <w:gridSpan w:val="14"/>
                  <w:vAlign w:val="center"/>
                </w:tcPr>
                <w:p w14:paraId="11612C19">
                  <w:pPr>
                    <w:pStyle w:val="9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bl>
          <w:p w14:paraId="786AD3B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kern w:val="0"/>
                <w:sz w:val="24"/>
                <w:szCs w:val="24"/>
                <w:lang w:val="en-US" w:eastAsia="zh-CN" w:bidi="ar"/>
              </w:rPr>
            </w:pPr>
            <w:r>
              <w:rPr>
                <w:rFonts w:hint="default" w:ascii="Times New Roman" w:hAnsi="Times New Roman" w:cs="Times New Roman"/>
                <w:color w:val="auto"/>
                <w:sz w:val="24"/>
                <w:lang w:val="en-US" w:eastAsia="zh-CN"/>
              </w:rPr>
              <w:t>从上</w:t>
            </w:r>
            <w:r>
              <w:rPr>
                <w:rFonts w:hint="eastAsia" w:cs="Times New Roman"/>
                <w:color w:val="auto"/>
                <w:sz w:val="24"/>
                <w:lang w:val="en-US" w:eastAsia="zh-CN"/>
              </w:rPr>
              <w:t>两</w:t>
            </w:r>
            <w:r>
              <w:rPr>
                <w:rFonts w:hint="default" w:ascii="Times New Roman" w:hAnsi="Times New Roman" w:cs="Times New Roman"/>
                <w:color w:val="auto"/>
                <w:sz w:val="24"/>
                <w:lang w:val="en-US" w:eastAsia="zh-CN"/>
              </w:rPr>
              <w:t>表可以看出，有组织</w:t>
            </w:r>
            <w:r>
              <w:rPr>
                <w:rFonts w:hint="eastAsia" w:cs="Times New Roman"/>
                <w:color w:val="auto"/>
                <w:sz w:val="24"/>
                <w:lang w:val="en-US" w:eastAsia="zh-CN"/>
              </w:rPr>
              <w:t>排放的</w:t>
            </w:r>
            <w:r>
              <w:rPr>
                <w:rFonts w:hint="default" w:ascii="Times New Roman" w:hAnsi="Times New Roman" w:cs="Times New Roman"/>
                <w:color w:val="auto"/>
                <w:sz w:val="24"/>
                <w:lang w:val="en-US" w:eastAsia="zh-CN"/>
              </w:rPr>
              <w:t>有机废气浓度最大值为</w:t>
            </w:r>
            <w:r>
              <w:rPr>
                <w:rFonts w:hint="eastAsia" w:cs="Times New Roman"/>
                <w:color w:val="auto"/>
                <w:sz w:val="24"/>
                <w:lang w:val="en-US" w:eastAsia="zh-CN"/>
              </w:rPr>
              <w:t>4.62</w:t>
            </w:r>
            <w:r>
              <w:rPr>
                <w:rFonts w:hint="default" w:ascii="Times New Roman" w:hAnsi="Times New Roman" w:cs="Times New Roman"/>
                <w:color w:val="auto"/>
                <w:sz w:val="24"/>
                <w:szCs w:val="24"/>
                <w:lang w:val="en-US" w:eastAsia="zh-CN"/>
              </w:rPr>
              <w:t>mg/m</w:t>
            </w:r>
            <w:r>
              <w:rPr>
                <w:rFonts w:hint="default" w:ascii="Times New Roman" w:hAnsi="Times New Roman" w:cs="Times New Roman"/>
                <w:color w:val="auto"/>
                <w:sz w:val="24"/>
                <w:szCs w:val="24"/>
                <w:vertAlign w:val="superscript"/>
                <w:lang w:val="en-US" w:eastAsia="zh-CN"/>
              </w:rPr>
              <w:t>3</w:t>
            </w:r>
            <w:r>
              <w:rPr>
                <w:rFonts w:hint="default" w:ascii="Times New Roman" w:hAnsi="Times New Roman" w:cs="Times New Roman"/>
                <w:color w:val="auto"/>
                <w:sz w:val="24"/>
                <w:szCs w:val="24"/>
                <w:lang w:val="en-US" w:eastAsia="zh-CN"/>
              </w:rPr>
              <w:t>，</w:t>
            </w:r>
            <w:r>
              <w:rPr>
                <w:rFonts w:hint="eastAsia" w:ascii="Times New Roman" w:hAnsi="Times New Roman" w:cs="Times New Roman"/>
                <w:color w:val="auto"/>
                <w:sz w:val="24"/>
                <w:szCs w:val="24"/>
                <w:lang w:val="en-US" w:eastAsia="zh-CN"/>
              </w:rPr>
              <w:t>最高排放速率为</w:t>
            </w:r>
            <w:r>
              <w:rPr>
                <w:rFonts w:hint="eastAsia" w:cs="Times New Roman"/>
                <w:color w:val="auto"/>
                <w:sz w:val="24"/>
                <w:szCs w:val="24"/>
                <w:lang w:val="en-US" w:eastAsia="zh-CN"/>
              </w:rPr>
              <w:t>0.00669</w:t>
            </w:r>
            <w:r>
              <w:rPr>
                <w:rFonts w:hint="eastAsia" w:ascii="Times New Roman" w:hAnsi="Times New Roman" w:cs="Times New Roman"/>
                <w:color w:val="auto"/>
                <w:sz w:val="24"/>
                <w:szCs w:val="24"/>
                <w:lang w:val="en-US" w:eastAsia="zh-CN"/>
              </w:rPr>
              <w:t>kg/h，</w:t>
            </w:r>
            <w:r>
              <w:rPr>
                <w:rFonts w:hint="default" w:ascii="Times New Roman" w:hAnsi="Times New Roman" w:cs="Times New Roman"/>
                <w:color w:val="auto"/>
                <w:sz w:val="24"/>
                <w:szCs w:val="24"/>
                <w:lang w:val="en-US" w:eastAsia="zh-CN"/>
              </w:rPr>
              <w:t>满足《挥发性有机物排放标准 第7部分：其他行业》</w:t>
            </w:r>
            <w:r>
              <w:rPr>
                <w:rFonts w:hint="default" w:ascii="Times New Roman" w:hAnsi="Times New Roman" w:eastAsia="宋体" w:cs="Times New Roman"/>
                <w:color w:val="auto"/>
                <w:kern w:val="0"/>
                <w:sz w:val="24"/>
                <w:szCs w:val="24"/>
                <w:lang w:val="en-US" w:eastAsia="zh-CN" w:bidi="ar"/>
              </w:rPr>
              <w:t>（DB37/2801.7-2019）表1中非重点行业Ⅱ时段的排放限值</w:t>
            </w:r>
            <w:r>
              <w:rPr>
                <w:rFonts w:hint="eastAsia" w:ascii="Times New Roman" w:hAnsi="Times New Roman" w:cs="Times New Roman"/>
                <w:color w:val="auto"/>
                <w:kern w:val="0"/>
                <w:sz w:val="24"/>
                <w:szCs w:val="24"/>
                <w:lang w:val="en-US" w:eastAsia="zh-CN" w:bidi="ar"/>
              </w:rPr>
              <w:t>要求（即排放浓度＜</w:t>
            </w:r>
            <w:r>
              <w:rPr>
                <w:rFonts w:hint="eastAsia" w:ascii="Times New Roman" w:hAnsi="Times New Roman" w:cs="Times New Roman"/>
                <w:color w:val="auto"/>
                <w:sz w:val="24"/>
                <w:szCs w:val="24"/>
                <w:lang w:val="en-US" w:eastAsia="zh-CN"/>
              </w:rPr>
              <w:t>6</w:t>
            </w:r>
            <w:r>
              <w:rPr>
                <w:rFonts w:hint="default" w:ascii="Times New Roman" w:hAnsi="Times New Roman" w:cs="Times New Roman"/>
                <w:color w:val="auto"/>
                <w:sz w:val="24"/>
                <w:szCs w:val="24"/>
                <w:lang w:val="en-US" w:eastAsia="zh-CN"/>
              </w:rPr>
              <w:t>0mg/m</w:t>
            </w:r>
            <w:r>
              <w:rPr>
                <w:rFonts w:hint="default" w:ascii="Times New Roman" w:hAnsi="Times New Roman" w:cs="Times New Roman"/>
                <w:color w:val="auto"/>
                <w:sz w:val="24"/>
                <w:szCs w:val="24"/>
                <w:vertAlign w:val="superscript"/>
                <w:lang w:val="en-US" w:eastAsia="zh-CN"/>
              </w:rPr>
              <w:t>3</w:t>
            </w:r>
            <w:r>
              <w:rPr>
                <w:rFonts w:hint="default" w:ascii="Times New Roman" w:hAnsi="Times New Roman" w:cs="Times New Roman"/>
                <w:color w:val="auto"/>
                <w:sz w:val="24"/>
                <w:szCs w:val="24"/>
                <w:lang w:val="en-US" w:eastAsia="zh-CN"/>
              </w:rPr>
              <w:t>，</w:t>
            </w:r>
            <w:r>
              <w:rPr>
                <w:rFonts w:hint="eastAsia" w:cs="Times New Roman"/>
                <w:color w:val="auto"/>
                <w:sz w:val="24"/>
                <w:szCs w:val="24"/>
                <w:lang w:val="en-US" w:eastAsia="zh-CN"/>
              </w:rPr>
              <w:t>排放速率＜</w:t>
            </w:r>
            <w:r>
              <w:rPr>
                <w:rFonts w:hint="eastAsia" w:ascii="Times New Roman" w:hAnsi="Times New Roman" w:cs="Times New Roman"/>
                <w:color w:val="auto"/>
                <w:sz w:val="24"/>
                <w:szCs w:val="24"/>
                <w:lang w:val="en-US" w:eastAsia="zh-CN"/>
              </w:rPr>
              <w:t>3.0kg/h</w:t>
            </w:r>
            <w:r>
              <w:rPr>
                <w:rFonts w:hint="eastAsia" w:ascii="Times New Roman" w:hAnsi="Times New Roman" w:cs="Times New Roman"/>
                <w:color w:val="auto"/>
                <w:kern w:val="0"/>
                <w:sz w:val="24"/>
                <w:szCs w:val="24"/>
                <w:lang w:val="en-US" w:eastAsia="zh-CN" w:bidi="ar"/>
              </w:rPr>
              <w:t>）。</w:t>
            </w:r>
          </w:p>
          <w:p w14:paraId="48AB9AEE">
            <w:pPr>
              <w:keepNext w:val="0"/>
              <w:keepLines w:val="0"/>
              <w:pageBreakBefore w:val="0"/>
              <w:widowControl w:val="0"/>
              <w:numPr>
                <w:ilvl w:val="0"/>
                <w:numId w:val="22"/>
              </w:numPr>
              <w:kinsoku/>
              <w:wordWrap/>
              <w:overflowPunct/>
              <w:topLinePunct w:val="0"/>
              <w:autoSpaceDE/>
              <w:autoSpaceDN/>
              <w:bidi w:val="0"/>
              <w:adjustRightInd w:val="0"/>
              <w:snapToGrid w:val="0"/>
              <w:spacing w:line="360" w:lineRule="auto"/>
              <w:ind w:left="0" w:leftChars="0" w:firstLine="480" w:firstLineChars="200"/>
              <w:textAlignment w:val="auto"/>
              <w:rPr>
                <w:rFonts w:hint="default" w:cs="Times New Roman"/>
                <w:color w:val="auto"/>
                <w:sz w:val="24"/>
                <w:lang w:val="en-US" w:eastAsia="zh-CN"/>
              </w:rPr>
            </w:pPr>
            <w:r>
              <w:rPr>
                <w:rFonts w:hint="eastAsia" w:cs="Times New Roman"/>
                <w:color w:val="auto"/>
                <w:sz w:val="24"/>
                <w:lang w:val="en-US" w:eastAsia="zh-CN"/>
              </w:rPr>
              <w:t>DA002酸性废气排气筒</w:t>
            </w:r>
          </w:p>
          <w:p w14:paraId="2D1CDEA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lang w:val="en-US" w:eastAsia="zh-CN"/>
              </w:rPr>
            </w:pPr>
            <w:r>
              <w:rPr>
                <w:rFonts w:hint="eastAsia" w:ascii="Times New Roman" w:hAnsi="Times New Roman" w:cs="Times New Roman"/>
                <w:color w:val="auto"/>
                <w:sz w:val="24"/>
                <w:lang w:val="en-US" w:eastAsia="zh-CN"/>
              </w:rPr>
              <w:t>根据《淄博利赛环保科技有限公司</w:t>
            </w:r>
            <w:r>
              <w:rPr>
                <w:rFonts w:hint="eastAsia" w:cs="Times New Roman"/>
                <w:color w:val="auto"/>
                <w:sz w:val="24"/>
                <w:lang w:val="en-US" w:eastAsia="zh-CN"/>
              </w:rPr>
              <w:t>检测报告</w:t>
            </w:r>
            <w:r>
              <w:rPr>
                <w:rFonts w:hint="eastAsia" w:ascii="Times New Roman" w:hAnsi="Times New Roman" w:cs="Times New Roman"/>
                <w:color w:val="auto"/>
                <w:sz w:val="24"/>
                <w:lang w:val="en-US" w:eastAsia="zh-CN"/>
              </w:rPr>
              <w:t>》（报告编号</w:t>
            </w:r>
            <w:r>
              <w:rPr>
                <w:rFonts w:hint="eastAsia" w:cs="Times New Roman"/>
                <w:color w:val="auto"/>
                <w:sz w:val="24"/>
                <w:lang w:val="en-US" w:eastAsia="zh-CN"/>
              </w:rPr>
              <w:t>：</w:t>
            </w:r>
            <w:r>
              <w:rPr>
                <w:rFonts w:hint="eastAsia" w:ascii="Times New Roman" w:hAnsi="Times New Roman" w:cs="Times New Roman"/>
                <w:color w:val="auto"/>
                <w:sz w:val="24"/>
                <w:lang w:val="en-US" w:eastAsia="zh-CN"/>
              </w:rPr>
              <w:t>DLJC202506101</w:t>
            </w:r>
            <w:r>
              <w:rPr>
                <w:rFonts w:hint="eastAsia" w:cs="Times New Roman"/>
                <w:color w:val="auto"/>
                <w:sz w:val="24"/>
                <w:lang w:val="en-US" w:eastAsia="zh-CN"/>
              </w:rPr>
              <w:t>、</w:t>
            </w:r>
            <w:r>
              <w:rPr>
                <w:rFonts w:hint="eastAsia" w:ascii="Times New Roman" w:hAnsi="Times New Roman" w:cs="Times New Roman"/>
                <w:color w:val="auto"/>
                <w:sz w:val="24"/>
                <w:lang w:val="en-US" w:eastAsia="zh-CN"/>
              </w:rPr>
              <w:t>DLJC20251293</w:t>
            </w:r>
            <w:r>
              <w:rPr>
                <w:rFonts w:hint="default" w:ascii="Times New Roman" w:hAnsi="Times New Roman" w:cs="Times New Roman"/>
                <w:color w:val="auto"/>
                <w:sz w:val="24"/>
                <w:lang w:val="en-US" w:eastAsia="zh-CN"/>
              </w:rPr>
              <w:t>）</w:t>
            </w:r>
            <w:r>
              <w:rPr>
                <w:rFonts w:hint="eastAsia" w:cs="Times New Roman"/>
                <w:color w:val="auto"/>
                <w:sz w:val="24"/>
                <w:lang w:val="en-US" w:eastAsia="zh-CN"/>
              </w:rPr>
              <w:t>（详见附件十一）</w:t>
            </w:r>
            <w:r>
              <w:rPr>
                <w:rFonts w:hint="default" w:ascii="Times New Roman" w:hAnsi="Times New Roman" w:cs="Times New Roman"/>
                <w:color w:val="auto"/>
                <w:sz w:val="24"/>
                <w:lang w:val="en-US" w:eastAsia="zh-CN"/>
              </w:rPr>
              <w:t>，</w:t>
            </w:r>
            <w:r>
              <w:rPr>
                <w:rFonts w:hint="eastAsia" w:cs="Times New Roman"/>
                <w:color w:val="auto"/>
                <w:sz w:val="24"/>
                <w:lang w:val="en-US" w:eastAsia="zh-CN"/>
              </w:rPr>
              <w:t>DA002排气筒</w:t>
            </w:r>
            <w:r>
              <w:rPr>
                <w:rFonts w:hint="default" w:ascii="Times New Roman" w:hAnsi="Times New Roman" w:cs="Times New Roman"/>
                <w:color w:val="auto"/>
                <w:sz w:val="24"/>
                <w:lang w:val="en-US" w:eastAsia="zh-CN"/>
              </w:rPr>
              <w:t>排放情况如下：</w:t>
            </w:r>
          </w:p>
          <w:p w14:paraId="5FC61F16">
            <w:pPr>
              <w:keepNext w:val="0"/>
              <w:keepLines w:val="0"/>
              <w:pageBreakBefore w:val="0"/>
              <w:widowControl w:val="0"/>
              <w:numPr>
                <w:ilvl w:val="0"/>
                <w:numId w:val="14"/>
              </w:numPr>
              <w:kinsoku/>
              <w:wordWrap/>
              <w:overflowPunct/>
              <w:topLinePunct w:val="0"/>
              <w:autoSpaceDE w:val="0"/>
              <w:autoSpaceDN w:val="0"/>
              <w:bidi w:val="0"/>
              <w:adjustRightInd w:val="0"/>
              <w:snapToGrid/>
              <w:spacing w:line="360" w:lineRule="auto"/>
              <w:ind w:left="0" w:leftChars="0" w:firstLine="0" w:firstLineChars="0"/>
              <w:jc w:val="center"/>
              <w:textAlignment w:val="auto"/>
              <w:rPr>
                <w:rFonts w:hint="default" w:cs="Times New Roman"/>
                <w:b/>
                <w:bCs/>
                <w:color w:val="auto"/>
                <w:kern w:val="0"/>
                <w:sz w:val="24"/>
                <w:szCs w:val="24"/>
                <w:lang w:val="en-US" w:eastAsia="zh-CN" w:bidi="ar"/>
              </w:rPr>
            </w:pPr>
            <w:r>
              <w:rPr>
                <w:rFonts w:hint="default" w:cs="Times New Roman"/>
                <w:b/>
                <w:bCs/>
                <w:color w:val="auto"/>
                <w:kern w:val="0"/>
                <w:sz w:val="24"/>
                <w:szCs w:val="24"/>
                <w:lang w:val="en-US" w:eastAsia="zh-CN" w:bidi="ar"/>
              </w:rPr>
              <w:t>DA00</w:t>
            </w:r>
            <w:r>
              <w:rPr>
                <w:rFonts w:hint="eastAsia" w:cs="Times New Roman"/>
                <w:b/>
                <w:bCs/>
                <w:color w:val="auto"/>
                <w:kern w:val="0"/>
                <w:sz w:val="24"/>
                <w:szCs w:val="24"/>
                <w:lang w:val="en-US" w:eastAsia="zh-CN" w:bidi="ar"/>
              </w:rPr>
              <w:t>2酸性</w:t>
            </w:r>
            <w:r>
              <w:rPr>
                <w:rFonts w:hint="default" w:cs="Times New Roman"/>
                <w:b/>
                <w:bCs/>
                <w:color w:val="auto"/>
                <w:kern w:val="0"/>
                <w:sz w:val="24"/>
                <w:szCs w:val="24"/>
                <w:lang w:val="en-US" w:eastAsia="zh-CN" w:bidi="ar"/>
              </w:rPr>
              <w:t>废气排放口检测结果表</w:t>
            </w:r>
            <w:r>
              <w:rPr>
                <w:rFonts w:hint="eastAsia" w:cs="Times New Roman"/>
                <w:b/>
                <w:bCs/>
                <w:color w:val="auto"/>
                <w:kern w:val="0"/>
                <w:sz w:val="24"/>
                <w:szCs w:val="24"/>
                <w:lang w:val="en-US" w:eastAsia="zh-CN" w:bidi="ar"/>
              </w:rPr>
              <w:t>（一）</w:t>
            </w:r>
          </w:p>
          <w:tbl>
            <w:tblPr>
              <w:tblStyle w:val="89"/>
              <w:tblW w:w="4999"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679"/>
              <w:gridCol w:w="2188"/>
              <w:gridCol w:w="963"/>
              <w:gridCol w:w="924"/>
              <w:gridCol w:w="921"/>
              <w:gridCol w:w="351"/>
              <w:gridCol w:w="684"/>
              <w:gridCol w:w="677"/>
              <w:gridCol w:w="1057"/>
            </w:tblGrid>
            <w:tr w14:paraId="1728A1E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697" w:type="pct"/>
                  <w:gridSpan w:val="2"/>
                  <w:vAlign w:val="center"/>
                </w:tcPr>
                <w:p w14:paraId="10BEB230">
                  <w:pPr>
                    <w:pStyle w:val="9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2"/>
                      <w:sz w:val="21"/>
                      <w:szCs w:val="21"/>
                    </w:rPr>
                    <w:t>采样点位</w:t>
                  </w:r>
                </w:p>
              </w:tc>
              <w:tc>
                <w:tcPr>
                  <w:tcW w:w="3302" w:type="pct"/>
                  <w:gridSpan w:val="7"/>
                  <w:vAlign w:val="center"/>
                </w:tcPr>
                <w:p w14:paraId="0EE57C0F">
                  <w:pPr>
                    <w:pStyle w:val="9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DA</w:t>
                  </w:r>
                  <w:r>
                    <w:rPr>
                      <w:rFonts w:hint="default" w:ascii="Times New Roman" w:hAnsi="Times New Roman" w:cs="Times New Roman"/>
                      <w:color w:val="auto"/>
                      <w:spacing w:val="2"/>
                      <w:sz w:val="21"/>
                      <w:szCs w:val="21"/>
                    </w:rPr>
                    <w:t>002酸性废气排放口</w:t>
                  </w:r>
                </w:p>
              </w:tc>
            </w:tr>
            <w:tr w14:paraId="51FB759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697" w:type="pct"/>
                  <w:gridSpan w:val="2"/>
                  <w:vAlign w:val="center"/>
                </w:tcPr>
                <w:p w14:paraId="6C1D0499">
                  <w:pPr>
                    <w:pStyle w:val="9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Times New Roman" w:hAnsi="Times New Roman" w:eastAsia="宋体" w:cs="Times New Roman"/>
                      <w:color w:val="auto"/>
                      <w:sz w:val="21"/>
                      <w:szCs w:val="21"/>
                      <w:lang w:eastAsia="zh-CN"/>
                    </w:rPr>
                  </w:pPr>
                  <w:r>
                    <w:rPr>
                      <w:rFonts w:hint="default" w:ascii="Times New Roman" w:hAnsi="Times New Roman" w:cs="Times New Roman"/>
                      <w:color w:val="auto"/>
                      <w:spacing w:val="13"/>
                      <w:sz w:val="21"/>
                      <w:szCs w:val="21"/>
                    </w:rPr>
                    <w:t>测点截面积</w:t>
                  </w:r>
                  <w:r>
                    <w:rPr>
                      <w:rFonts w:hint="eastAsia" w:ascii="Times New Roman" w:hAnsi="Times New Roman" w:cs="Times New Roman"/>
                      <w:color w:val="auto"/>
                      <w:spacing w:val="13"/>
                      <w:sz w:val="21"/>
                      <w:szCs w:val="21"/>
                      <w:lang w:eastAsia="zh-CN"/>
                    </w:rPr>
                    <w:t>（</w:t>
                  </w:r>
                  <w:r>
                    <w:rPr>
                      <w:rFonts w:hint="default" w:ascii="Times New Roman" w:hAnsi="Times New Roman" w:cs="Times New Roman"/>
                      <w:color w:val="auto"/>
                      <w:spacing w:val="13"/>
                      <w:sz w:val="21"/>
                      <w:szCs w:val="21"/>
                    </w:rPr>
                    <w:t>m²</w:t>
                  </w:r>
                  <w:r>
                    <w:rPr>
                      <w:rFonts w:hint="eastAsia" w:ascii="Times New Roman" w:hAnsi="Times New Roman" w:cs="Times New Roman"/>
                      <w:color w:val="auto"/>
                      <w:spacing w:val="13"/>
                      <w:sz w:val="21"/>
                      <w:szCs w:val="21"/>
                      <w:lang w:eastAsia="zh-CN"/>
                    </w:rPr>
                    <w:t>）</w:t>
                  </w:r>
                </w:p>
              </w:tc>
              <w:tc>
                <w:tcPr>
                  <w:tcW w:w="570" w:type="pct"/>
                  <w:vAlign w:val="center"/>
                </w:tcPr>
                <w:p w14:paraId="34A0B744">
                  <w:pPr>
                    <w:pStyle w:val="9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2"/>
                      <w:sz w:val="21"/>
                      <w:szCs w:val="21"/>
                    </w:rPr>
                    <w:t>0.0707</w:t>
                  </w:r>
                </w:p>
              </w:tc>
              <w:tc>
                <w:tcPr>
                  <w:tcW w:w="1092" w:type="pct"/>
                  <w:gridSpan w:val="2"/>
                  <w:vAlign w:val="center"/>
                </w:tcPr>
                <w:p w14:paraId="3738A187">
                  <w:pPr>
                    <w:pStyle w:val="9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Times New Roman" w:hAnsi="Times New Roman" w:eastAsia="宋体" w:cs="Times New Roman"/>
                      <w:color w:val="auto"/>
                      <w:sz w:val="21"/>
                      <w:szCs w:val="21"/>
                      <w:lang w:eastAsia="zh-CN"/>
                    </w:rPr>
                  </w:pPr>
                  <w:r>
                    <w:rPr>
                      <w:rFonts w:hint="default" w:ascii="Times New Roman" w:hAnsi="Times New Roman" w:cs="Times New Roman"/>
                      <w:color w:val="auto"/>
                      <w:spacing w:val="4"/>
                      <w:sz w:val="21"/>
                      <w:szCs w:val="21"/>
                    </w:rPr>
                    <w:t>排气筒高度</w:t>
                  </w:r>
                  <w:r>
                    <w:rPr>
                      <w:rFonts w:hint="eastAsia" w:ascii="Times New Roman" w:hAnsi="Times New Roman" w:cs="Times New Roman"/>
                      <w:color w:val="auto"/>
                      <w:spacing w:val="4"/>
                      <w:sz w:val="21"/>
                      <w:szCs w:val="21"/>
                      <w:lang w:eastAsia="zh-CN"/>
                    </w:rPr>
                    <w:t>（</w:t>
                  </w:r>
                  <w:r>
                    <w:rPr>
                      <w:rFonts w:hint="default" w:ascii="Times New Roman" w:hAnsi="Times New Roman" w:cs="Times New Roman"/>
                      <w:color w:val="auto"/>
                      <w:spacing w:val="4"/>
                      <w:sz w:val="21"/>
                      <w:szCs w:val="21"/>
                    </w:rPr>
                    <w:t>m</w:t>
                  </w:r>
                  <w:r>
                    <w:rPr>
                      <w:rFonts w:hint="eastAsia" w:ascii="Times New Roman" w:hAnsi="Times New Roman" w:cs="Times New Roman"/>
                      <w:color w:val="auto"/>
                      <w:spacing w:val="4"/>
                      <w:sz w:val="21"/>
                      <w:szCs w:val="21"/>
                      <w:lang w:eastAsia="zh-CN"/>
                    </w:rPr>
                    <w:t>）</w:t>
                  </w:r>
                </w:p>
              </w:tc>
              <w:tc>
                <w:tcPr>
                  <w:tcW w:w="208" w:type="pct"/>
                  <w:vAlign w:val="center"/>
                </w:tcPr>
                <w:p w14:paraId="5BE1A8B0">
                  <w:pPr>
                    <w:pStyle w:val="9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5"/>
                      <w:sz w:val="21"/>
                      <w:szCs w:val="21"/>
                    </w:rPr>
                    <w:t>15</w:t>
                  </w:r>
                </w:p>
              </w:tc>
              <w:tc>
                <w:tcPr>
                  <w:tcW w:w="806" w:type="pct"/>
                  <w:gridSpan w:val="2"/>
                  <w:vAlign w:val="center"/>
                </w:tcPr>
                <w:p w14:paraId="25D8EFCB">
                  <w:pPr>
                    <w:pStyle w:val="9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废气治理措施</w:t>
                  </w:r>
                </w:p>
              </w:tc>
              <w:tc>
                <w:tcPr>
                  <w:tcW w:w="623" w:type="pct"/>
                  <w:vAlign w:val="center"/>
                </w:tcPr>
                <w:p w14:paraId="30BE7728">
                  <w:pPr>
                    <w:pStyle w:val="9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2"/>
                      <w:sz w:val="21"/>
                      <w:szCs w:val="21"/>
                    </w:rPr>
                    <w:t>碱喷淋</w:t>
                  </w:r>
                </w:p>
              </w:tc>
            </w:tr>
            <w:tr w14:paraId="2315190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697" w:type="pct"/>
                  <w:gridSpan w:val="2"/>
                  <w:vAlign w:val="center"/>
                </w:tcPr>
                <w:p w14:paraId="36F8A8A6">
                  <w:pPr>
                    <w:pStyle w:val="9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4"/>
                      <w:sz w:val="21"/>
                      <w:szCs w:val="21"/>
                    </w:rPr>
                    <w:t>采样时间</w:t>
                  </w:r>
                </w:p>
              </w:tc>
              <w:tc>
                <w:tcPr>
                  <w:tcW w:w="3302" w:type="pct"/>
                  <w:gridSpan w:val="7"/>
                  <w:vAlign w:val="center"/>
                </w:tcPr>
                <w:p w14:paraId="23158649">
                  <w:pPr>
                    <w:pStyle w:val="9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2025年06月25日</w:t>
                  </w:r>
                </w:p>
              </w:tc>
            </w:tr>
            <w:tr w14:paraId="6C4E89A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697" w:type="pct"/>
                  <w:gridSpan w:val="2"/>
                  <w:vAlign w:val="center"/>
                </w:tcPr>
                <w:p w14:paraId="03E8D490">
                  <w:pPr>
                    <w:pStyle w:val="9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2"/>
                      <w:sz w:val="21"/>
                      <w:szCs w:val="21"/>
                    </w:rPr>
                    <w:t>采样频次</w:t>
                  </w:r>
                </w:p>
              </w:tc>
              <w:tc>
                <w:tcPr>
                  <w:tcW w:w="1117" w:type="pct"/>
                  <w:gridSpan w:val="2"/>
                  <w:vAlign w:val="center"/>
                </w:tcPr>
                <w:p w14:paraId="3B7DFEF4">
                  <w:pPr>
                    <w:pStyle w:val="9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第一次</w:t>
                  </w:r>
                </w:p>
              </w:tc>
              <w:tc>
                <w:tcPr>
                  <w:tcW w:w="1158" w:type="pct"/>
                  <w:gridSpan w:val="3"/>
                  <w:vAlign w:val="center"/>
                </w:tcPr>
                <w:p w14:paraId="79DB4D49">
                  <w:pPr>
                    <w:pStyle w:val="9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第二次</w:t>
                  </w:r>
                </w:p>
              </w:tc>
              <w:tc>
                <w:tcPr>
                  <w:tcW w:w="1026" w:type="pct"/>
                  <w:gridSpan w:val="2"/>
                  <w:vAlign w:val="center"/>
                </w:tcPr>
                <w:p w14:paraId="7F12F462">
                  <w:pPr>
                    <w:pStyle w:val="9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第三次</w:t>
                  </w:r>
                </w:p>
              </w:tc>
            </w:tr>
            <w:tr w14:paraId="7F71660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697" w:type="pct"/>
                  <w:gridSpan w:val="2"/>
                  <w:vAlign w:val="center"/>
                </w:tcPr>
                <w:p w14:paraId="33EACFE3">
                  <w:pPr>
                    <w:pStyle w:val="9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Times New Roman" w:hAnsi="Times New Roman" w:eastAsia="宋体" w:cs="Times New Roman"/>
                      <w:color w:val="auto"/>
                      <w:sz w:val="21"/>
                      <w:szCs w:val="21"/>
                      <w:lang w:eastAsia="zh-CN"/>
                    </w:rPr>
                  </w:pPr>
                  <w:r>
                    <w:rPr>
                      <w:rFonts w:hint="default" w:ascii="Times New Roman" w:hAnsi="Times New Roman" w:cs="Times New Roman"/>
                      <w:color w:val="auto"/>
                      <w:spacing w:val="5"/>
                      <w:sz w:val="21"/>
                      <w:szCs w:val="21"/>
                    </w:rPr>
                    <w:t>烟气温度</w:t>
                  </w:r>
                  <w:r>
                    <w:rPr>
                      <w:rFonts w:hint="eastAsia" w:ascii="Times New Roman" w:hAnsi="Times New Roman" w:cs="Times New Roman"/>
                      <w:color w:val="auto"/>
                      <w:spacing w:val="5"/>
                      <w:sz w:val="21"/>
                      <w:szCs w:val="21"/>
                      <w:lang w:eastAsia="zh-CN"/>
                    </w:rPr>
                    <w:t>（</w:t>
                  </w:r>
                  <w:r>
                    <w:rPr>
                      <w:rFonts w:hint="default" w:ascii="Times New Roman" w:hAnsi="Times New Roman" w:cs="Times New Roman"/>
                      <w:color w:val="auto"/>
                      <w:spacing w:val="5"/>
                      <w:sz w:val="21"/>
                      <w:szCs w:val="21"/>
                    </w:rPr>
                    <w:t>℃</w:t>
                  </w:r>
                  <w:r>
                    <w:rPr>
                      <w:rFonts w:hint="eastAsia" w:ascii="Times New Roman" w:hAnsi="Times New Roman" w:cs="Times New Roman"/>
                      <w:color w:val="auto"/>
                      <w:spacing w:val="5"/>
                      <w:sz w:val="21"/>
                      <w:szCs w:val="21"/>
                      <w:lang w:eastAsia="zh-CN"/>
                    </w:rPr>
                    <w:t>）</w:t>
                  </w:r>
                </w:p>
              </w:tc>
              <w:tc>
                <w:tcPr>
                  <w:tcW w:w="1887" w:type="dxa"/>
                  <w:gridSpan w:val="2"/>
                  <w:vAlign w:val="top"/>
                </w:tcPr>
                <w:p w14:paraId="49A66CE9">
                  <w:pPr>
                    <w:pStyle w:val="9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rPr>
                    <w:t>30</w:t>
                  </w:r>
                </w:p>
              </w:tc>
              <w:tc>
                <w:tcPr>
                  <w:tcW w:w="1956" w:type="dxa"/>
                  <w:gridSpan w:val="3"/>
                  <w:vAlign w:val="top"/>
                </w:tcPr>
                <w:p w14:paraId="57C63174">
                  <w:pPr>
                    <w:pStyle w:val="9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rPr>
                    <w:t>31</w:t>
                  </w:r>
                </w:p>
              </w:tc>
              <w:tc>
                <w:tcPr>
                  <w:tcW w:w="1734" w:type="dxa"/>
                  <w:gridSpan w:val="2"/>
                  <w:vAlign w:val="top"/>
                </w:tcPr>
                <w:p w14:paraId="79EA2BBE">
                  <w:pPr>
                    <w:pStyle w:val="9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rPr>
                    <w:t>30</w:t>
                  </w:r>
                </w:p>
              </w:tc>
            </w:tr>
            <w:tr w14:paraId="5989061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697" w:type="pct"/>
                  <w:gridSpan w:val="2"/>
                  <w:vAlign w:val="center"/>
                </w:tcPr>
                <w:p w14:paraId="78767491">
                  <w:pPr>
                    <w:pStyle w:val="9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Times New Roman" w:hAnsi="Times New Roman" w:eastAsia="宋体" w:cs="Times New Roman"/>
                      <w:color w:val="auto"/>
                      <w:sz w:val="21"/>
                      <w:szCs w:val="21"/>
                      <w:lang w:eastAsia="zh-CN"/>
                    </w:rPr>
                  </w:pPr>
                  <w:r>
                    <w:rPr>
                      <w:rFonts w:hint="default" w:ascii="Times New Roman" w:hAnsi="Times New Roman" w:cs="Times New Roman"/>
                      <w:color w:val="auto"/>
                      <w:spacing w:val="13"/>
                      <w:sz w:val="21"/>
                      <w:szCs w:val="21"/>
                    </w:rPr>
                    <w:t>标干流量</w:t>
                  </w:r>
                  <w:r>
                    <w:rPr>
                      <w:rFonts w:hint="eastAsia" w:ascii="Times New Roman" w:hAnsi="Times New Roman" w:cs="Times New Roman"/>
                      <w:color w:val="auto"/>
                      <w:spacing w:val="13"/>
                      <w:sz w:val="21"/>
                      <w:szCs w:val="21"/>
                      <w:lang w:eastAsia="zh-CN"/>
                    </w:rPr>
                    <w:t>（</w:t>
                  </w:r>
                  <w:r>
                    <w:rPr>
                      <w:rFonts w:hint="default" w:ascii="Times New Roman" w:hAnsi="Times New Roman" w:cs="Times New Roman"/>
                      <w:color w:val="auto"/>
                      <w:sz w:val="21"/>
                      <w:szCs w:val="21"/>
                    </w:rPr>
                    <w:t>Nm</w:t>
                  </w:r>
                  <w:r>
                    <w:rPr>
                      <w:rFonts w:hint="default" w:ascii="Times New Roman" w:hAnsi="Times New Roman" w:cs="Times New Roman"/>
                      <w:color w:val="auto"/>
                      <w:spacing w:val="13"/>
                      <w:sz w:val="21"/>
                      <w:szCs w:val="21"/>
                    </w:rPr>
                    <w:t>³/h</w:t>
                  </w:r>
                  <w:r>
                    <w:rPr>
                      <w:rFonts w:hint="eastAsia" w:ascii="Times New Roman" w:hAnsi="Times New Roman" w:cs="Times New Roman"/>
                      <w:color w:val="auto"/>
                      <w:spacing w:val="13"/>
                      <w:sz w:val="21"/>
                      <w:szCs w:val="21"/>
                      <w:lang w:eastAsia="zh-CN"/>
                    </w:rPr>
                    <w:t>）</w:t>
                  </w:r>
                </w:p>
              </w:tc>
              <w:tc>
                <w:tcPr>
                  <w:tcW w:w="1887" w:type="dxa"/>
                  <w:gridSpan w:val="2"/>
                  <w:vAlign w:val="top"/>
                </w:tcPr>
                <w:p w14:paraId="31BC5CCC">
                  <w:pPr>
                    <w:pStyle w:val="9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rPr>
                    <w:t>2014</w:t>
                  </w:r>
                </w:p>
              </w:tc>
              <w:tc>
                <w:tcPr>
                  <w:tcW w:w="1956" w:type="dxa"/>
                  <w:gridSpan w:val="3"/>
                  <w:vAlign w:val="top"/>
                </w:tcPr>
                <w:p w14:paraId="34B9AED1">
                  <w:pPr>
                    <w:pStyle w:val="9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rPr>
                    <w:t>2050</w:t>
                  </w:r>
                </w:p>
              </w:tc>
              <w:tc>
                <w:tcPr>
                  <w:tcW w:w="1734" w:type="dxa"/>
                  <w:gridSpan w:val="2"/>
                  <w:vAlign w:val="top"/>
                </w:tcPr>
                <w:p w14:paraId="4326337D">
                  <w:pPr>
                    <w:pStyle w:val="9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rPr>
                    <w:t>2089</w:t>
                  </w:r>
                </w:p>
              </w:tc>
            </w:tr>
            <w:tr w14:paraId="64389AC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402" w:type="pct"/>
                  <w:vMerge w:val="restart"/>
                  <w:vAlign w:val="center"/>
                </w:tcPr>
                <w:p w14:paraId="0299F585">
                  <w:pPr>
                    <w:pStyle w:val="9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3"/>
                      <w:sz w:val="21"/>
                      <w:szCs w:val="21"/>
                    </w:rPr>
                    <w:t>氯化氢</w:t>
                  </w:r>
                </w:p>
              </w:tc>
              <w:tc>
                <w:tcPr>
                  <w:tcW w:w="1294" w:type="pct"/>
                  <w:vAlign w:val="center"/>
                </w:tcPr>
                <w:p w14:paraId="224698A4">
                  <w:pPr>
                    <w:pStyle w:val="9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2"/>
                      <w:sz w:val="21"/>
                      <w:szCs w:val="21"/>
                    </w:rPr>
                    <w:t>样品编号</w:t>
                  </w:r>
                </w:p>
              </w:tc>
              <w:tc>
                <w:tcPr>
                  <w:tcW w:w="1887" w:type="dxa"/>
                  <w:gridSpan w:val="2"/>
                  <w:vAlign w:val="top"/>
                </w:tcPr>
                <w:p w14:paraId="2EBB3D92">
                  <w:pPr>
                    <w:pStyle w:val="9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rPr>
                    <w:t>2506101Y007</w:t>
                  </w:r>
                </w:p>
              </w:tc>
              <w:tc>
                <w:tcPr>
                  <w:tcW w:w="1956" w:type="dxa"/>
                  <w:gridSpan w:val="3"/>
                  <w:vAlign w:val="top"/>
                </w:tcPr>
                <w:p w14:paraId="7DB5CF09">
                  <w:pPr>
                    <w:pStyle w:val="9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rPr>
                    <w:t>2506101Y008</w:t>
                  </w:r>
                </w:p>
              </w:tc>
              <w:tc>
                <w:tcPr>
                  <w:tcW w:w="1734" w:type="dxa"/>
                  <w:gridSpan w:val="2"/>
                  <w:vAlign w:val="top"/>
                </w:tcPr>
                <w:p w14:paraId="30504D8C">
                  <w:pPr>
                    <w:pStyle w:val="9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rPr>
                    <w:t>2506101Y009</w:t>
                  </w:r>
                </w:p>
              </w:tc>
            </w:tr>
            <w:tr w14:paraId="21C4CCF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402" w:type="pct"/>
                  <w:vMerge w:val="continue"/>
                  <w:vAlign w:val="center"/>
                </w:tcPr>
                <w:p w14:paraId="375F8F3F">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z w:val="21"/>
                      <w:szCs w:val="21"/>
                    </w:rPr>
                  </w:pPr>
                </w:p>
              </w:tc>
              <w:tc>
                <w:tcPr>
                  <w:tcW w:w="1294" w:type="pct"/>
                  <w:vAlign w:val="center"/>
                </w:tcPr>
                <w:p w14:paraId="7C7F70A8">
                  <w:pPr>
                    <w:pStyle w:val="9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Times New Roman" w:hAnsi="Times New Roman" w:eastAsia="宋体" w:cs="Times New Roman"/>
                      <w:color w:val="auto"/>
                      <w:sz w:val="21"/>
                      <w:szCs w:val="21"/>
                      <w:lang w:eastAsia="zh-CN"/>
                    </w:rPr>
                  </w:pPr>
                  <w:r>
                    <w:rPr>
                      <w:rFonts w:hint="default" w:ascii="Times New Roman" w:hAnsi="Times New Roman" w:cs="Times New Roman"/>
                      <w:color w:val="auto"/>
                      <w:spacing w:val="13"/>
                      <w:sz w:val="21"/>
                      <w:szCs w:val="21"/>
                    </w:rPr>
                    <w:t>实测浓度</w:t>
                  </w:r>
                  <w:r>
                    <w:rPr>
                      <w:rFonts w:hint="eastAsia" w:ascii="Times New Roman" w:hAnsi="Times New Roman" w:cs="Times New Roman"/>
                      <w:color w:val="auto"/>
                      <w:spacing w:val="13"/>
                      <w:sz w:val="21"/>
                      <w:szCs w:val="21"/>
                      <w:lang w:eastAsia="zh-CN"/>
                    </w:rPr>
                    <w:t>（</w:t>
                  </w:r>
                  <w:r>
                    <w:rPr>
                      <w:rFonts w:hint="default" w:ascii="Times New Roman" w:hAnsi="Times New Roman" w:cs="Times New Roman"/>
                      <w:color w:val="auto"/>
                      <w:sz w:val="21"/>
                      <w:szCs w:val="21"/>
                    </w:rPr>
                    <w:t>mg</w:t>
                  </w:r>
                  <w:r>
                    <w:rPr>
                      <w:rFonts w:hint="default" w:ascii="Times New Roman" w:hAnsi="Times New Roman" w:cs="Times New Roman"/>
                      <w:color w:val="auto"/>
                      <w:spacing w:val="13"/>
                      <w:sz w:val="21"/>
                      <w:szCs w:val="21"/>
                    </w:rPr>
                    <w:t>/m³</w:t>
                  </w:r>
                  <w:r>
                    <w:rPr>
                      <w:rFonts w:hint="eastAsia" w:ascii="Times New Roman" w:hAnsi="Times New Roman" w:cs="Times New Roman"/>
                      <w:color w:val="auto"/>
                      <w:spacing w:val="13"/>
                      <w:sz w:val="21"/>
                      <w:szCs w:val="21"/>
                      <w:lang w:eastAsia="zh-CN"/>
                    </w:rPr>
                    <w:t>）</w:t>
                  </w:r>
                </w:p>
              </w:tc>
              <w:tc>
                <w:tcPr>
                  <w:tcW w:w="1887" w:type="dxa"/>
                  <w:gridSpan w:val="2"/>
                  <w:vAlign w:val="top"/>
                </w:tcPr>
                <w:p w14:paraId="7AF9A316">
                  <w:pPr>
                    <w:pStyle w:val="9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rPr>
                    <w:t>9.2</w:t>
                  </w:r>
                </w:p>
              </w:tc>
              <w:tc>
                <w:tcPr>
                  <w:tcW w:w="1956" w:type="dxa"/>
                  <w:gridSpan w:val="3"/>
                  <w:vAlign w:val="top"/>
                </w:tcPr>
                <w:p w14:paraId="4216FEE9">
                  <w:pPr>
                    <w:pStyle w:val="9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rPr>
                    <w:t>8.1</w:t>
                  </w:r>
                </w:p>
              </w:tc>
              <w:tc>
                <w:tcPr>
                  <w:tcW w:w="1734" w:type="dxa"/>
                  <w:gridSpan w:val="2"/>
                  <w:vAlign w:val="top"/>
                </w:tcPr>
                <w:p w14:paraId="120F3D6D">
                  <w:pPr>
                    <w:pStyle w:val="9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rPr>
                    <w:t>8.5</w:t>
                  </w:r>
                </w:p>
              </w:tc>
            </w:tr>
            <w:tr w14:paraId="7F65066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402" w:type="pct"/>
                  <w:vMerge w:val="continue"/>
                  <w:vAlign w:val="center"/>
                </w:tcPr>
                <w:p w14:paraId="57EFD0C2">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z w:val="21"/>
                      <w:szCs w:val="21"/>
                    </w:rPr>
                  </w:pPr>
                </w:p>
              </w:tc>
              <w:tc>
                <w:tcPr>
                  <w:tcW w:w="1294" w:type="pct"/>
                  <w:vAlign w:val="center"/>
                </w:tcPr>
                <w:p w14:paraId="5A3E5F77">
                  <w:pPr>
                    <w:pStyle w:val="9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Times New Roman" w:hAnsi="Times New Roman" w:eastAsia="宋体" w:cs="Times New Roman"/>
                      <w:color w:val="auto"/>
                      <w:sz w:val="21"/>
                      <w:szCs w:val="21"/>
                      <w:lang w:eastAsia="zh-CN"/>
                    </w:rPr>
                  </w:pPr>
                  <w:r>
                    <w:rPr>
                      <w:rFonts w:hint="default" w:ascii="Times New Roman" w:hAnsi="Times New Roman" w:cs="Times New Roman"/>
                      <w:color w:val="auto"/>
                      <w:spacing w:val="4"/>
                      <w:sz w:val="21"/>
                      <w:szCs w:val="21"/>
                    </w:rPr>
                    <w:t>排放速率</w:t>
                  </w:r>
                  <w:r>
                    <w:rPr>
                      <w:rFonts w:hint="eastAsia" w:ascii="Times New Roman" w:hAnsi="Times New Roman" w:cs="Times New Roman"/>
                      <w:color w:val="auto"/>
                      <w:spacing w:val="4"/>
                      <w:sz w:val="21"/>
                      <w:szCs w:val="21"/>
                      <w:lang w:eastAsia="zh-CN"/>
                    </w:rPr>
                    <w:t>（</w:t>
                  </w:r>
                  <w:r>
                    <w:rPr>
                      <w:rFonts w:hint="default" w:ascii="Times New Roman" w:hAnsi="Times New Roman" w:cs="Times New Roman"/>
                      <w:color w:val="auto"/>
                      <w:sz w:val="21"/>
                      <w:szCs w:val="21"/>
                    </w:rPr>
                    <w:t>kg</w:t>
                  </w:r>
                  <w:r>
                    <w:rPr>
                      <w:rFonts w:hint="default" w:ascii="Times New Roman" w:hAnsi="Times New Roman" w:cs="Times New Roman"/>
                      <w:color w:val="auto"/>
                      <w:spacing w:val="4"/>
                      <w:sz w:val="21"/>
                      <w:szCs w:val="21"/>
                    </w:rPr>
                    <w:t>/h</w:t>
                  </w:r>
                  <w:r>
                    <w:rPr>
                      <w:rFonts w:hint="eastAsia" w:ascii="Times New Roman" w:hAnsi="Times New Roman" w:cs="Times New Roman"/>
                      <w:color w:val="auto"/>
                      <w:spacing w:val="4"/>
                      <w:sz w:val="21"/>
                      <w:szCs w:val="21"/>
                      <w:lang w:eastAsia="zh-CN"/>
                    </w:rPr>
                    <w:t>）</w:t>
                  </w:r>
                </w:p>
              </w:tc>
              <w:tc>
                <w:tcPr>
                  <w:tcW w:w="1887" w:type="dxa"/>
                  <w:gridSpan w:val="2"/>
                  <w:vAlign w:val="top"/>
                </w:tcPr>
                <w:p w14:paraId="28E11A2D">
                  <w:pPr>
                    <w:pStyle w:val="9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rPr>
                    <w:t>0.0185</w:t>
                  </w:r>
                </w:p>
              </w:tc>
              <w:tc>
                <w:tcPr>
                  <w:tcW w:w="1956" w:type="dxa"/>
                  <w:gridSpan w:val="3"/>
                  <w:vAlign w:val="top"/>
                </w:tcPr>
                <w:p w14:paraId="7D6E7C74">
                  <w:pPr>
                    <w:pStyle w:val="9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rPr>
                    <w:t>0.0166</w:t>
                  </w:r>
                </w:p>
              </w:tc>
              <w:tc>
                <w:tcPr>
                  <w:tcW w:w="1734" w:type="dxa"/>
                  <w:gridSpan w:val="2"/>
                  <w:vAlign w:val="top"/>
                </w:tcPr>
                <w:p w14:paraId="4C0C6B4F">
                  <w:pPr>
                    <w:pStyle w:val="9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rPr>
                    <w:t>0.0178</w:t>
                  </w:r>
                </w:p>
              </w:tc>
            </w:tr>
            <w:tr w14:paraId="6990A71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402" w:type="pct"/>
                  <w:vMerge w:val="restart"/>
                  <w:tcBorders>
                    <w:bottom w:val="nil"/>
                  </w:tcBorders>
                  <w:vAlign w:val="center"/>
                </w:tcPr>
                <w:p w14:paraId="73015599">
                  <w:pPr>
                    <w:pStyle w:val="9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2"/>
                      <w:sz w:val="21"/>
                      <w:szCs w:val="21"/>
                    </w:rPr>
                    <w:t>硫酸雾</w:t>
                  </w:r>
                </w:p>
              </w:tc>
              <w:tc>
                <w:tcPr>
                  <w:tcW w:w="1294" w:type="pct"/>
                  <w:vAlign w:val="center"/>
                </w:tcPr>
                <w:p w14:paraId="4AD0BB3F">
                  <w:pPr>
                    <w:pStyle w:val="9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2"/>
                      <w:sz w:val="21"/>
                      <w:szCs w:val="21"/>
                    </w:rPr>
                    <w:t>样品编号</w:t>
                  </w:r>
                </w:p>
              </w:tc>
              <w:tc>
                <w:tcPr>
                  <w:tcW w:w="1887" w:type="dxa"/>
                  <w:gridSpan w:val="2"/>
                  <w:vAlign w:val="top"/>
                </w:tcPr>
                <w:p w14:paraId="3C672E83">
                  <w:pPr>
                    <w:pStyle w:val="9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rPr>
                    <w:t>2506101Y010</w:t>
                  </w:r>
                </w:p>
              </w:tc>
              <w:tc>
                <w:tcPr>
                  <w:tcW w:w="1956" w:type="dxa"/>
                  <w:gridSpan w:val="3"/>
                  <w:vAlign w:val="top"/>
                </w:tcPr>
                <w:p w14:paraId="5CF26526">
                  <w:pPr>
                    <w:pStyle w:val="9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rPr>
                    <w:t>2506101Y011</w:t>
                  </w:r>
                </w:p>
              </w:tc>
              <w:tc>
                <w:tcPr>
                  <w:tcW w:w="1734" w:type="dxa"/>
                  <w:gridSpan w:val="2"/>
                  <w:vAlign w:val="top"/>
                </w:tcPr>
                <w:p w14:paraId="61ABD7CB">
                  <w:pPr>
                    <w:pStyle w:val="9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rPr>
                    <w:t>2506101Y012</w:t>
                  </w:r>
                </w:p>
              </w:tc>
            </w:tr>
            <w:tr w14:paraId="165717E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402" w:type="pct"/>
                  <w:vMerge w:val="continue"/>
                  <w:tcBorders>
                    <w:top w:val="nil"/>
                    <w:bottom w:val="nil"/>
                  </w:tcBorders>
                  <w:vAlign w:val="center"/>
                </w:tcPr>
                <w:p w14:paraId="588FF418">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z w:val="21"/>
                      <w:szCs w:val="21"/>
                    </w:rPr>
                  </w:pPr>
                </w:p>
              </w:tc>
              <w:tc>
                <w:tcPr>
                  <w:tcW w:w="1294" w:type="pct"/>
                  <w:vAlign w:val="center"/>
                </w:tcPr>
                <w:p w14:paraId="034104DB">
                  <w:pPr>
                    <w:pStyle w:val="9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Times New Roman" w:hAnsi="Times New Roman" w:eastAsia="宋体" w:cs="Times New Roman"/>
                      <w:color w:val="auto"/>
                      <w:sz w:val="21"/>
                      <w:szCs w:val="21"/>
                      <w:lang w:eastAsia="zh-CN"/>
                    </w:rPr>
                  </w:pPr>
                  <w:r>
                    <w:rPr>
                      <w:rFonts w:hint="default" w:ascii="Times New Roman" w:hAnsi="Times New Roman" w:cs="Times New Roman"/>
                      <w:color w:val="auto"/>
                      <w:spacing w:val="12"/>
                      <w:sz w:val="21"/>
                      <w:szCs w:val="21"/>
                    </w:rPr>
                    <w:t>实测浓度</w:t>
                  </w:r>
                  <w:r>
                    <w:rPr>
                      <w:rFonts w:hint="eastAsia" w:ascii="Times New Roman" w:hAnsi="Times New Roman" w:cs="Times New Roman"/>
                      <w:color w:val="auto"/>
                      <w:spacing w:val="12"/>
                      <w:sz w:val="21"/>
                      <w:szCs w:val="21"/>
                      <w:lang w:eastAsia="zh-CN"/>
                    </w:rPr>
                    <w:t>（</w:t>
                  </w:r>
                  <w:r>
                    <w:rPr>
                      <w:rFonts w:hint="default" w:ascii="Times New Roman" w:hAnsi="Times New Roman" w:cs="Times New Roman"/>
                      <w:color w:val="auto"/>
                      <w:sz w:val="21"/>
                      <w:szCs w:val="21"/>
                    </w:rPr>
                    <w:t>mg</w:t>
                  </w:r>
                  <w:r>
                    <w:rPr>
                      <w:rFonts w:hint="default" w:ascii="Times New Roman" w:hAnsi="Times New Roman" w:cs="Times New Roman"/>
                      <w:color w:val="auto"/>
                      <w:spacing w:val="12"/>
                      <w:sz w:val="21"/>
                      <w:szCs w:val="21"/>
                    </w:rPr>
                    <w:t>/m³</w:t>
                  </w:r>
                  <w:r>
                    <w:rPr>
                      <w:rFonts w:hint="eastAsia" w:ascii="Times New Roman" w:hAnsi="Times New Roman" w:cs="Times New Roman"/>
                      <w:color w:val="auto"/>
                      <w:spacing w:val="12"/>
                      <w:sz w:val="21"/>
                      <w:szCs w:val="21"/>
                      <w:lang w:eastAsia="zh-CN"/>
                    </w:rPr>
                    <w:t>）</w:t>
                  </w:r>
                </w:p>
              </w:tc>
              <w:tc>
                <w:tcPr>
                  <w:tcW w:w="1887" w:type="dxa"/>
                  <w:gridSpan w:val="2"/>
                  <w:vAlign w:val="top"/>
                </w:tcPr>
                <w:p w14:paraId="7FA007B0">
                  <w:pPr>
                    <w:pStyle w:val="9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rPr>
                    <w:t>0.46</w:t>
                  </w:r>
                </w:p>
              </w:tc>
              <w:tc>
                <w:tcPr>
                  <w:tcW w:w="1956" w:type="dxa"/>
                  <w:gridSpan w:val="3"/>
                  <w:vAlign w:val="top"/>
                </w:tcPr>
                <w:p w14:paraId="1B1FD420">
                  <w:pPr>
                    <w:pStyle w:val="9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rPr>
                    <w:t>0.41</w:t>
                  </w:r>
                </w:p>
              </w:tc>
              <w:tc>
                <w:tcPr>
                  <w:tcW w:w="1734" w:type="dxa"/>
                  <w:gridSpan w:val="2"/>
                  <w:vAlign w:val="top"/>
                </w:tcPr>
                <w:p w14:paraId="5D710AB8">
                  <w:pPr>
                    <w:pStyle w:val="9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rPr>
                    <w:t>0.45</w:t>
                  </w:r>
                </w:p>
              </w:tc>
            </w:tr>
            <w:tr w14:paraId="013ABEB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402" w:type="pct"/>
                  <w:vMerge w:val="continue"/>
                  <w:tcBorders>
                    <w:top w:val="nil"/>
                  </w:tcBorders>
                  <w:vAlign w:val="center"/>
                </w:tcPr>
                <w:p w14:paraId="48939746">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z w:val="21"/>
                      <w:szCs w:val="21"/>
                    </w:rPr>
                  </w:pPr>
                </w:p>
              </w:tc>
              <w:tc>
                <w:tcPr>
                  <w:tcW w:w="1294" w:type="pct"/>
                  <w:vAlign w:val="center"/>
                </w:tcPr>
                <w:p w14:paraId="7E7F2412">
                  <w:pPr>
                    <w:pStyle w:val="9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Times New Roman" w:hAnsi="Times New Roman" w:eastAsia="宋体" w:cs="Times New Roman"/>
                      <w:color w:val="auto"/>
                      <w:sz w:val="21"/>
                      <w:szCs w:val="21"/>
                      <w:lang w:eastAsia="zh-CN"/>
                    </w:rPr>
                  </w:pPr>
                  <w:r>
                    <w:rPr>
                      <w:rFonts w:hint="default" w:ascii="Times New Roman" w:hAnsi="Times New Roman" w:cs="Times New Roman"/>
                      <w:color w:val="auto"/>
                      <w:spacing w:val="4"/>
                      <w:sz w:val="21"/>
                      <w:szCs w:val="21"/>
                    </w:rPr>
                    <w:t>排放速率</w:t>
                  </w:r>
                  <w:r>
                    <w:rPr>
                      <w:rFonts w:hint="eastAsia" w:ascii="Times New Roman" w:hAnsi="Times New Roman" w:cs="Times New Roman"/>
                      <w:color w:val="auto"/>
                      <w:spacing w:val="4"/>
                      <w:sz w:val="21"/>
                      <w:szCs w:val="21"/>
                      <w:lang w:eastAsia="zh-CN"/>
                    </w:rPr>
                    <w:t>（</w:t>
                  </w:r>
                  <w:r>
                    <w:rPr>
                      <w:rFonts w:hint="default" w:ascii="Times New Roman" w:hAnsi="Times New Roman" w:cs="Times New Roman"/>
                      <w:color w:val="auto"/>
                      <w:sz w:val="21"/>
                      <w:szCs w:val="21"/>
                    </w:rPr>
                    <w:t>kg</w:t>
                  </w:r>
                  <w:r>
                    <w:rPr>
                      <w:rFonts w:hint="default" w:ascii="Times New Roman" w:hAnsi="Times New Roman" w:cs="Times New Roman"/>
                      <w:color w:val="auto"/>
                      <w:spacing w:val="4"/>
                      <w:sz w:val="21"/>
                      <w:szCs w:val="21"/>
                    </w:rPr>
                    <w:t>/h</w:t>
                  </w:r>
                  <w:r>
                    <w:rPr>
                      <w:rFonts w:hint="eastAsia" w:ascii="Times New Roman" w:hAnsi="Times New Roman" w:cs="Times New Roman"/>
                      <w:color w:val="auto"/>
                      <w:spacing w:val="4"/>
                      <w:sz w:val="21"/>
                      <w:szCs w:val="21"/>
                      <w:lang w:eastAsia="zh-CN"/>
                    </w:rPr>
                    <w:t>）</w:t>
                  </w:r>
                </w:p>
              </w:tc>
              <w:tc>
                <w:tcPr>
                  <w:tcW w:w="1887" w:type="dxa"/>
                  <w:gridSpan w:val="2"/>
                  <w:vAlign w:val="top"/>
                </w:tcPr>
                <w:p w14:paraId="0F27EF18">
                  <w:pPr>
                    <w:pStyle w:val="9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rPr>
                    <w:t>9.26×</w:t>
                  </w:r>
                  <w:r>
                    <w:rPr>
                      <w:rFonts w:hint="eastAsia" w:ascii="Times New Roman" w:hAnsi="Times New Roman" w:cs="Times New Roman"/>
                      <w:color w:val="auto"/>
                      <w:sz w:val="21"/>
                      <w:szCs w:val="21"/>
                      <w:lang w:val="en-US" w:eastAsia="zh-CN"/>
                    </w:rPr>
                    <w:t>10</w:t>
                  </w:r>
                  <w:r>
                    <w:rPr>
                      <w:rFonts w:hint="eastAsia" w:ascii="Times New Roman" w:hAnsi="Times New Roman" w:cs="Times New Roman"/>
                      <w:color w:val="auto"/>
                      <w:sz w:val="21"/>
                      <w:szCs w:val="21"/>
                      <w:vertAlign w:val="superscript"/>
                      <w:lang w:val="en-US" w:eastAsia="zh-CN"/>
                    </w:rPr>
                    <w:t>-3</w:t>
                  </w:r>
                </w:p>
              </w:tc>
              <w:tc>
                <w:tcPr>
                  <w:tcW w:w="1956" w:type="dxa"/>
                  <w:gridSpan w:val="3"/>
                  <w:vAlign w:val="top"/>
                </w:tcPr>
                <w:p w14:paraId="2A1C5463">
                  <w:pPr>
                    <w:pStyle w:val="9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Times New Roman" w:hAnsi="Times New Roman" w:cs="Times New Roman"/>
                      <w:color w:val="auto"/>
                      <w:sz w:val="21"/>
                      <w:szCs w:val="21"/>
                      <w:lang w:val="en-US" w:eastAsia="zh-CN"/>
                    </w:rPr>
                  </w:pPr>
                  <w:r>
                    <w:rPr>
                      <w:rFonts w:hint="default" w:ascii="Times New Roman" w:hAnsi="Times New Roman" w:cs="Times New Roman"/>
                      <w:color w:val="auto"/>
                      <w:sz w:val="21"/>
                      <w:szCs w:val="21"/>
                    </w:rPr>
                    <w:t>8.40×</w:t>
                  </w:r>
                  <w:r>
                    <w:rPr>
                      <w:rFonts w:hint="eastAsia" w:ascii="Times New Roman" w:hAnsi="Times New Roman" w:cs="Times New Roman"/>
                      <w:color w:val="auto"/>
                      <w:sz w:val="21"/>
                      <w:szCs w:val="21"/>
                      <w:lang w:val="en-US" w:eastAsia="zh-CN"/>
                    </w:rPr>
                    <w:t>10</w:t>
                  </w:r>
                  <w:r>
                    <w:rPr>
                      <w:rFonts w:hint="eastAsia" w:ascii="Times New Roman" w:hAnsi="Times New Roman" w:cs="Times New Roman"/>
                      <w:color w:val="auto"/>
                      <w:sz w:val="21"/>
                      <w:szCs w:val="21"/>
                      <w:vertAlign w:val="superscript"/>
                      <w:lang w:val="en-US" w:eastAsia="zh-CN"/>
                    </w:rPr>
                    <w:t>-3</w:t>
                  </w:r>
                </w:p>
              </w:tc>
              <w:tc>
                <w:tcPr>
                  <w:tcW w:w="1734" w:type="dxa"/>
                  <w:gridSpan w:val="2"/>
                  <w:vAlign w:val="top"/>
                </w:tcPr>
                <w:p w14:paraId="018982F2">
                  <w:pPr>
                    <w:pStyle w:val="9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rPr>
                    <w:t>9.40×</w:t>
                  </w:r>
                  <w:r>
                    <w:rPr>
                      <w:rFonts w:hint="eastAsia" w:ascii="Times New Roman" w:hAnsi="Times New Roman" w:cs="Times New Roman"/>
                      <w:color w:val="auto"/>
                      <w:sz w:val="21"/>
                      <w:szCs w:val="21"/>
                      <w:lang w:val="en-US" w:eastAsia="zh-CN"/>
                    </w:rPr>
                    <w:t>10</w:t>
                  </w:r>
                  <w:r>
                    <w:rPr>
                      <w:rFonts w:hint="eastAsia" w:ascii="Times New Roman" w:hAnsi="Times New Roman" w:cs="Times New Roman"/>
                      <w:color w:val="auto"/>
                      <w:sz w:val="21"/>
                      <w:szCs w:val="21"/>
                      <w:vertAlign w:val="superscript"/>
                      <w:lang w:val="en-US" w:eastAsia="zh-CN"/>
                    </w:rPr>
                    <w:t>-3</w:t>
                  </w:r>
                </w:p>
              </w:tc>
            </w:tr>
            <w:tr w14:paraId="1BE7121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697" w:type="pct"/>
                  <w:gridSpan w:val="2"/>
                  <w:vAlign w:val="center"/>
                </w:tcPr>
                <w:p w14:paraId="41CCBE39">
                  <w:pPr>
                    <w:pStyle w:val="9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3"/>
                      <w:sz w:val="21"/>
                      <w:szCs w:val="21"/>
                    </w:rPr>
                    <w:t>备注</w:t>
                  </w:r>
                </w:p>
              </w:tc>
              <w:tc>
                <w:tcPr>
                  <w:tcW w:w="3302" w:type="pct"/>
                  <w:gridSpan w:val="7"/>
                  <w:vAlign w:val="center"/>
                </w:tcPr>
                <w:p w14:paraId="2C329465">
                  <w:pPr>
                    <w:pStyle w:val="9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bl>
          <w:p w14:paraId="4923AC74">
            <w:pPr>
              <w:keepNext w:val="0"/>
              <w:keepLines w:val="0"/>
              <w:pageBreakBefore w:val="0"/>
              <w:widowControl w:val="0"/>
              <w:numPr>
                <w:ilvl w:val="0"/>
                <w:numId w:val="14"/>
              </w:numPr>
              <w:kinsoku/>
              <w:wordWrap/>
              <w:overflowPunct/>
              <w:topLinePunct w:val="0"/>
              <w:autoSpaceDE w:val="0"/>
              <w:autoSpaceDN w:val="0"/>
              <w:bidi w:val="0"/>
              <w:adjustRightInd w:val="0"/>
              <w:snapToGrid/>
              <w:spacing w:line="360" w:lineRule="auto"/>
              <w:ind w:left="0" w:leftChars="0" w:firstLine="0" w:firstLineChars="0"/>
              <w:jc w:val="center"/>
              <w:textAlignment w:val="auto"/>
              <w:rPr>
                <w:rFonts w:hint="default" w:cs="Times New Roman"/>
                <w:b/>
                <w:bCs/>
                <w:color w:val="auto"/>
                <w:kern w:val="0"/>
                <w:sz w:val="24"/>
                <w:szCs w:val="24"/>
                <w:lang w:val="en-US" w:eastAsia="zh-CN" w:bidi="ar"/>
              </w:rPr>
            </w:pPr>
            <w:r>
              <w:rPr>
                <w:rFonts w:hint="default" w:cs="Times New Roman"/>
                <w:b/>
                <w:bCs/>
                <w:color w:val="auto"/>
                <w:kern w:val="0"/>
                <w:sz w:val="24"/>
                <w:szCs w:val="24"/>
                <w:lang w:val="en-US" w:eastAsia="zh-CN" w:bidi="ar"/>
              </w:rPr>
              <w:t>DA00</w:t>
            </w:r>
            <w:r>
              <w:rPr>
                <w:rFonts w:hint="eastAsia" w:cs="Times New Roman"/>
                <w:b/>
                <w:bCs/>
                <w:color w:val="auto"/>
                <w:kern w:val="0"/>
                <w:sz w:val="24"/>
                <w:szCs w:val="24"/>
                <w:lang w:val="en-US" w:eastAsia="zh-CN" w:bidi="ar"/>
              </w:rPr>
              <w:t>2酸性</w:t>
            </w:r>
            <w:r>
              <w:rPr>
                <w:rFonts w:hint="default" w:cs="Times New Roman"/>
                <w:b/>
                <w:bCs/>
                <w:color w:val="auto"/>
                <w:kern w:val="0"/>
                <w:sz w:val="24"/>
                <w:szCs w:val="24"/>
                <w:lang w:val="en-US" w:eastAsia="zh-CN" w:bidi="ar"/>
              </w:rPr>
              <w:t>废气排放口检测结果表</w:t>
            </w:r>
            <w:r>
              <w:rPr>
                <w:rFonts w:hint="eastAsia" w:cs="Times New Roman"/>
                <w:b/>
                <w:bCs/>
                <w:color w:val="auto"/>
                <w:kern w:val="0"/>
                <w:sz w:val="24"/>
                <w:szCs w:val="24"/>
                <w:lang w:val="en-US" w:eastAsia="zh-CN" w:bidi="ar"/>
              </w:rPr>
              <w:t>（二）</w:t>
            </w:r>
          </w:p>
          <w:tbl>
            <w:tblPr>
              <w:tblStyle w:val="89"/>
              <w:tblW w:w="4999"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679"/>
              <w:gridCol w:w="2188"/>
              <w:gridCol w:w="963"/>
              <w:gridCol w:w="924"/>
              <w:gridCol w:w="921"/>
              <w:gridCol w:w="351"/>
              <w:gridCol w:w="684"/>
              <w:gridCol w:w="677"/>
              <w:gridCol w:w="1057"/>
            </w:tblGrid>
            <w:tr w14:paraId="4453DEF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697" w:type="pct"/>
                  <w:gridSpan w:val="2"/>
                  <w:vAlign w:val="center"/>
                </w:tcPr>
                <w:p w14:paraId="2E059D78">
                  <w:pPr>
                    <w:pStyle w:val="9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2"/>
                      <w:sz w:val="21"/>
                      <w:szCs w:val="21"/>
                    </w:rPr>
                    <w:t>采样点位</w:t>
                  </w:r>
                </w:p>
              </w:tc>
              <w:tc>
                <w:tcPr>
                  <w:tcW w:w="3302" w:type="pct"/>
                  <w:gridSpan w:val="7"/>
                  <w:vAlign w:val="center"/>
                </w:tcPr>
                <w:p w14:paraId="711A56B6">
                  <w:pPr>
                    <w:pStyle w:val="9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DA</w:t>
                  </w:r>
                  <w:r>
                    <w:rPr>
                      <w:rFonts w:hint="default" w:ascii="Times New Roman" w:hAnsi="Times New Roman" w:cs="Times New Roman"/>
                      <w:color w:val="auto"/>
                      <w:spacing w:val="2"/>
                      <w:sz w:val="21"/>
                      <w:szCs w:val="21"/>
                    </w:rPr>
                    <w:t>002酸性废气排放口</w:t>
                  </w:r>
                </w:p>
              </w:tc>
            </w:tr>
            <w:tr w14:paraId="0E3949F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697" w:type="pct"/>
                  <w:gridSpan w:val="2"/>
                  <w:vAlign w:val="center"/>
                </w:tcPr>
                <w:p w14:paraId="67EC91AA">
                  <w:pPr>
                    <w:pStyle w:val="9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Times New Roman" w:hAnsi="Times New Roman" w:eastAsia="宋体" w:cs="Times New Roman"/>
                      <w:color w:val="auto"/>
                      <w:sz w:val="21"/>
                      <w:szCs w:val="21"/>
                      <w:lang w:eastAsia="zh-CN"/>
                    </w:rPr>
                  </w:pPr>
                  <w:r>
                    <w:rPr>
                      <w:rFonts w:hint="default" w:ascii="Times New Roman" w:hAnsi="Times New Roman" w:cs="Times New Roman"/>
                      <w:color w:val="auto"/>
                      <w:spacing w:val="13"/>
                      <w:sz w:val="21"/>
                      <w:szCs w:val="21"/>
                    </w:rPr>
                    <w:t>测点截面积</w:t>
                  </w:r>
                  <w:r>
                    <w:rPr>
                      <w:rFonts w:hint="eastAsia" w:ascii="Times New Roman" w:hAnsi="Times New Roman" w:cs="Times New Roman"/>
                      <w:color w:val="auto"/>
                      <w:spacing w:val="13"/>
                      <w:sz w:val="21"/>
                      <w:szCs w:val="21"/>
                      <w:lang w:eastAsia="zh-CN"/>
                    </w:rPr>
                    <w:t>（</w:t>
                  </w:r>
                  <w:r>
                    <w:rPr>
                      <w:rFonts w:hint="default" w:ascii="Times New Roman" w:hAnsi="Times New Roman" w:cs="Times New Roman"/>
                      <w:color w:val="auto"/>
                      <w:spacing w:val="13"/>
                      <w:sz w:val="21"/>
                      <w:szCs w:val="21"/>
                    </w:rPr>
                    <w:t>m²</w:t>
                  </w:r>
                  <w:r>
                    <w:rPr>
                      <w:rFonts w:hint="eastAsia" w:ascii="Times New Roman" w:hAnsi="Times New Roman" w:cs="Times New Roman"/>
                      <w:color w:val="auto"/>
                      <w:spacing w:val="13"/>
                      <w:sz w:val="21"/>
                      <w:szCs w:val="21"/>
                      <w:lang w:eastAsia="zh-CN"/>
                    </w:rPr>
                    <w:t>）</w:t>
                  </w:r>
                </w:p>
              </w:tc>
              <w:tc>
                <w:tcPr>
                  <w:tcW w:w="570" w:type="pct"/>
                  <w:vAlign w:val="center"/>
                </w:tcPr>
                <w:p w14:paraId="75F01172">
                  <w:pPr>
                    <w:pStyle w:val="9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2"/>
                      <w:sz w:val="21"/>
                      <w:szCs w:val="21"/>
                    </w:rPr>
                    <w:t>0.0707</w:t>
                  </w:r>
                </w:p>
              </w:tc>
              <w:tc>
                <w:tcPr>
                  <w:tcW w:w="1092" w:type="pct"/>
                  <w:gridSpan w:val="2"/>
                  <w:vAlign w:val="center"/>
                </w:tcPr>
                <w:p w14:paraId="0D925407">
                  <w:pPr>
                    <w:pStyle w:val="9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Times New Roman" w:hAnsi="Times New Roman" w:eastAsia="宋体" w:cs="Times New Roman"/>
                      <w:color w:val="auto"/>
                      <w:sz w:val="21"/>
                      <w:szCs w:val="21"/>
                      <w:lang w:eastAsia="zh-CN"/>
                    </w:rPr>
                  </w:pPr>
                  <w:r>
                    <w:rPr>
                      <w:rFonts w:hint="default" w:ascii="Times New Roman" w:hAnsi="Times New Roman" w:cs="Times New Roman"/>
                      <w:color w:val="auto"/>
                      <w:spacing w:val="4"/>
                      <w:sz w:val="21"/>
                      <w:szCs w:val="21"/>
                    </w:rPr>
                    <w:t>排气筒高度</w:t>
                  </w:r>
                  <w:r>
                    <w:rPr>
                      <w:rFonts w:hint="eastAsia" w:ascii="Times New Roman" w:hAnsi="Times New Roman" w:cs="Times New Roman"/>
                      <w:color w:val="auto"/>
                      <w:spacing w:val="4"/>
                      <w:sz w:val="21"/>
                      <w:szCs w:val="21"/>
                      <w:lang w:eastAsia="zh-CN"/>
                    </w:rPr>
                    <w:t>（</w:t>
                  </w:r>
                  <w:r>
                    <w:rPr>
                      <w:rFonts w:hint="default" w:ascii="Times New Roman" w:hAnsi="Times New Roman" w:cs="Times New Roman"/>
                      <w:color w:val="auto"/>
                      <w:spacing w:val="4"/>
                      <w:sz w:val="21"/>
                      <w:szCs w:val="21"/>
                    </w:rPr>
                    <w:t>m</w:t>
                  </w:r>
                  <w:r>
                    <w:rPr>
                      <w:rFonts w:hint="eastAsia" w:ascii="Times New Roman" w:hAnsi="Times New Roman" w:cs="Times New Roman"/>
                      <w:color w:val="auto"/>
                      <w:spacing w:val="4"/>
                      <w:sz w:val="21"/>
                      <w:szCs w:val="21"/>
                      <w:lang w:eastAsia="zh-CN"/>
                    </w:rPr>
                    <w:t>）</w:t>
                  </w:r>
                </w:p>
              </w:tc>
              <w:tc>
                <w:tcPr>
                  <w:tcW w:w="208" w:type="pct"/>
                  <w:vAlign w:val="center"/>
                </w:tcPr>
                <w:p w14:paraId="5C8DE185">
                  <w:pPr>
                    <w:pStyle w:val="9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5"/>
                      <w:sz w:val="21"/>
                      <w:szCs w:val="21"/>
                    </w:rPr>
                    <w:t>15</w:t>
                  </w:r>
                </w:p>
              </w:tc>
              <w:tc>
                <w:tcPr>
                  <w:tcW w:w="806" w:type="pct"/>
                  <w:gridSpan w:val="2"/>
                  <w:vAlign w:val="center"/>
                </w:tcPr>
                <w:p w14:paraId="1605668B">
                  <w:pPr>
                    <w:pStyle w:val="9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废气治理措施</w:t>
                  </w:r>
                </w:p>
              </w:tc>
              <w:tc>
                <w:tcPr>
                  <w:tcW w:w="623" w:type="pct"/>
                  <w:vAlign w:val="center"/>
                </w:tcPr>
                <w:p w14:paraId="51C62B74">
                  <w:pPr>
                    <w:pStyle w:val="9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2"/>
                      <w:sz w:val="21"/>
                      <w:szCs w:val="21"/>
                    </w:rPr>
                    <w:t>碱喷淋</w:t>
                  </w:r>
                </w:p>
              </w:tc>
            </w:tr>
            <w:tr w14:paraId="31B2FB2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697" w:type="pct"/>
                  <w:gridSpan w:val="2"/>
                  <w:vAlign w:val="center"/>
                </w:tcPr>
                <w:p w14:paraId="414C3902">
                  <w:pPr>
                    <w:pStyle w:val="9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4"/>
                      <w:sz w:val="21"/>
                      <w:szCs w:val="21"/>
                    </w:rPr>
                    <w:t>采样时间</w:t>
                  </w:r>
                </w:p>
              </w:tc>
              <w:tc>
                <w:tcPr>
                  <w:tcW w:w="3302" w:type="pct"/>
                  <w:gridSpan w:val="7"/>
                  <w:vAlign w:val="center"/>
                </w:tcPr>
                <w:p w14:paraId="671DD980">
                  <w:pPr>
                    <w:pStyle w:val="9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z w:val="21"/>
                      <w:szCs w:val="21"/>
                    </w:rPr>
                  </w:pPr>
                  <w:r>
                    <w:rPr>
                      <w:spacing w:val="29"/>
                    </w:rPr>
                    <w:t>2025年12月08日</w:t>
                  </w:r>
                </w:p>
              </w:tc>
            </w:tr>
            <w:tr w14:paraId="2E3E0B3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697" w:type="pct"/>
                  <w:gridSpan w:val="2"/>
                  <w:vAlign w:val="center"/>
                </w:tcPr>
                <w:p w14:paraId="32F02424">
                  <w:pPr>
                    <w:pStyle w:val="9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2"/>
                      <w:sz w:val="21"/>
                      <w:szCs w:val="21"/>
                    </w:rPr>
                    <w:t>采样频次</w:t>
                  </w:r>
                </w:p>
              </w:tc>
              <w:tc>
                <w:tcPr>
                  <w:tcW w:w="1117" w:type="pct"/>
                  <w:gridSpan w:val="2"/>
                  <w:vAlign w:val="center"/>
                </w:tcPr>
                <w:p w14:paraId="15F64821">
                  <w:pPr>
                    <w:pStyle w:val="9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3"/>
                      <w:sz w:val="21"/>
                      <w:szCs w:val="21"/>
                    </w:rPr>
                    <w:t>第一次</w:t>
                  </w:r>
                </w:p>
              </w:tc>
              <w:tc>
                <w:tcPr>
                  <w:tcW w:w="1158" w:type="pct"/>
                  <w:gridSpan w:val="3"/>
                  <w:vAlign w:val="center"/>
                </w:tcPr>
                <w:p w14:paraId="3C9B04C2">
                  <w:pPr>
                    <w:pStyle w:val="9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2"/>
                      <w:sz w:val="21"/>
                      <w:szCs w:val="21"/>
                    </w:rPr>
                    <w:t>第二次</w:t>
                  </w:r>
                </w:p>
              </w:tc>
              <w:tc>
                <w:tcPr>
                  <w:tcW w:w="1026" w:type="pct"/>
                  <w:gridSpan w:val="2"/>
                  <w:vAlign w:val="center"/>
                </w:tcPr>
                <w:p w14:paraId="090B5169">
                  <w:pPr>
                    <w:pStyle w:val="9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2"/>
                      <w:sz w:val="21"/>
                      <w:szCs w:val="21"/>
                    </w:rPr>
                    <w:t>第三次</w:t>
                  </w:r>
                </w:p>
              </w:tc>
            </w:tr>
            <w:tr w14:paraId="5D1D35D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697" w:type="pct"/>
                  <w:gridSpan w:val="2"/>
                  <w:vAlign w:val="center"/>
                </w:tcPr>
                <w:p w14:paraId="1BFDCBE6">
                  <w:pPr>
                    <w:pStyle w:val="9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Times New Roman" w:hAnsi="Times New Roman" w:eastAsia="宋体" w:cs="Times New Roman"/>
                      <w:color w:val="auto"/>
                      <w:sz w:val="21"/>
                      <w:szCs w:val="21"/>
                      <w:lang w:eastAsia="zh-CN"/>
                    </w:rPr>
                  </w:pPr>
                  <w:r>
                    <w:rPr>
                      <w:rFonts w:hint="default" w:ascii="Times New Roman" w:hAnsi="Times New Roman" w:cs="Times New Roman"/>
                      <w:color w:val="auto"/>
                      <w:spacing w:val="5"/>
                      <w:sz w:val="21"/>
                      <w:szCs w:val="21"/>
                    </w:rPr>
                    <w:t>烟气温度</w:t>
                  </w:r>
                  <w:r>
                    <w:rPr>
                      <w:rFonts w:hint="eastAsia" w:ascii="Times New Roman" w:hAnsi="Times New Roman" w:cs="Times New Roman"/>
                      <w:color w:val="auto"/>
                      <w:spacing w:val="5"/>
                      <w:sz w:val="21"/>
                      <w:szCs w:val="21"/>
                      <w:lang w:eastAsia="zh-CN"/>
                    </w:rPr>
                    <w:t>（</w:t>
                  </w:r>
                  <w:r>
                    <w:rPr>
                      <w:rFonts w:hint="default" w:ascii="Times New Roman" w:hAnsi="Times New Roman" w:cs="Times New Roman"/>
                      <w:color w:val="auto"/>
                      <w:spacing w:val="5"/>
                      <w:sz w:val="21"/>
                      <w:szCs w:val="21"/>
                    </w:rPr>
                    <w:t>℃</w:t>
                  </w:r>
                  <w:r>
                    <w:rPr>
                      <w:rFonts w:hint="eastAsia" w:ascii="Times New Roman" w:hAnsi="Times New Roman" w:cs="Times New Roman"/>
                      <w:color w:val="auto"/>
                      <w:spacing w:val="5"/>
                      <w:sz w:val="21"/>
                      <w:szCs w:val="21"/>
                      <w:lang w:eastAsia="zh-CN"/>
                    </w:rPr>
                    <w:t>）</w:t>
                  </w:r>
                </w:p>
              </w:tc>
              <w:tc>
                <w:tcPr>
                  <w:tcW w:w="1887" w:type="dxa"/>
                  <w:gridSpan w:val="2"/>
                  <w:vAlign w:val="top"/>
                </w:tcPr>
                <w:p w14:paraId="743CCC8D">
                  <w:pPr>
                    <w:pStyle w:val="9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pacing w:val="-3"/>
                      <w:sz w:val="21"/>
                      <w:szCs w:val="21"/>
                    </w:rPr>
                  </w:pPr>
                  <w:r>
                    <w:rPr>
                      <w:rFonts w:hint="default" w:ascii="Times New Roman" w:hAnsi="Times New Roman" w:cs="Times New Roman"/>
                      <w:color w:val="auto"/>
                      <w:spacing w:val="-3"/>
                      <w:sz w:val="21"/>
                      <w:szCs w:val="21"/>
                    </w:rPr>
                    <w:t>15</w:t>
                  </w:r>
                </w:p>
              </w:tc>
              <w:tc>
                <w:tcPr>
                  <w:tcW w:w="1956" w:type="dxa"/>
                  <w:gridSpan w:val="3"/>
                  <w:vAlign w:val="top"/>
                </w:tcPr>
                <w:p w14:paraId="7D1B2C9A">
                  <w:pPr>
                    <w:pStyle w:val="9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pacing w:val="-3"/>
                      <w:sz w:val="21"/>
                      <w:szCs w:val="21"/>
                      <w:lang w:val="en-US" w:eastAsia="zh-CN"/>
                    </w:rPr>
                  </w:pPr>
                  <w:r>
                    <w:rPr>
                      <w:rFonts w:hint="default" w:ascii="Times New Roman" w:hAnsi="Times New Roman" w:cs="Times New Roman"/>
                      <w:color w:val="auto"/>
                      <w:spacing w:val="-3"/>
                      <w:sz w:val="21"/>
                      <w:szCs w:val="21"/>
                    </w:rPr>
                    <w:t>16</w:t>
                  </w:r>
                </w:p>
              </w:tc>
              <w:tc>
                <w:tcPr>
                  <w:tcW w:w="1734" w:type="dxa"/>
                  <w:gridSpan w:val="2"/>
                  <w:vAlign w:val="top"/>
                </w:tcPr>
                <w:p w14:paraId="6E9D0E84">
                  <w:pPr>
                    <w:pStyle w:val="9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pacing w:val="-3"/>
                      <w:sz w:val="21"/>
                      <w:szCs w:val="21"/>
                      <w:lang w:val="en-US" w:eastAsia="zh-CN"/>
                    </w:rPr>
                  </w:pPr>
                  <w:r>
                    <w:rPr>
                      <w:rFonts w:hint="default" w:ascii="Times New Roman" w:hAnsi="Times New Roman" w:cs="Times New Roman"/>
                      <w:color w:val="auto"/>
                      <w:spacing w:val="-3"/>
                      <w:sz w:val="21"/>
                      <w:szCs w:val="21"/>
                    </w:rPr>
                    <w:t>17</w:t>
                  </w:r>
                </w:p>
              </w:tc>
            </w:tr>
            <w:tr w14:paraId="5BFBAB8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697" w:type="pct"/>
                  <w:gridSpan w:val="2"/>
                  <w:vAlign w:val="center"/>
                </w:tcPr>
                <w:p w14:paraId="066679D7">
                  <w:pPr>
                    <w:pStyle w:val="9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Times New Roman" w:hAnsi="Times New Roman" w:eastAsia="宋体" w:cs="Times New Roman"/>
                      <w:color w:val="auto"/>
                      <w:sz w:val="21"/>
                      <w:szCs w:val="21"/>
                      <w:lang w:eastAsia="zh-CN"/>
                    </w:rPr>
                  </w:pPr>
                  <w:r>
                    <w:rPr>
                      <w:rFonts w:hint="default" w:ascii="Times New Roman" w:hAnsi="Times New Roman" w:cs="Times New Roman"/>
                      <w:color w:val="auto"/>
                      <w:spacing w:val="13"/>
                      <w:sz w:val="21"/>
                      <w:szCs w:val="21"/>
                    </w:rPr>
                    <w:t>标干流量</w:t>
                  </w:r>
                  <w:r>
                    <w:rPr>
                      <w:rFonts w:hint="eastAsia" w:ascii="Times New Roman" w:hAnsi="Times New Roman" w:cs="Times New Roman"/>
                      <w:color w:val="auto"/>
                      <w:spacing w:val="13"/>
                      <w:sz w:val="21"/>
                      <w:szCs w:val="21"/>
                      <w:lang w:eastAsia="zh-CN"/>
                    </w:rPr>
                    <w:t>（</w:t>
                  </w:r>
                  <w:r>
                    <w:rPr>
                      <w:rFonts w:hint="default" w:ascii="Times New Roman" w:hAnsi="Times New Roman" w:cs="Times New Roman"/>
                      <w:color w:val="auto"/>
                      <w:sz w:val="21"/>
                      <w:szCs w:val="21"/>
                    </w:rPr>
                    <w:t>Nm</w:t>
                  </w:r>
                  <w:r>
                    <w:rPr>
                      <w:rFonts w:hint="default" w:ascii="Times New Roman" w:hAnsi="Times New Roman" w:cs="Times New Roman"/>
                      <w:color w:val="auto"/>
                      <w:spacing w:val="13"/>
                      <w:sz w:val="21"/>
                      <w:szCs w:val="21"/>
                    </w:rPr>
                    <w:t>³/h</w:t>
                  </w:r>
                  <w:r>
                    <w:rPr>
                      <w:rFonts w:hint="eastAsia" w:ascii="Times New Roman" w:hAnsi="Times New Roman" w:cs="Times New Roman"/>
                      <w:color w:val="auto"/>
                      <w:spacing w:val="13"/>
                      <w:sz w:val="21"/>
                      <w:szCs w:val="21"/>
                      <w:lang w:eastAsia="zh-CN"/>
                    </w:rPr>
                    <w:t>）</w:t>
                  </w:r>
                </w:p>
              </w:tc>
              <w:tc>
                <w:tcPr>
                  <w:tcW w:w="1887" w:type="dxa"/>
                  <w:gridSpan w:val="2"/>
                  <w:vAlign w:val="top"/>
                </w:tcPr>
                <w:p w14:paraId="55B58CBE">
                  <w:pPr>
                    <w:pStyle w:val="9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pacing w:val="-3"/>
                      <w:sz w:val="21"/>
                      <w:szCs w:val="21"/>
                      <w:lang w:val="en-US" w:eastAsia="zh-CN"/>
                    </w:rPr>
                  </w:pPr>
                  <w:r>
                    <w:rPr>
                      <w:rFonts w:hint="default" w:ascii="Times New Roman" w:hAnsi="Times New Roman" w:cs="Times New Roman"/>
                      <w:color w:val="auto"/>
                      <w:spacing w:val="-3"/>
                      <w:sz w:val="21"/>
                      <w:szCs w:val="21"/>
                    </w:rPr>
                    <w:t>2152</w:t>
                  </w:r>
                </w:p>
              </w:tc>
              <w:tc>
                <w:tcPr>
                  <w:tcW w:w="1956" w:type="dxa"/>
                  <w:gridSpan w:val="3"/>
                  <w:vAlign w:val="top"/>
                </w:tcPr>
                <w:p w14:paraId="3618992C">
                  <w:pPr>
                    <w:pStyle w:val="9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pacing w:val="-3"/>
                      <w:sz w:val="21"/>
                      <w:szCs w:val="21"/>
                      <w:lang w:val="en-US" w:eastAsia="zh-CN"/>
                    </w:rPr>
                  </w:pPr>
                  <w:r>
                    <w:rPr>
                      <w:rFonts w:hint="default" w:ascii="Times New Roman" w:hAnsi="Times New Roman" w:cs="Times New Roman"/>
                      <w:color w:val="auto"/>
                      <w:spacing w:val="-3"/>
                      <w:sz w:val="21"/>
                      <w:szCs w:val="21"/>
                    </w:rPr>
                    <w:t>2084</w:t>
                  </w:r>
                </w:p>
              </w:tc>
              <w:tc>
                <w:tcPr>
                  <w:tcW w:w="1734" w:type="dxa"/>
                  <w:gridSpan w:val="2"/>
                  <w:vAlign w:val="top"/>
                </w:tcPr>
                <w:p w14:paraId="564E0D02">
                  <w:pPr>
                    <w:pStyle w:val="9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pacing w:val="-3"/>
                      <w:sz w:val="21"/>
                      <w:szCs w:val="21"/>
                      <w:lang w:val="en-US" w:eastAsia="zh-CN"/>
                    </w:rPr>
                  </w:pPr>
                  <w:r>
                    <w:rPr>
                      <w:rFonts w:hint="default" w:ascii="Times New Roman" w:hAnsi="Times New Roman" w:cs="Times New Roman"/>
                      <w:color w:val="auto"/>
                      <w:spacing w:val="-3"/>
                      <w:sz w:val="21"/>
                      <w:szCs w:val="21"/>
                    </w:rPr>
                    <w:t>2017</w:t>
                  </w:r>
                </w:p>
              </w:tc>
            </w:tr>
            <w:tr w14:paraId="2E0D5A0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402" w:type="pct"/>
                  <w:vMerge w:val="restart"/>
                  <w:vAlign w:val="center"/>
                </w:tcPr>
                <w:p w14:paraId="66F57F0B">
                  <w:pPr>
                    <w:pStyle w:val="9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3"/>
                      <w:sz w:val="21"/>
                      <w:szCs w:val="21"/>
                    </w:rPr>
                    <w:t>氯化氢</w:t>
                  </w:r>
                </w:p>
              </w:tc>
              <w:tc>
                <w:tcPr>
                  <w:tcW w:w="1294" w:type="pct"/>
                  <w:vAlign w:val="center"/>
                </w:tcPr>
                <w:p w14:paraId="57D62F79">
                  <w:pPr>
                    <w:pStyle w:val="9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2"/>
                      <w:sz w:val="21"/>
                      <w:szCs w:val="21"/>
                    </w:rPr>
                    <w:t>样品编号</w:t>
                  </w:r>
                </w:p>
              </w:tc>
              <w:tc>
                <w:tcPr>
                  <w:tcW w:w="1887" w:type="dxa"/>
                  <w:gridSpan w:val="2"/>
                  <w:vAlign w:val="top"/>
                </w:tcPr>
                <w:p w14:paraId="5138AF55">
                  <w:pPr>
                    <w:pStyle w:val="9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pacing w:val="-3"/>
                      <w:sz w:val="21"/>
                      <w:szCs w:val="21"/>
                    </w:rPr>
                  </w:pPr>
                  <w:r>
                    <w:rPr>
                      <w:rFonts w:hint="default" w:ascii="Times New Roman" w:hAnsi="Times New Roman" w:cs="Times New Roman"/>
                      <w:color w:val="auto"/>
                      <w:spacing w:val="-3"/>
                      <w:sz w:val="21"/>
                      <w:szCs w:val="21"/>
                    </w:rPr>
                    <w:t>251293Y007</w:t>
                  </w:r>
                </w:p>
              </w:tc>
              <w:tc>
                <w:tcPr>
                  <w:tcW w:w="1956" w:type="dxa"/>
                  <w:gridSpan w:val="3"/>
                  <w:vAlign w:val="top"/>
                </w:tcPr>
                <w:p w14:paraId="7A02054E">
                  <w:pPr>
                    <w:pStyle w:val="9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pacing w:val="-3"/>
                      <w:sz w:val="21"/>
                      <w:szCs w:val="21"/>
                    </w:rPr>
                  </w:pPr>
                  <w:r>
                    <w:rPr>
                      <w:rFonts w:hint="default" w:ascii="Times New Roman" w:hAnsi="Times New Roman" w:cs="Times New Roman"/>
                      <w:color w:val="auto"/>
                      <w:spacing w:val="-3"/>
                      <w:sz w:val="21"/>
                      <w:szCs w:val="21"/>
                    </w:rPr>
                    <w:t>251293Y008</w:t>
                  </w:r>
                </w:p>
              </w:tc>
              <w:tc>
                <w:tcPr>
                  <w:tcW w:w="1734" w:type="dxa"/>
                  <w:gridSpan w:val="2"/>
                  <w:vAlign w:val="top"/>
                </w:tcPr>
                <w:p w14:paraId="6FA1AC2C">
                  <w:pPr>
                    <w:pStyle w:val="9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pacing w:val="-3"/>
                      <w:sz w:val="21"/>
                      <w:szCs w:val="21"/>
                    </w:rPr>
                  </w:pPr>
                  <w:r>
                    <w:rPr>
                      <w:rFonts w:hint="default" w:ascii="Times New Roman" w:hAnsi="Times New Roman" w:cs="Times New Roman"/>
                      <w:color w:val="auto"/>
                      <w:spacing w:val="-3"/>
                      <w:sz w:val="21"/>
                      <w:szCs w:val="21"/>
                    </w:rPr>
                    <w:t>251293Y009</w:t>
                  </w:r>
                </w:p>
              </w:tc>
            </w:tr>
            <w:tr w14:paraId="76A6D85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402" w:type="pct"/>
                  <w:vMerge w:val="continue"/>
                  <w:vAlign w:val="center"/>
                </w:tcPr>
                <w:p w14:paraId="347FFC55">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z w:val="21"/>
                      <w:szCs w:val="21"/>
                    </w:rPr>
                  </w:pPr>
                </w:p>
              </w:tc>
              <w:tc>
                <w:tcPr>
                  <w:tcW w:w="1294" w:type="pct"/>
                  <w:vAlign w:val="center"/>
                </w:tcPr>
                <w:p w14:paraId="3F1DC1A0">
                  <w:pPr>
                    <w:pStyle w:val="9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Times New Roman" w:hAnsi="Times New Roman" w:eastAsia="宋体" w:cs="Times New Roman"/>
                      <w:color w:val="auto"/>
                      <w:sz w:val="21"/>
                      <w:szCs w:val="21"/>
                      <w:lang w:eastAsia="zh-CN"/>
                    </w:rPr>
                  </w:pPr>
                  <w:r>
                    <w:rPr>
                      <w:rFonts w:hint="default" w:ascii="Times New Roman" w:hAnsi="Times New Roman" w:cs="Times New Roman"/>
                      <w:color w:val="auto"/>
                      <w:spacing w:val="13"/>
                      <w:sz w:val="21"/>
                      <w:szCs w:val="21"/>
                    </w:rPr>
                    <w:t>实测浓度</w:t>
                  </w:r>
                  <w:r>
                    <w:rPr>
                      <w:rFonts w:hint="eastAsia" w:ascii="Times New Roman" w:hAnsi="Times New Roman" w:cs="Times New Roman"/>
                      <w:color w:val="auto"/>
                      <w:spacing w:val="13"/>
                      <w:sz w:val="21"/>
                      <w:szCs w:val="21"/>
                      <w:lang w:eastAsia="zh-CN"/>
                    </w:rPr>
                    <w:t>（</w:t>
                  </w:r>
                  <w:r>
                    <w:rPr>
                      <w:rFonts w:hint="default" w:ascii="Times New Roman" w:hAnsi="Times New Roman" w:cs="Times New Roman"/>
                      <w:color w:val="auto"/>
                      <w:sz w:val="21"/>
                      <w:szCs w:val="21"/>
                    </w:rPr>
                    <w:t>mg</w:t>
                  </w:r>
                  <w:r>
                    <w:rPr>
                      <w:rFonts w:hint="default" w:ascii="Times New Roman" w:hAnsi="Times New Roman" w:cs="Times New Roman"/>
                      <w:color w:val="auto"/>
                      <w:spacing w:val="13"/>
                      <w:sz w:val="21"/>
                      <w:szCs w:val="21"/>
                    </w:rPr>
                    <w:t>/m³</w:t>
                  </w:r>
                  <w:r>
                    <w:rPr>
                      <w:rFonts w:hint="eastAsia" w:ascii="Times New Roman" w:hAnsi="Times New Roman" w:cs="Times New Roman"/>
                      <w:color w:val="auto"/>
                      <w:spacing w:val="13"/>
                      <w:sz w:val="21"/>
                      <w:szCs w:val="21"/>
                      <w:lang w:eastAsia="zh-CN"/>
                    </w:rPr>
                    <w:t>）</w:t>
                  </w:r>
                </w:p>
              </w:tc>
              <w:tc>
                <w:tcPr>
                  <w:tcW w:w="1887" w:type="dxa"/>
                  <w:gridSpan w:val="2"/>
                  <w:vAlign w:val="top"/>
                </w:tcPr>
                <w:p w14:paraId="371C4DC9">
                  <w:pPr>
                    <w:pStyle w:val="9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pacing w:val="-3"/>
                      <w:sz w:val="21"/>
                      <w:szCs w:val="21"/>
                      <w:lang w:val="en-US" w:eastAsia="zh-CN"/>
                    </w:rPr>
                  </w:pPr>
                  <w:r>
                    <w:rPr>
                      <w:rFonts w:hint="default" w:ascii="Times New Roman" w:hAnsi="Times New Roman" w:cs="Times New Roman"/>
                      <w:color w:val="auto"/>
                      <w:spacing w:val="-3"/>
                      <w:sz w:val="21"/>
                      <w:szCs w:val="21"/>
                    </w:rPr>
                    <w:t>8.7</w:t>
                  </w:r>
                </w:p>
              </w:tc>
              <w:tc>
                <w:tcPr>
                  <w:tcW w:w="1956" w:type="dxa"/>
                  <w:gridSpan w:val="3"/>
                  <w:vAlign w:val="top"/>
                </w:tcPr>
                <w:p w14:paraId="7C6E9DC9">
                  <w:pPr>
                    <w:pStyle w:val="9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pacing w:val="-3"/>
                      <w:sz w:val="21"/>
                      <w:szCs w:val="21"/>
                      <w:lang w:val="en-US" w:eastAsia="zh-CN"/>
                    </w:rPr>
                  </w:pPr>
                  <w:r>
                    <w:rPr>
                      <w:rFonts w:hint="default" w:ascii="Times New Roman" w:hAnsi="Times New Roman" w:cs="Times New Roman"/>
                      <w:color w:val="auto"/>
                      <w:spacing w:val="-3"/>
                      <w:sz w:val="21"/>
                      <w:szCs w:val="21"/>
                    </w:rPr>
                    <w:t>8.3</w:t>
                  </w:r>
                </w:p>
              </w:tc>
              <w:tc>
                <w:tcPr>
                  <w:tcW w:w="1734" w:type="dxa"/>
                  <w:gridSpan w:val="2"/>
                  <w:vAlign w:val="top"/>
                </w:tcPr>
                <w:p w14:paraId="3601F878">
                  <w:pPr>
                    <w:pStyle w:val="9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pacing w:val="-3"/>
                      <w:sz w:val="21"/>
                      <w:szCs w:val="21"/>
                      <w:lang w:val="en-US" w:eastAsia="zh-CN"/>
                    </w:rPr>
                  </w:pPr>
                  <w:r>
                    <w:rPr>
                      <w:rFonts w:hint="default" w:ascii="Times New Roman" w:hAnsi="Times New Roman" w:cs="Times New Roman"/>
                      <w:color w:val="auto"/>
                      <w:spacing w:val="-3"/>
                      <w:sz w:val="21"/>
                      <w:szCs w:val="21"/>
                    </w:rPr>
                    <w:t>8.6</w:t>
                  </w:r>
                </w:p>
              </w:tc>
            </w:tr>
            <w:tr w14:paraId="24A7BF2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402" w:type="pct"/>
                  <w:vMerge w:val="continue"/>
                  <w:vAlign w:val="center"/>
                </w:tcPr>
                <w:p w14:paraId="243AA02F">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z w:val="21"/>
                      <w:szCs w:val="21"/>
                    </w:rPr>
                  </w:pPr>
                </w:p>
              </w:tc>
              <w:tc>
                <w:tcPr>
                  <w:tcW w:w="1294" w:type="pct"/>
                  <w:vAlign w:val="center"/>
                </w:tcPr>
                <w:p w14:paraId="70D2F702">
                  <w:pPr>
                    <w:pStyle w:val="9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Times New Roman" w:hAnsi="Times New Roman" w:eastAsia="宋体" w:cs="Times New Roman"/>
                      <w:color w:val="auto"/>
                      <w:sz w:val="21"/>
                      <w:szCs w:val="21"/>
                      <w:lang w:eastAsia="zh-CN"/>
                    </w:rPr>
                  </w:pPr>
                  <w:r>
                    <w:rPr>
                      <w:rFonts w:hint="default" w:ascii="Times New Roman" w:hAnsi="Times New Roman" w:cs="Times New Roman"/>
                      <w:color w:val="auto"/>
                      <w:spacing w:val="4"/>
                      <w:sz w:val="21"/>
                      <w:szCs w:val="21"/>
                    </w:rPr>
                    <w:t>排放速率</w:t>
                  </w:r>
                  <w:r>
                    <w:rPr>
                      <w:rFonts w:hint="eastAsia" w:ascii="Times New Roman" w:hAnsi="Times New Roman" w:cs="Times New Roman"/>
                      <w:color w:val="auto"/>
                      <w:spacing w:val="4"/>
                      <w:sz w:val="21"/>
                      <w:szCs w:val="21"/>
                      <w:lang w:eastAsia="zh-CN"/>
                    </w:rPr>
                    <w:t>（</w:t>
                  </w:r>
                  <w:r>
                    <w:rPr>
                      <w:rFonts w:hint="default" w:ascii="Times New Roman" w:hAnsi="Times New Roman" w:cs="Times New Roman"/>
                      <w:color w:val="auto"/>
                      <w:sz w:val="21"/>
                      <w:szCs w:val="21"/>
                    </w:rPr>
                    <w:t>kg</w:t>
                  </w:r>
                  <w:r>
                    <w:rPr>
                      <w:rFonts w:hint="default" w:ascii="Times New Roman" w:hAnsi="Times New Roman" w:cs="Times New Roman"/>
                      <w:color w:val="auto"/>
                      <w:spacing w:val="4"/>
                      <w:sz w:val="21"/>
                      <w:szCs w:val="21"/>
                    </w:rPr>
                    <w:t>/h</w:t>
                  </w:r>
                  <w:r>
                    <w:rPr>
                      <w:rFonts w:hint="eastAsia" w:ascii="Times New Roman" w:hAnsi="Times New Roman" w:cs="Times New Roman"/>
                      <w:color w:val="auto"/>
                      <w:spacing w:val="4"/>
                      <w:sz w:val="21"/>
                      <w:szCs w:val="21"/>
                      <w:lang w:eastAsia="zh-CN"/>
                    </w:rPr>
                    <w:t>）</w:t>
                  </w:r>
                </w:p>
              </w:tc>
              <w:tc>
                <w:tcPr>
                  <w:tcW w:w="1887" w:type="dxa"/>
                  <w:gridSpan w:val="2"/>
                  <w:vAlign w:val="top"/>
                </w:tcPr>
                <w:p w14:paraId="566EA068">
                  <w:pPr>
                    <w:pStyle w:val="9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pacing w:val="-3"/>
                      <w:sz w:val="21"/>
                      <w:szCs w:val="21"/>
                      <w:lang w:val="en-US" w:eastAsia="zh-CN"/>
                    </w:rPr>
                  </w:pPr>
                  <w:r>
                    <w:rPr>
                      <w:rFonts w:hint="default" w:ascii="Times New Roman" w:hAnsi="Times New Roman" w:cs="Times New Roman"/>
                      <w:color w:val="auto"/>
                      <w:spacing w:val="-3"/>
                      <w:sz w:val="21"/>
                      <w:szCs w:val="21"/>
                    </w:rPr>
                    <w:t>0.0187</w:t>
                  </w:r>
                </w:p>
              </w:tc>
              <w:tc>
                <w:tcPr>
                  <w:tcW w:w="1956" w:type="dxa"/>
                  <w:gridSpan w:val="3"/>
                  <w:vAlign w:val="top"/>
                </w:tcPr>
                <w:p w14:paraId="09725A79">
                  <w:pPr>
                    <w:pStyle w:val="9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pacing w:val="-3"/>
                      <w:sz w:val="21"/>
                      <w:szCs w:val="21"/>
                      <w:lang w:val="en-US" w:eastAsia="zh-CN"/>
                    </w:rPr>
                  </w:pPr>
                  <w:r>
                    <w:rPr>
                      <w:rFonts w:hint="default" w:ascii="Times New Roman" w:hAnsi="Times New Roman" w:cs="Times New Roman"/>
                      <w:color w:val="auto"/>
                      <w:spacing w:val="-3"/>
                      <w:sz w:val="21"/>
                      <w:szCs w:val="21"/>
                    </w:rPr>
                    <w:t>0.0173</w:t>
                  </w:r>
                </w:p>
              </w:tc>
              <w:tc>
                <w:tcPr>
                  <w:tcW w:w="1734" w:type="dxa"/>
                  <w:gridSpan w:val="2"/>
                  <w:vAlign w:val="top"/>
                </w:tcPr>
                <w:p w14:paraId="298A0F73">
                  <w:pPr>
                    <w:pStyle w:val="9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pacing w:val="-3"/>
                      <w:sz w:val="21"/>
                      <w:szCs w:val="21"/>
                      <w:lang w:val="en-US" w:eastAsia="zh-CN"/>
                    </w:rPr>
                  </w:pPr>
                  <w:r>
                    <w:rPr>
                      <w:rFonts w:hint="default" w:ascii="Times New Roman" w:hAnsi="Times New Roman" w:cs="Times New Roman"/>
                      <w:color w:val="auto"/>
                      <w:spacing w:val="-3"/>
                      <w:sz w:val="21"/>
                      <w:szCs w:val="21"/>
                    </w:rPr>
                    <w:t>0.0173</w:t>
                  </w:r>
                </w:p>
              </w:tc>
            </w:tr>
            <w:tr w14:paraId="3849172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402" w:type="pct"/>
                  <w:vMerge w:val="restart"/>
                  <w:tcBorders>
                    <w:bottom w:val="nil"/>
                  </w:tcBorders>
                  <w:vAlign w:val="center"/>
                </w:tcPr>
                <w:p w14:paraId="46F92A46">
                  <w:pPr>
                    <w:pStyle w:val="9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2"/>
                      <w:sz w:val="21"/>
                      <w:szCs w:val="21"/>
                    </w:rPr>
                    <w:t>硫酸雾</w:t>
                  </w:r>
                </w:p>
              </w:tc>
              <w:tc>
                <w:tcPr>
                  <w:tcW w:w="1294" w:type="pct"/>
                  <w:vAlign w:val="center"/>
                </w:tcPr>
                <w:p w14:paraId="0F53F809">
                  <w:pPr>
                    <w:pStyle w:val="9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2"/>
                      <w:sz w:val="21"/>
                      <w:szCs w:val="21"/>
                    </w:rPr>
                    <w:t>样品编号</w:t>
                  </w:r>
                </w:p>
              </w:tc>
              <w:tc>
                <w:tcPr>
                  <w:tcW w:w="1887" w:type="dxa"/>
                  <w:gridSpan w:val="2"/>
                  <w:vAlign w:val="top"/>
                </w:tcPr>
                <w:p w14:paraId="0BE10872">
                  <w:pPr>
                    <w:pStyle w:val="9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pacing w:val="-3"/>
                      <w:sz w:val="21"/>
                      <w:szCs w:val="21"/>
                    </w:rPr>
                  </w:pPr>
                  <w:r>
                    <w:rPr>
                      <w:rFonts w:hint="default" w:ascii="Times New Roman" w:hAnsi="Times New Roman" w:cs="Times New Roman"/>
                      <w:color w:val="auto"/>
                      <w:spacing w:val="-3"/>
                      <w:sz w:val="21"/>
                      <w:szCs w:val="21"/>
                    </w:rPr>
                    <w:t>251293Y010</w:t>
                  </w:r>
                </w:p>
              </w:tc>
              <w:tc>
                <w:tcPr>
                  <w:tcW w:w="1956" w:type="dxa"/>
                  <w:gridSpan w:val="3"/>
                  <w:vAlign w:val="top"/>
                </w:tcPr>
                <w:p w14:paraId="62413A96">
                  <w:pPr>
                    <w:pStyle w:val="9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pacing w:val="-3"/>
                      <w:sz w:val="21"/>
                      <w:szCs w:val="21"/>
                    </w:rPr>
                  </w:pPr>
                  <w:r>
                    <w:rPr>
                      <w:rFonts w:hint="default" w:ascii="Times New Roman" w:hAnsi="Times New Roman" w:cs="Times New Roman"/>
                      <w:color w:val="auto"/>
                      <w:spacing w:val="-3"/>
                      <w:sz w:val="21"/>
                      <w:szCs w:val="21"/>
                    </w:rPr>
                    <w:t>251293Y011</w:t>
                  </w:r>
                </w:p>
              </w:tc>
              <w:tc>
                <w:tcPr>
                  <w:tcW w:w="1734" w:type="dxa"/>
                  <w:gridSpan w:val="2"/>
                  <w:vAlign w:val="top"/>
                </w:tcPr>
                <w:p w14:paraId="0F99B7E3">
                  <w:pPr>
                    <w:pStyle w:val="9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pacing w:val="-3"/>
                      <w:sz w:val="21"/>
                      <w:szCs w:val="21"/>
                    </w:rPr>
                  </w:pPr>
                  <w:r>
                    <w:rPr>
                      <w:rFonts w:hint="default" w:ascii="Times New Roman" w:hAnsi="Times New Roman" w:cs="Times New Roman"/>
                      <w:color w:val="auto"/>
                      <w:spacing w:val="-3"/>
                      <w:sz w:val="21"/>
                      <w:szCs w:val="21"/>
                    </w:rPr>
                    <w:t>251293Y012</w:t>
                  </w:r>
                </w:p>
              </w:tc>
            </w:tr>
            <w:tr w14:paraId="0357D57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402" w:type="pct"/>
                  <w:vMerge w:val="continue"/>
                  <w:tcBorders>
                    <w:top w:val="nil"/>
                    <w:bottom w:val="nil"/>
                  </w:tcBorders>
                  <w:vAlign w:val="center"/>
                </w:tcPr>
                <w:p w14:paraId="54E71B1B">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z w:val="21"/>
                      <w:szCs w:val="21"/>
                    </w:rPr>
                  </w:pPr>
                </w:p>
              </w:tc>
              <w:tc>
                <w:tcPr>
                  <w:tcW w:w="1294" w:type="pct"/>
                  <w:vAlign w:val="center"/>
                </w:tcPr>
                <w:p w14:paraId="31F33D8A">
                  <w:pPr>
                    <w:pStyle w:val="9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Times New Roman" w:hAnsi="Times New Roman" w:eastAsia="宋体" w:cs="Times New Roman"/>
                      <w:color w:val="auto"/>
                      <w:sz w:val="21"/>
                      <w:szCs w:val="21"/>
                      <w:lang w:eastAsia="zh-CN"/>
                    </w:rPr>
                  </w:pPr>
                  <w:r>
                    <w:rPr>
                      <w:rFonts w:hint="default" w:ascii="Times New Roman" w:hAnsi="Times New Roman" w:cs="Times New Roman"/>
                      <w:color w:val="auto"/>
                      <w:spacing w:val="12"/>
                      <w:sz w:val="21"/>
                      <w:szCs w:val="21"/>
                    </w:rPr>
                    <w:t>实测浓度</w:t>
                  </w:r>
                  <w:r>
                    <w:rPr>
                      <w:rFonts w:hint="eastAsia" w:ascii="Times New Roman" w:hAnsi="Times New Roman" w:cs="Times New Roman"/>
                      <w:color w:val="auto"/>
                      <w:spacing w:val="12"/>
                      <w:sz w:val="21"/>
                      <w:szCs w:val="21"/>
                      <w:lang w:eastAsia="zh-CN"/>
                    </w:rPr>
                    <w:t>（</w:t>
                  </w:r>
                  <w:r>
                    <w:rPr>
                      <w:rFonts w:hint="default" w:ascii="Times New Roman" w:hAnsi="Times New Roman" w:cs="Times New Roman"/>
                      <w:color w:val="auto"/>
                      <w:sz w:val="21"/>
                      <w:szCs w:val="21"/>
                    </w:rPr>
                    <w:t>mg</w:t>
                  </w:r>
                  <w:r>
                    <w:rPr>
                      <w:rFonts w:hint="default" w:ascii="Times New Roman" w:hAnsi="Times New Roman" w:cs="Times New Roman"/>
                      <w:color w:val="auto"/>
                      <w:spacing w:val="12"/>
                      <w:sz w:val="21"/>
                      <w:szCs w:val="21"/>
                    </w:rPr>
                    <w:t>/m³</w:t>
                  </w:r>
                  <w:r>
                    <w:rPr>
                      <w:rFonts w:hint="eastAsia" w:ascii="Times New Roman" w:hAnsi="Times New Roman" w:cs="Times New Roman"/>
                      <w:color w:val="auto"/>
                      <w:spacing w:val="12"/>
                      <w:sz w:val="21"/>
                      <w:szCs w:val="21"/>
                      <w:lang w:eastAsia="zh-CN"/>
                    </w:rPr>
                    <w:t>）</w:t>
                  </w:r>
                </w:p>
              </w:tc>
              <w:tc>
                <w:tcPr>
                  <w:tcW w:w="1887" w:type="dxa"/>
                  <w:gridSpan w:val="2"/>
                  <w:vAlign w:val="top"/>
                </w:tcPr>
                <w:p w14:paraId="34661A5E">
                  <w:pPr>
                    <w:pStyle w:val="9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pacing w:val="-3"/>
                      <w:sz w:val="21"/>
                      <w:szCs w:val="21"/>
                      <w:lang w:val="en-US" w:eastAsia="zh-CN"/>
                    </w:rPr>
                  </w:pPr>
                  <w:r>
                    <w:rPr>
                      <w:rFonts w:hint="default" w:ascii="Times New Roman" w:hAnsi="Times New Roman" w:cs="Times New Roman"/>
                      <w:color w:val="auto"/>
                      <w:spacing w:val="-3"/>
                      <w:sz w:val="21"/>
                      <w:szCs w:val="21"/>
                    </w:rPr>
                    <w:t>0.60</w:t>
                  </w:r>
                </w:p>
              </w:tc>
              <w:tc>
                <w:tcPr>
                  <w:tcW w:w="1956" w:type="dxa"/>
                  <w:gridSpan w:val="3"/>
                  <w:vAlign w:val="top"/>
                </w:tcPr>
                <w:p w14:paraId="7665EC1A">
                  <w:pPr>
                    <w:pStyle w:val="9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pacing w:val="-3"/>
                      <w:sz w:val="21"/>
                      <w:szCs w:val="21"/>
                      <w:lang w:val="en-US" w:eastAsia="zh-CN"/>
                    </w:rPr>
                  </w:pPr>
                  <w:r>
                    <w:rPr>
                      <w:rFonts w:hint="default" w:ascii="Times New Roman" w:hAnsi="Times New Roman" w:cs="Times New Roman"/>
                      <w:color w:val="auto"/>
                      <w:spacing w:val="-3"/>
                      <w:sz w:val="21"/>
                      <w:szCs w:val="21"/>
                    </w:rPr>
                    <w:t>0.61</w:t>
                  </w:r>
                </w:p>
              </w:tc>
              <w:tc>
                <w:tcPr>
                  <w:tcW w:w="1734" w:type="dxa"/>
                  <w:gridSpan w:val="2"/>
                  <w:vAlign w:val="top"/>
                </w:tcPr>
                <w:p w14:paraId="642EBB4E">
                  <w:pPr>
                    <w:pStyle w:val="9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pacing w:val="-3"/>
                      <w:sz w:val="21"/>
                      <w:szCs w:val="21"/>
                      <w:lang w:val="en-US" w:eastAsia="zh-CN"/>
                    </w:rPr>
                  </w:pPr>
                  <w:r>
                    <w:rPr>
                      <w:rFonts w:hint="default" w:ascii="Times New Roman" w:hAnsi="Times New Roman" w:cs="Times New Roman"/>
                      <w:color w:val="auto"/>
                      <w:spacing w:val="-3"/>
                      <w:sz w:val="21"/>
                      <w:szCs w:val="21"/>
                    </w:rPr>
                    <w:t>0.58</w:t>
                  </w:r>
                </w:p>
              </w:tc>
            </w:tr>
            <w:tr w14:paraId="4DF639B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402" w:type="pct"/>
                  <w:vMerge w:val="continue"/>
                  <w:tcBorders>
                    <w:top w:val="nil"/>
                  </w:tcBorders>
                  <w:vAlign w:val="center"/>
                </w:tcPr>
                <w:p w14:paraId="10C1D4C3">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z w:val="21"/>
                      <w:szCs w:val="21"/>
                    </w:rPr>
                  </w:pPr>
                </w:p>
              </w:tc>
              <w:tc>
                <w:tcPr>
                  <w:tcW w:w="1294" w:type="pct"/>
                  <w:vAlign w:val="center"/>
                </w:tcPr>
                <w:p w14:paraId="0E272158">
                  <w:pPr>
                    <w:pStyle w:val="9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Times New Roman" w:hAnsi="Times New Roman" w:eastAsia="宋体" w:cs="Times New Roman"/>
                      <w:color w:val="auto"/>
                      <w:sz w:val="21"/>
                      <w:szCs w:val="21"/>
                      <w:lang w:eastAsia="zh-CN"/>
                    </w:rPr>
                  </w:pPr>
                  <w:r>
                    <w:rPr>
                      <w:rFonts w:hint="default" w:ascii="Times New Roman" w:hAnsi="Times New Roman" w:cs="Times New Roman"/>
                      <w:color w:val="auto"/>
                      <w:spacing w:val="4"/>
                      <w:sz w:val="21"/>
                      <w:szCs w:val="21"/>
                    </w:rPr>
                    <w:t>排放速率</w:t>
                  </w:r>
                  <w:r>
                    <w:rPr>
                      <w:rFonts w:hint="eastAsia" w:ascii="Times New Roman" w:hAnsi="Times New Roman" w:cs="Times New Roman"/>
                      <w:color w:val="auto"/>
                      <w:spacing w:val="4"/>
                      <w:sz w:val="21"/>
                      <w:szCs w:val="21"/>
                      <w:lang w:eastAsia="zh-CN"/>
                    </w:rPr>
                    <w:t>（</w:t>
                  </w:r>
                  <w:r>
                    <w:rPr>
                      <w:rFonts w:hint="default" w:ascii="Times New Roman" w:hAnsi="Times New Roman" w:cs="Times New Roman"/>
                      <w:color w:val="auto"/>
                      <w:sz w:val="21"/>
                      <w:szCs w:val="21"/>
                    </w:rPr>
                    <w:t>kg</w:t>
                  </w:r>
                  <w:r>
                    <w:rPr>
                      <w:rFonts w:hint="default" w:ascii="Times New Roman" w:hAnsi="Times New Roman" w:cs="Times New Roman"/>
                      <w:color w:val="auto"/>
                      <w:spacing w:val="4"/>
                      <w:sz w:val="21"/>
                      <w:szCs w:val="21"/>
                    </w:rPr>
                    <w:t>/h</w:t>
                  </w:r>
                  <w:r>
                    <w:rPr>
                      <w:rFonts w:hint="eastAsia" w:ascii="Times New Roman" w:hAnsi="Times New Roman" w:cs="Times New Roman"/>
                      <w:color w:val="auto"/>
                      <w:spacing w:val="4"/>
                      <w:sz w:val="21"/>
                      <w:szCs w:val="21"/>
                      <w:lang w:eastAsia="zh-CN"/>
                    </w:rPr>
                    <w:t>）</w:t>
                  </w:r>
                </w:p>
              </w:tc>
              <w:tc>
                <w:tcPr>
                  <w:tcW w:w="1887" w:type="dxa"/>
                  <w:gridSpan w:val="2"/>
                  <w:vAlign w:val="top"/>
                </w:tcPr>
                <w:p w14:paraId="41653086">
                  <w:pPr>
                    <w:pStyle w:val="9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Times New Roman" w:hAnsi="Times New Roman" w:cs="Times New Roman"/>
                      <w:color w:val="auto"/>
                      <w:spacing w:val="-3"/>
                      <w:sz w:val="21"/>
                      <w:szCs w:val="21"/>
                      <w:lang w:eastAsia="zh-CN"/>
                    </w:rPr>
                  </w:pPr>
                  <w:r>
                    <w:rPr>
                      <w:rFonts w:hint="default" w:ascii="Times New Roman" w:hAnsi="Times New Roman" w:cs="Times New Roman"/>
                      <w:color w:val="auto"/>
                      <w:spacing w:val="-3"/>
                      <w:sz w:val="21"/>
                      <w:szCs w:val="21"/>
                    </w:rPr>
                    <w:t>1.29</w:t>
                  </w:r>
                  <w:r>
                    <w:rPr>
                      <w:rFonts w:hint="default" w:ascii="Times New Roman" w:hAnsi="Times New Roman" w:cs="Times New Roman"/>
                      <w:color w:val="auto"/>
                      <w:sz w:val="21"/>
                      <w:szCs w:val="21"/>
                    </w:rPr>
                    <w:t>×</w:t>
                  </w:r>
                  <w:r>
                    <w:rPr>
                      <w:rFonts w:hint="eastAsia" w:ascii="Times New Roman" w:hAnsi="Times New Roman" w:cs="Times New Roman"/>
                      <w:color w:val="auto"/>
                      <w:sz w:val="21"/>
                      <w:szCs w:val="21"/>
                      <w:lang w:val="en-US" w:eastAsia="zh-CN"/>
                    </w:rPr>
                    <w:t>10</w:t>
                  </w:r>
                  <w:r>
                    <w:rPr>
                      <w:rFonts w:hint="eastAsia" w:ascii="Times New Roman" w:hAnsi="Times New Roman" w:cs="Times New Roman"/>
                      <w:color w:val="auto"/>
                      <w:sz w:val="21"/>
                      <w:szCs w:val="21"/>
                      <w:vertAlign w:val="superscript"/>
                      <w:lang w:val="en-US" w:eastAsia="zh-CN"/>
                    </w:rPr>
                    <w:t>-3</w:t>
                  </w:r>
                </w:p>
              </w:tc>
              <w:tc>
                <w:tcPr>
                  <w:tcW w:w="1956" w:type="dxa"/>
                  <w:gridSpan w:val="3"/>
                  <w:vAlign w:val="top"/>
                </w:tcPr>
                <w:p w14:paraId="558EEDBE">
                  <w:pPr>
                    <w:pStyle w:val="9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Times New Roman" w:hAnsi="Times New Roman" w:cs="Times New Roman"/>
                      <w:color w:val="auto"/>
                      <w:spacing w:val="-3"/>
                      <w:sz w:val="21"/>
                      <w:szCs w:val="21"/>
                      <w:lang w:eastAsia="zh-CN"/>
                    </w:rPr>
                  </w:pPr>
                  <w:r>
                    <w:rPr>
                      <w:rFonts w:hint="default" w:ascii="Times New Roman" w:hAnsi="Times New Roman" w:cs="Times New Roman"/>
                      <w:color w:val="auto"/>
                      <w:spacing w:val="-3"/>
                      <w:sz w:val="21"/>
                      <w:szCs w:val="21"/>
                    </w:rPr>
                    <w:t>1.27</w:t>
                  </w:r>
                  <w:r>
                    <w:rPr>
                      <w:rFonts w:hint="default" w:ascii="Times New Roman" w:hAnsi="Times New Roman" w:cs="Times New Roman"/>
                      <w:color w:val="auto"/>
                      <w:sz w:val="21"/>
                      <w:szCs w:val="21"/>
                    </w:rPr>
                    <w:t>×</w:t>
                  </w:r>
                  <w:r>
                    <w:rPr>
                      <w:rFonts w:hint="eastAsia" w:ascii="Times New Roman" w:hAnsi="Times New Roman" w:cs="Times New Roman"/>
                      <w:color w:val="auto"/>
                      <w:sz w:val="21"/>
                      <w:szCs w:val="21"/>
                      <w:lang w:val="en-US" w:eastAsia="zh-CN"/>
                    </w:rPr>
                    <w:t>10</w:t>
                  </w:r>
                  <w:r>
                    <w:rPr>
                      <w:rFonts w:hint="eastAsia" w:ascii="Times New Roman" w:hAnsi="Times New Roman" w:cs="Times New Roman"/>
                      <w:color w:val="auto"/>
                      <w:sz w:val="21"/>
                      <w:szCs w:val="21"/>
                      <w:vertAlign w:val="superscript"/>
                      <w:lang w:val="en-US" w:eastAsia="zh-CN"/>
                    </w:rPr>
                    <w:t>-3</w:t>
                  </w:r>
                </w:p>
              </w:tc>
              <w:tc>
                <w:tcPr>
                  <w:tcW w:w="1734" w:type="dxa"/>
                  <w:gridSpan w:val="2"/>
                  <w:vAlign w:val="top"/>
                </w:tcPr>
                <w:p w14:paraId="41D0A833">
                  <w:pPr>
                    <w:pStyle w:val="9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pacing w:val="-3"/>
                      <w:sz w:val="21"/>
                      <w:szCs w:val="21"/>
                    </w:rPr>
                  </w:pPr>
                  <w:r>
                    <w:rPr>
                      <w:rFonts w:hint="default" w:ascii="Times New Roman" w:hAnsi="Times New Roman" w:cs="Times New Roman"/>
                      <w:color w:val="auto"/>
                      <w:spacing w:val="-3"/>
                      <w:sz w:val="21"/>
                      <w:szCs w:val="21"/>
                    </w:rPr>
                    <w:t>1.17</w:t>
                  </w:r>
                  <w:r>
                    <w:rPr>
                      <w:rFonts w:hint="default" w:ascii="Times New Roman" w:hAnsi="Times New Roman" w:cs="Times New Roman"/>
                      <w:color w:val="auto"/>
                      <w:sz w:val="21"/>
                      <w:szCs w:val="21"/>
                    </w:rPr>
                    <w:t>×</w:t>
                  </w:r>
                  <w:r>
                    <w:rPr>
                      <w:rFonts w:hint="eastAsia" w:ascii="Times New Roman" w:hAnsi="Times New Roman" w:cs="Times New Roman"/>
                      <w:color w:val="auto"/>
                      <w:sz w:val="21"/>
                      <w:szCs w:val="21"/>
                      <w:lang w:val="en-US" w:eastAsia="zh-CN"/>
                    </w:rPr>
                    <w:t>10</w:t>
                  </w:r>
                  <w:r>
                    <w:rPr>
                      <w:rFonts w:hint="eastAsia" w:ascii="Times New Roman" w:hAnsi="Times New Roman" w:cs="Times New Roman"/>
                      <w:color w:val="auto"/>
                      <w:sz w:val="21"/>
                      <w:szCs w:val="21"/>
                      <w:vertAlign w:val="superscript"/>
                      <w:lang w:val="en-US" w:eastAsia="zh-CN"/>
                    </w:rPr>
                    <w:t>-3</w:t>
                  </w:r>
                </w:p>
              </w:tc>
            </w:tr>
            <w:tr w14:paraId="3A4365D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697" w:type="pct"/>
                  <w:gridSpan w:val="2"/>
                  <w:vAlign w:val="center"/>
                </w:tcPr>
                <w:p w14:paraId="66E1EAE8">
                  <w:pPr>
                    <w:pStyle w:val="9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3"/>
                      <w:sz w:val="21"/>
                      <w:szCs w:val="21"/>
                    </w:rPr>
                    <w:t>备注</w:t>
                  </w:r>
                </w:p>
              </w:tc>
              <w:tc>
                <w:tcPr>
                  <w:tcW w:w="3302" w:type="pct"/>
                  <w:gridSpan w:val="7"/>
                  <w:vAlign w:val="center"/>
                </w:tcPr>
                <w:p w14:paraId="50B42DC0">
                  <w:pPr>
                    <w:pStyle w:val="9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bl>
          <w:p w14:paraId="59022AC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cs="Times New Roman"/>
                <w:color w:val="auto"/>
                <w:sz w:val="24"/>
                <w:szCs w:val="24"/>
                <w:lang w:val="en-US" w:eastAsia="zh-CN"/>
              </w:rPr>
            </w:pPr>
            <w:r>
              <w:rPr>
                <w:rFonts w:hint="default" w:ascii="Times New Roman" w:hAnsi="Times New Roman" w:cs="Times New Roman"/>
                <w:color w:val="auto"/>
                <w:sz w:val="24"/>
                <w:lang w:val="en-US" w:eastAsia="zh-CN"/>
              </w:rPr>
              <w:t>从上</w:t>
            </w:r>
            <w:r>
              <w:rPr>
                <w:rFonts w:hint="eastAsia" w:cs="Times New Roman"/>
                <w:color w:val="auto"/>
                <w:sz w:val="24"/>
                <w:lang w:val="en-US" w:eastAsia="zh-CN"/>
              </w:rPr>
              <w:t>两</w:t>
            </w:r>
            <w:r>
              <w:rPr>
                <w:rFonts w:hint="default" w:ascii="Times New Roman" w:hAnsi="Times New Roman" w:cs="Times New Roman"/>
                <w:color w:val="auto"/>
                <w:sz w:val="24"/>
                <w:lang w:val="en-US" w:eastAsia="zh-CN"/>
              </w:rPr>
              <w:t>表可以看出，项目</w:t>
            </w:r>
            <w:r>
              <w:rPr>
                <w:rFonts w:hint="eastAsia" w:cs="Times New Roman"/>
                <w:color w:val="auto"/>
                <w:sz w:val="24"/>
                <w:lang w:val="en-US" w:eastAsia="zh-CN"/>
              </w:rPr>
              <w:t>有组织排放的氯化氢浓度最大值为9.2</w:t>
            </w:r>
            <w:r>
              <w:rPr>
                <w:rFonts w:hint="default" w:ascii="Times New Roman" w:hAnsi="Times New Roman" w:cs="Times New Roman"/>
                <w:color w:val="auto"/>
                <w:sz w:val="24"/>
                <w:szCs w:val="24"/>
                <w:lang w:val="en-US" w:eastAsia="zh-CN"/>
              </w:rPr>
              <w:t>mg/m</w:t>
            </w:r>
            <w:r>
              <w:rPr>
                <w:rFonts w:hint="default" w:ascii="Times New Roman" w:hAnsi="Times New Roman" w:cs="Times New Roman"/>
                <w:color w:val="auto"/>
                <w:sz w:val="24"/>
                <w:szCs w:val="24"/>
                <w:vertAlign w:val="superscript"/>
                <w:lang w:val="en-US" w:eastAsia="zh-CN"/>
              </w:rPr>
              <w:t>3</w:t>
            </w:r>
            <w:r>
              <w:rPr>
                <w:rFonts w:hint="default" w:ascii="Times New Roman" w:hAnsi="Times New Roman" w:cs="Times New Roman"/>
                <w:color w:val="auto"/>
                <w:sz w:val="24"/>
                <w:szCs w:val="24"/>
                <w:lang w:val="en-US" w:eastAsia="zh-CN"/>
              </w:rPr>
              <w:t>，</w:t>
            </w:r>
            <w:r>
              <w:rPr>
                <w:rFonts w:hint="eastAsia" w:ascii="Times New Roman" w:hAnsi="Times New Roman" w:cs="Times New Roman"/>
                <w:color w:val="auto"/>
                <w:sz w:val="24"/>
                <w:szCs w:val="24"/>
                <w:lang w:val="en-US" w:eastAsia="zh-CN"/>
              </w:rPr>
              <w:t>最高排放速率为</w:t>
            </w:r>
            <w:r>
              <w:rPr>
                <w:rFonts w:hint="eastAsia" w:cs="Times New Roman"/>
                <w:color w:val="auto"/>
                <w:sz w:val="24"/>
                <w:szCs w:val="24"/>
                <w:lang w:val="en-US" w:eastAsia="zh-CN"/>
              </w:rPr>
              <w:t>0.0187</w:t>
            </w:r>
            <w:r>
              <w:rPr>
                <w:rFonts w:hint="eastAsia" w:ascii="Times New Roman" w:hAnsi="Times New Roman" w:cs="Times New Roman"/>
                <w:color w:val="auto"/>
                <w:sz w:val="24"/>
                <w:szCs w:val="24"/>
                <w:lang w:val="en-US" w:eastAsia="zh-CN"/>
              </w:rPr>
              <w:t>kg/h，</w:t>
            </w:r>
            <w:r>
              <w:rPr>
                <w:rFonts w:hint="eastAsia" w:cs="Times New Roman"/>
                <w:color w:val="auto"/>
                <w:sz w:val="24"/>
                <w:szCs w:val="24"/>
                <w:lang w:val="en-US" w:eastAsia="zh-CN"/>
              </w:rPr>
              <w:t>满足《大气污染物综合排放标准》（GB16297-1996）表2中氯化氢排放限值（即</w:t>
            </w:r>
            <w:r>
              <w:rPr>
                <w:rFonts w:hint="eastAsia" w:ascii="Times New Roman" w:hAnsi="Times New Roman" w:cs="Times New Roman"/>
                <w:color w:val="auto"/>
                <w:kern w:val="0"/>
                <w:sz w:val="24"/>
                <w:szCs w:val="24"/>
                <w:lang w:val="en-US" w:eastAsia="zh-CN" w:bidi="ar"/>
              </w:rPr>
              <w:t>排放浓度＜</w:t>
            </w:r>
            <w:r>
              <w:rPr>
                <w:rFonts w:hint="eastAsia" w:cs="Times New Roman"/>
                <w:color w:val="auto"/>
                <w:sz w:val="24"/>
                <w:szCs w:val="24"/>
                <w:lang w:val="en-US" w:eastAsia="zh-CN"/>
              </w:rPr>
              <w:t>100</w:t>
            </w:r>
            <w:r>
              <w:rPr>
                <w:rFonts w:hint="default" w:ascii="Times New Roman" w:hAnsi="Times New Roman" w:cs="Times New Roman"/>
                <w:color w:val="auto"/>
                <w:sz w:val="24"/>
                <w:szCs w:val="24"/>
                <w:lang w:val="en-US" w:eastAsia="zh-CN"/>
              </w:rPr>
              <w:t>mg/m</w:t>
            </w:r>
            <w:r>
              <w:rPr>
                <w:rFonts w:hint="default" w:ascii="Times New Roman" w:hAnsi="Times New Roman" w:cs="Times New Roman"/>
                <w:color w:val="auto"/>
                <w:sz w:val="24"/>
                <w:szCs w:val="24"/>
                <w:vertAlign w:val="superscript"/>
                <w:lang w:val="en-US" w:eastAsia="zh-CN"/>
              </w:rPr>
              <w:t>3</w:t>
            </w:r>
            <w:r>
              <w:rPr>
                <w:rFonts w:hint="default" w:ascii="Times New Roman" w:hAnsi="Times New Roman" w:cs="Times New Roman"/>
                <w:color w:val="auto"/>
                <w:sz w:val="24"/>
                <w:szCs w:val="24"/>
                <w:lang w:val="en-US" w:eastAsia="zh-CN"/>
              </w:rPr>
              <w:t>，</w:t>
            </w:r>
            <w:r>
              <w:rPr>
                <w:rFonts w:hint="eastAsia" w:cs="Times New Roman"/>
                <w:color w:val="auto"/>
                <w:sz w:val="24"/>
                <w:szCs w:val="24"/>
                <w:lang w:val="en-US" w:eastAsia="zh-CN"/>
              </w:rPr>
              <w:t>排放速率＜0.26</w:t>
            </w:r>
            <w:r>
              <w:rPr>
                <w:rFonts w:hint="eastAsia" w:ascii="Times New Roman" w:hAnsi="Times New Roman" w:cs="Times New Roman"/>
                <w:color w:val="auto"/>
                <w:sz w:val="24"/>
                <w:szCs w:val="24"/>
                <w:lang w:val="en-US" w:eastAsia="zh-CN"/>
              </w:rPr>
              <w:t>kg/h</w:t>
            </w:r>
            <w:r>
              <w:rPr>
                <w:rFonts w:hint="eastAsia" w:cs="Times New Roman"/>
                <w:color w:val="auto"/>
                <w:sz w:val="24"/>
                <w:szCs w:val="24"/>
                <w:lang w:val="en-US" w:eastAsia="zh-CN"/>
              </w:rPr>
              <w:t>）；</w:t>
            </w:r>
            <w:r>
              <w:rPr>
                <w:rFonts w:hint="eastAsia" w:cs="Times New Roman"/>
                <w:color w:val="auto"/>
                <w:sz w:val="24"/>
                <w:lang w:val="en-US" w:eastAsia="zh-CN"/>
              </w:rPr>
              <w:t>有组织排放的硫酸雾浓度最大值为0.61</w:t>
            </w:r>
            <w:r>
              <w:rPr>
                <w:rFonts w:hint="default" w:ascii="Times New Roman" w:hAnsi="Times New Roman" w:cs="Times New Roman"/>
                <w:color w:val="auto"/>
                <w:sz w:val="24"/>
                <w:szCs w:val="24"/>
                <w:lang w:val="en-US" w:eastAsia="zh-CN"/>
              </w:rPr>
              <w:t>mg/m</w:t>
            </w:r>
            <w:r>
              <w:rPr>
                <w:rFonts w:hint="default" w:ascii="Times New Roman" w:hAnsi="Times New Roman" w:cs="Times New Roman"/>
                <w:color w:val="auto"/>
                <w:sz w:val="24"/>
                <w:szCs w:val="24"/>
                <w:vertAlign w:val="superscript"/>
                <w:lang w:val="en-US" w:eastAsia="zh-CN"/>
              </w:rPr>
              <w:t>3</w:t>
            </w:r>
            <w:r>
              <w:rPr>
                <w:rFonts w:hint="default" w:ascii="Times New Roman" w:hAnsi="Times New Roman" w:cs="Times New Roman"/>
                <w:color w:val="auto"/>
                <w:sz w:val="24"/>
                <w:szCs w:val="24"/>
                <w:lang w:val="en-US" w:eastAsia="zh-CN"/>
              </w:rPr>
              <w:t>，</w:t>
            </w:r>
            <w:r>
              <w:rPr>
                <w:rFonts w:hint="eastAsia" w:ascii="Times New Roman" w:hAnsi="Times New Roman" w:cs="Times New Roman"/>
                <w:color w:val="auto"/>
                <w:sz w:val="24"/>
                <w:szCs w:val="24"/>
                <w:lang w:val="en-US" w:eastAsia="zh-CN"/>
              </w:rPr>
              <w:t>最高排放速率为</w:t>
            </w:r>
            <w:r>
              <w:rPr>
                <w:rFonts w:hint="eastAsia" w:cs="Times New Roman"/>
                <w:color w:val="auto"/>
                <w:sz w:val="24"/>
                <w:szCs w:val="24"/>
                <w:lang w:val="en-US" w:eastAsia="zh-CN"/>
              </w:rPr>
              <w:t>0.0094</w:t>
            </w:r>
            <w:r>
              <w:rPr>
                <w:rFonts w:hint="eastAsia" w:ascii="Times New Roman" w:hAnsi="Times New Roman" w:cs="Times New Roman"/>
                <w:color w:val="auto"/>
                <w:sz w:val="24"/>
                <w:szCs w:val="24"/>
                <w:lang w:val="en-US" w:eastAsia="zh-CN"/>
              </w:rPr>
              <w:t>kg/h，</w:t>
            </w:r>
            <w:r>
              <w:rPr>
                <w:rFonts w:hint="eastAsia" w:cs="Times New Roman"/>
                <w:color w:val="auto"/>
                <w:sz w:val="24"/>
                <w:szCs w:val="24"/>
                <w:lang w:val="en-US" w:eastAsia="zh-CN"/>
              </w:rPr>
              <w:t>满足《大气污染物综合排放标准》（GB16297-1996）表2中硫酸雾排放限值（即</w:t>
            </w:r>
            <w:r>
              <w:rPr>
                <w:rFonts w:hint="eastAsia" w:ascii="Times New Roman" w:hAnsi="Times New Roman" w:cs="Times New Roman"/>
                <w:color w:val="auto"/>
                <w:kern w:val="0"/>
                <w:sz w:val="24"/>
                <w:szCs w:val="24"/>
                <w:lang w:val="en-US" w:eastAsia="zh-CN" w:bidi="ar"/>
              </w:rPr>
              <w:t>排放浓度＜</w:t>
            </w:r>
            <w:r>
              <w:rPr>
                <w:rFonts w:hint="eastAsia" w:cs="Times New Roman"/>
                <w:color w:val="auto"/>
                <w:sz w:val="24"/>
                <w:szCs w:val="24"/>
                <w:lang w:val="en-US" w:eastAsia="zh-CN"/>
              </w:rPr>
              <w:t>45</w:t>
            </w:r>
            <w:r>
              <w:rPr>
                <w:rFonts w:hint="default" w:ascii="Times New Roman" w:hAnsi="Times New Roman" w:cs="Times New Roman"/>
                <w:color w:val="auto"/>
                <w:sz w:val="24"/>
                <w:szCs w:val="24"/>
                <w:lang w:val="en-US" w:eastAsia="zh-CN"/>
              </w:rPr>
              <w:t>mg/m</w:t>
            </w:r>
            <w:r>
              <w:rPr>
                <w:rFonts w:hint="default" w:ascii="Times New Roman" w:hAnsi="Times New Roman" w:cs="Times New Roman"/>
                <w:color w:val="auto"/>
                <w:sz w:val="24"/>
                <w:szCs w:val="24"/>
                <w:vertAlign w:val="superscript"/>
                <w:lang w:val="en-US" w:eastAsia="zh-CN"/>
              </w:rPr>
              <w:t>3</w:t>
            </w:r>
            <w:r>
              <w:rPr>
                <w:rFonts w:hint="default" w:ascii="Times New Roman" w:hAnsi="Times New Roman" w:cs="Times New Roman"/>
                <w:color w:val="auto"/>
                <w:sz w:val="24"/>
                <w:szCs w:val="24"/>
                <w:lang w:val="en-US" w:eastAsia="zh-CN"/>
              </w:rPr>
              <w:t>，</w:t>
            </w:r>
            <w:r>
              <w:rPr>
                <w:rFonts w:hint="eastAsia" w:cs="Times New Roman"/>
                <w:color w:val="auto"/>
                <w:sz w:val="24"/>
                <w:szCs w:val="24"/>
                <w:lang w:val="en-US" w:eastAsia="zh-CN"/>
              </w:rPr>
              <w:t>排放速率＜1.5</w:t>
            </w:r>
            <w:r>
              <w:rPr>
                <w:rFonts w:hint="eastAsia" w:ascii="Times New Roman" w:hAnsi="Times New Roman" w:cs="Times New Roman"/>
                <w:color w:val="auto"/>
                <w:sz w:val="24"/>
                <w:szCs w:val="24"/>
                <w:lang w:val="en-US" w:eastAsia="zh-CN"/>
              </w:rPr>
              <w:t>kg/h</w:t>
            </w:r>
            <w:r>
              <w:rPr>
                <w:rFonts w:hint="eastAsia" w:cs="Times New Roman"/>
                <w:color w:val="auto"/>
                <w:sz w:val="24"/>
                <w:szCs w:val="24"/>
                <w:lang w:val="en-US" w:eastAsia="zh-CN"/>
              </w:rPr>
              <w:t>）。</w:t>
            </w:r>
          </w:p>
          <w:p w14:paraId="7A1955EB">
            <w:pPr>
              <w:keepNext w:val="0"/>
              <w:keepLines w:val="0"/>
              <w:pageBreakBefore w:val="0"/>
              <w:widowControl w:val="0"/>
              <w:numPr>
                <w:ilvl w:val="0"/>
                <w:numId w:val="22"/>
              </w:numPr>
              <w:kinsoku/>
              <w:wordWrap/>
              <w:overflowPunct/>
              <w:topLinePunct w:val="0"/>
              <w:autoSpaceDE/>
              <w:autoSpaceDN/>
              <w:bidi w:val="0"/>
              <w:adjustRightInd w:val="0"/>
              <w:snapToGrid w:val="0"/>
              <w:spacing w:line="360" w:lineRule="auto"/>
              <w:ind w:left="0" w:leftChars="0" w:firstLine="480" w:firstLineChars="200"/>
              <w:textAlignment w:val="auto"/>
              <w:rPr>
                <w:rFonts w:hint="default" w:cs="Times New Roman"/>
                <w:color w:val="auto"/>
                <w:sz w:val="24"/>
                <w:lang w:val="en-US" w:eastAsia="zh-CN"/>
              </w:rPr>
            </w:pPr>
            <w:r>
              <w:rPr>
                <w:rFonts w:hint="eastAsia" w:cs="Times New Roman"/>
                <w:color w:val="auto"/>
                <w:sz w:val="24"/>
                <w:lang w:val="en-US" w:eastAsia="zh-CN"/>
              </w:rPr>
              <w:t>无组织废气</w:t>
            </w:r>
          </w:p>
          <w:p w14:paraId="478FD74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cs="Times New Roman"/>
                <w:color w:val="auto"/>
                <w:sz w:val="24"/>
                <w:szCs w:val="24"/>
                <w:lang w:val="en-US" w:eastAsia="zh-CN"/>
              </w:rPr>
            </w:pPr>
            <w:r>
              <w:rPr>
                <w:rFonts w:hint="eastAsia" w:ascii="Times New Roman" w:hAnsi="Times New Roman" w:cs="Times New Roman"/>
                <w:color w:val="auto"/>
                <w:sz w:val="24"/>
                <w:lang w:val="en-US" w:eastAsia="zh-CN"/>
              </w:rPr>
              <w:t>根据《淄博利赛环保科技有限公司</w:t>
            </w:r>
            <w:r>
              <w:rPr>
                <w:rFonts w:hint="eastAsia" w:cs="Times New Roman"/>
                <w:color w:val="auto"/>
                <w:sz w:val="24"/>
                <w:lang w:val="en-US" w:eastAsia="zh-CN"/>
              </w:rPr>
              <w:t>检测报告</w:t>
            </w:r>
            <w:r>
              <w:rPr>
                <w:rFonts w:hint="eastAsia" w:ascii="Times New Roman" w:hAnsi="Times New Roman" w:cs="Times New Roman"/>
                <w:color w:val="auto"/>
                <w:sz w:val="24"/>
                <w:lang w:val="en-US" w:eastAsia="zh-CN"/>
              </w:rPr>
              <w:t>》（报告编号</w:t>
            </w:r>
            <w:r>
              <w:rPr>
                <w:rFonts w:hint="eastAsia" w:cs="Times New Roman"/>
                <w:color w:val="auto"/>
                <w:sz w:val="24"/>
                <w:lang w:val="en-US" w:eastAsia="zh-CN"/>
              </w:rPr>
              <w:t>：</w:t>
            </w:r>
            <w:r>
              <w:rPr>
                <w:rFonts w:hint="eastAsia" w:ascii="Times New Roman" w:hAnsi="Times New Roman" w:cs="Times New Roman"/>
                <w:color w:val="auto"/>
                <w:sz w:val="24"/>
                <w:lang w:val="en-US" w:eastAsia="zh-CN"/>
              </w:rPr>
              <w:t>DLJC202506101</w:t>
            </w:r>
            <w:r>
              <w:rPr>
                <w:rFonts w:hint="eastAsia" w:cs="Times New Roman"/>
                <w:color w:val="auto"/>
                <w:sz w:val="24"/>
                <w:lang w:val="en-US" w:eastAsia="zh-CN"/>
              </w:rPr>
              <w:t>、</w:t>
            </w:r>
            <w:r>
              <w:rPr>
                <w:rFonts w:hint="eastAsia" w:ascii="Times New Roman" w:hAnsi="Times New Roman" w:cs="Times New Roman"/>
                <w:color w:val="auto"/>
                <w:sz w:val="24"/>
                <w:lang w:val="en-US" w:eastAsia="zh-CN"/>
              </w:rPr>
              <w:t>DLJC20251293</w:t>
            </w:r>
            <w:r>
              <w:rPr>
                <w:rFonts w:hint="default" w:ascii="Times New Roman" w:hAnsi="Times New Roman" w:cs="Times New Roman"/>
                <w:color w:val="auto"/>
                <w:sz w:val="24"/>
                <w:lang w:val="en-US" w:eastAsia="zh-CN"/>
              </w:rPr>
              <w:t>）</w:t>
            </w:r>
            <w:r>
              <w:rPr>
                <w:rFonts w:hint="eastAsia" w:cs="Times New Roman"/>
                <w:color w:val="auto"/>
                <w:sz w:val="24"/>
                <w:lang w:val="en-US" w:eastAsia="zh-CN"/>
              </w:rPr>
              <w:t>（详见附件十一）</w:t>
            </w:r>
            <w:r>
              <w:rPr>
                <w:rFonts w:hint="default" w:ascii="Times New Roman" w:hAnsi="Times New Roman" w:cs="Times New Roman"/>
                <w:color w:val="auto"/>
                <w:sz w:val="24"/>
                <w:lang w:val="en-US" w:eastAsia="zh-CN"/>
              </w:rPr>
              <w:t>，</w:t>
            </w:r>
            <w:r>
              <w:rPr>
                <w:rFonts w:hint="eastAsia" w:cs="Times New Roman"/>
                <w:color w:val="auto"/>
                <w:sz w:val="24"/>
                <w:lang w:val="en-US" w:eastAsia="zh-CN"/>
              </w:rPr>
              <w:t>厂区无组织废气检测情况如下：</w:t>
            </w:r>
          </w:p>
          <w:p w14:paraId="01E7A634">
            <w:pPr>
              <w:keepNext w:val="0"/>
              <w:keepLines w:val="0"/>
              <w:pageBreakBefore w:val="0"/>
              <w:widowControl w:val="0"/>
              <w:numPr>
                <w:ilvl w:val="0"/>
                <w:numId w:val="14"/>
              </w:numPr>
              <w:kinsoku/>
              <w:wordWrap/>
              <w:overflowPunct/>
              <w:topLinePunct w:val="0"/>
              <w:autoSpaceDE w:val="0"/>
              <w:autoSpaceDN w:val="0"/>
              <w:bidi w:val="0"/>
              <w:adjustRightInd w:val="0"/>
              <w:snapToGrid/>
              <w:spacing w:line="360" w:lineRule="auto"/>
              <w:ind w:left="0" w:leftChars="0" w:firstLine="0" w:firstLineChars="0"/>
              <w:jc w:val="center"/>
              <w:textAlignment w:val="auto"/>
              <w:rPr>
                <w:rFonts w:hint="default" w:cs="Times New Roman"/>
                <w:b/>
                <w:bCs/>
                <w:color w:val="auto"/>
                <w:kern w:val="0"/>
                <w:sz w:val="24"/>
                <w:szCs w:val="24"/>
                <w:lang w:val="en-US" w:eastAsia="zh-CN" w:bidi="ar"/>
              </w:rPr>
            </w:pPr>
            <w:r>
              <w:rPr>
                <w:rFonts w:hint="eastAsia" w:cs="Times New Roman"/>
                <w:b/>
                <w:bCs/>
                <w:color w:val="auto"/>
                <w:kern w:val="0"/>
                <w:sz w:val="24"/>
                <w:szCs w:val="24"/>
                <w:lang w:val="en-US" w:eastAsia="zh-CN" w:bidi="ar"/>
              </w:rPr>
              <w:t>无组织废气检测结果一览表（一）</w:t>
            </w:r>
          </w:p>
          <w:tbl>
            <w:tblPr>
              <w:tblStyle w:val="89"/>
              <w:tblW w:w="4886"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002"/>
              <w:gridCol w:w="1230"/>
              <w:gridCol w:w="877"/>
              <w:gridCol w:w="1284"/>
              <w:gridCol w:w="1286"/>
              <w:gridCol w:w="1289"/>
              <w:gridCol w:w="1285"/>
            </w:tblGrid>
            <w:tr w14:paraId="12D1889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883" w:type="pct"/>
                  <w:gridSpan w:val="3"/>
                  <w:tcBorders>
                    <w:tl2br w:val="single" w:color="000000" w:sz="4" w:space="0"/>
                  </w:tcBorders>
                  <w:vAlign w:val="center"/>
                </w:tcPr>
                <w:p w14:paraId="24F46EA4">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right"/>
                    <w:textAlignment w:val="auto"/>
                    <w:rPr>
                      <w:rFonts w:hint="default" w:ascii="Times New Roman" w:hAnsi="Times New Roman" w:cs="Times New Roman"/>
                      <w:color w:val="auto"/>
                      <w:spacing w:val="-1"/>
                      <w:sz w:val="21"/>
                      <w:szCs w:val="21"/>
                    </w:rPr>
                  </w:pPr>
                  <w:r>
                    <w:rPr>
                      <w:rFonts w:hint="default" w:ascii="Times New Roman" w:hAnsi="Times New Roman" w:cs="Times New Roman"/>
                      <w:color w:val="auto"/>
                      <w:spacing w:val="-1"/>
                      <w:sz w:val="21"/>
                      <w:szCs w:val="21"/>
                    </w:rPr>
                    <w:t>采样点位</w:t>
                  </w:r>
                </w:p>
                <w:p w14:paraId="75659908">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left"/>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检测项目</w:t>
                  </w:r>
                  <w:r>
                    <w:rPr>
                      <w:rFonts w:hint="eastAsia" w:ascii="Times New Roman" w:hAnsi="Times New Roman" w:cs="Times New Roman"/>
                      <w:color w:val="auto"/>
                      <w:spacing w:val="-1"/>
                      <w:sz w:val="21"/>
                      <w:szCs w:val="21"/>
                      <w:lang w:eastAsia="zh-CN"/>
                    </w:rPr>
                    <w:t>、</w:t>
                  </w:r>
                  <w:r>
                    <w:rPr>
                      <w:rFonts w:hint="default" w:ascii="Times New Roman" w:hAnsi="Times New Roman" w:cs="Times New Roman"/>
                      <w:color w:val="auto"/>
                      <w:spacing w:val="-1"/>
                      <w:sz w:val="21"/>
                      <w:szCs w:val="21"/>
                    </w:rPr>
                    <w:t>采样时间</w:t>
                  </w:r>
                </w:p>
              </w:tc>
              <w:tc>
                <w:tcPr>
                  <w:tcW w:w="778" w:type="pct"/>
                  <w:vAlign w:val="center"/>
                </w:tcPr>
                <w:p w14:paraId="08542E93">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上风向O1#</w:t>
                  </w:r>
                </w:p>
              </w:tc>
              <w:tc>
                <w:tcPr>
                  <w:tcW w:w="779" w:type="pct"/>
                  <w:vAlign w:val="center"/>
                </w:tcPr>
                <w:p w14:paraId="7F0583B9">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2"/>
                      <w:sz w:val="21"/>
                      <w:szCs w:val="21"/>
                    </w:rPr>
                    <w:t>下风向O2#</w:t>
                  </w:r>
                </w:p>
              </w:tc>
              <w:tc>
                <w:tcPr>
                  <w:tcW w:w="781" w:type="pct"/>
                  <w:vAlign w:val="center"/>
                </w:tcPr>
                <w:p w14:paraId="6049C02C">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2"/>
                      <w:sz w:val="21"/>
                      <w:szCs w:val="21"/>
                    </w:rPr>
                    <w:t>下风向O3#</w:t>
                  </w:r>
                </w:p>
              </w:tc>
              <w:tc>
                <w:tcPr>
                  <w:tcW w:w="778" w:type="pct"/>
                  <w:vAlign w:val="center"/>
                </w:tcPr>
                <w:p w14:paraId="3F5A5F6B">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2"/>
                      <w:sz w:val="21"/>
                      <w:szCs w:val="21"/>
                    </w:rPr>
                    <w:t>下风向O4#</w:t>
                  </w:r>
                </w:p>
              </w:tc>
            </w:tr>
            <w:tr w14:paraId="255E38C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607" w:type="pct"/>
                  <w:vMerge w:val="restart"/>
                  <w:tcBorders>
                    <w:bottom w:val="nil"/>
                  </w:tcBorders>
                  <w:vAlign w:val="center"/>
                </w:tcPr>
                <w:p w14:paraId="5129506F">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Times New Roman" w:hAnsi="Times New Roman" w:eastAsia="宋体" w:cs="Times New Roman"/>
                      <w:color w:val="auto"/>
                      <w:spacing w:val="-1"/>
                      <w:sz w:val="21"/>
                      <w:szCs w:val="21"/>
                      <w:lang w:eastAsia="zh-CN"/>
                    </w:rPr>
                  </w:pPr>
                  <w:r>
                    <w:rPr>
                      <w:rFonts w:hint="eastAsia" w:ascii="Times New Roman" w:hAnsi="Times New Roman" w:cs="Times New Roman"/>
                      <w:color w:val="auto"/>
                      <w:spacing w:val="-1"/>
                      <w:sz w:val="21"/>
                      <w:szCs w:val="21"/>
                      <w:lang w:eastAsia="zh-CN"/>
                    </w:rPr>
                    <w:t>VOCs（以非甲烷总烃计）</w:t>
                  </w:r>
                </w:p>
                <w:p w14:paraId="217A0DEA">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Times New Roman" w:hAnsi="Times New Roman" w:eastAsia="宋体" w:cs="Times New Roman"/>
                      <w:color w:val="auto"/>
                      <w:sz w:val="21"/>
                      <w:szCs w:val="21"/>
                      <w:lang w:eastAsia="zh-CN"/>
                    </w:rPr>
                  </w:pPr>
                  <w:r>
                    <w:rPr>
                      <w:rFonts w:hint="eastAsia" w:ascii="Times New Roman" w:hAnsi="Times New Roman" w:cs="Times New Roman"/>
                      <w:color w:val="auto"/>
                      <w:spacing w:val="-4"/>
                      <w:sz w:val="21"/>
                      <w:szCs w:val="21"/>
                      <w:lang w:eastAsia="zh-CN"/>
                    </w:rPr>
                    <w:t>（</w:t>
                  </w:r>
                  <w:r>
                    <w:rPr>
                      <w:rFonts w:hint="default" w:ascii="Times New Roman" w:hAnsi="Times New Roman" w:cs="Times New Roman"/>
                      <w:color w:val="auto"/>
                      <w:spacing w:val="-4"/>
                      <w:sz w:val="21"/>
                      <w:szCs w:val="21"/>
                    </w:rPr>
                    <w:t>mg/m³</w:t>
                  </w:r>
                  <w:r>
                    <w:rPr>
                      <w:rFonts w:hint="eastAsia" w:ascii="Times New Roman" w:hAnsi="Times New Roman" w:cs="Times New Roman"/>
                      <w:color w:val="auto"/>
                      <w:spacing w:val="-4"/>
                      <w:sz w:val="21"/>
                      <w:szCs w:val="21"/>
                      <w:lang w:eastAsia="zh-CN"/>
                    </w:rPr>
                    <w:t>）</w:t>
                  </w:r>
                </w:p>
              </w:tc>
              <w:tc>
                <w:tcPr>
                  <w:tcW w:w="744" w:type="pct"/>
                  <w:vMerge w:val="restart"/>
                  <w:tcBorders>
                    <w:bottom w:val="nil"/>
                  </w:tcBorders>
                  <w:vAlign w:val="center"/>
                </w:tcPr>
                <w:p w14:paraId="42B79693">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rPr>
                  </w:pPr>
                  <w:r>
                    <w:rPr>
                      <w:rFonts w:hint="default" w:ascii="Times New Roman" w:hAnsi="Times New Roman" w:cs="Times New Roman"/>
                      <w:color w:val="auto"/>
                      <w:spacing w:val="-1"/>
                      <w:sz w:val="21"/>
                      <w:szCs w:val="21"/>
                    </w:rPr>
                    <w:t>2025年</w:t>
                  </w:r>
                </w:p>
                <w:p w14:paraId="02EFC9B6">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rPr>
                  </w:pPr>
                  <w:r>
                    <w:rPr>
                      <w:rFonts w:hint="default" w:ascii="Times New Roman" w:hAnsi="Times New Roman" w:cs="Times New Roman"/>
                      <w:color w:val="auto"/>
                      <w:spacing w:val="-1"/>
                      <w:sz w:val="21"/>
                      <w:szCs w:val="21"/>
                    </w:rPr>
                    <w:t>06月25日</w:t>
                  </w:r>
                </w:p>
              </w:tc>
              <w:tc>
                <w:tcPr>
                  <w:tcW w:w="531" w:type="pct"/>
                  <w:vAlign w:val="top"/>
                </w:tcPr>
                <w:p w14:paraId="179BA402">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rPr>
                  </w:pPr>
                  <w:r>
                    <w:rPr>
                      <w:rFonts w:hint="default" w:ascii="Times New Roman" w:hAnsi="Times New Roman" w:cs="Times New Roman"/>
                      <w:color w:val="auto"/>
                      <w:spacing w:val="-1"/>
                      <w:sz w:val="21"/>
                      <w:szCs w:val="21"/>
                    </w:rPr>
                    <w:t>样品编号</w:t>
                  </w:r>
                </w:p>
              </w:tc>
              <w:tc>
                <w:tcPr>
                  <w:tcW w:w="778" w:type="pct"/>
                  <w:vAlign w:val="top"/>
                </w:tcPr>
                <w:p w14:paraId="3F335FC9">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rPr>
                  </w:pPr>
                  <w:r>
                    <w:rPr>
                      <w:rFonts w:hint="default" w:ascii="Times New Roman" w:hAnsi="Times New Roman" w:cs="Times New Roman"/>
                      <w:color w:val="auto"/>
                      <w:spacing w:val="-1"/>
                      <w:sz w:val="21"/>
                      <w:szCs w:val="21"/>
                    </w:rPr>
                    <w:t>2506101W001</w:t>
                  </w:r>
                </w:p>
              </w:tc>
              <w:tc>
                <w:tcPr>
                  <w:tcW w:w="779" w:type="pct"/>
                  <w:vAlign w:val="top"/>
                </w:tcPr>
                <w:p w14:paraId="7BB0F02A">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rPr>
                  </w:pPr>
                  <w:r>
                    <w:rPr>
                      <w:rFonts w:hint="default" w:ascii="Times New Roman" w:hAnsi="Times New Roman" w:cs="Times New Roman"/>
                      <w:color w:val="auto"/>
                      <w:spacing w:val="-1"/>
                      <w:sz w:val="21"/>
                      <w:szCs w:val="21"/>
                    </w:rPr>
                    <w:t>2506101W002</w:t>
                  </w:r>
                </w:p>
              </w:tc>
              <w:tc>
                <w:tcPr>
                  <w:tcW w:w="781" w:type="pct"/>
                  <w:vAlign w:val="top"/>
                </w:tcPr>
                <w:p w14:paraId="1A7CAFB0">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rPr>
                  </w:pPr>
                  <w:r>
                    <w:rPr>
                      <w:rFonts w:hint="default" w:ascii="Times New Roman" w:hAnsi="Times New Roman" w:cs="Times New Roman"/>
                      <w:color w:val="auto"/>
                      <w:spacing w:val="-1"/>
                      <w:sz w:val="21"/>
                      <w:szCs w:val="21"/>
                    </w:rPr>
                    <w:t>2506101W003</w:t>
                  </w:r>
                </w:p>
              </w:tc>
              <w:tc>
                <w:tcPr>
                  <w:tcW w:w="778" w:type="pct"/>
                  <w:vAlign w:val="top"/>
                </w:tcPr>
                <w:p w14:paraId="2ADB8EA1">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rPr>
                  </w:pPr>
                  <w:r>
                    <w:rPr>
                      <w:rFonts w:hint="default" w:ascii="Times New Roman" w:hAnsi="Times New Roman" w:cs="Times New Roman"/>
                      <w:color w:val="auto"/>
                      <w:spacing w:val="-1"/>
                      <w:sz w:val="21"/>
                      <w:szCs w:val="21"/>
                    </w:rPr>
                    <w:t>2506101W004</w:t>
                  </w:r>
                </w:p>
              </w:tc>
            </w:tr>
            <w:tr w14:paraId="50E89F4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607" w:type="pct"/>
                  <w:vMerge w:val="continue"/>
                  <w:tcBorders>
                    <w:top w:val="nil"/>
                    <w:bottom w:val="nil"/>
                  </w:tcBorders>
                  <w:vAlign w:val="center"/>
                </w:tcPr>
                <w:p w14:paraId="7332BCEF">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744" w:type="pct"/>
                  <w:vMerge w:val="continue"/>
                  <w:tcBorders>
                    <w:top w:val="nil"/>
                    <w:bottom w:val="nil"/>
                  </w:tcBorders>
                  <w:vAlign w:val="center"/>
                </w:tcPr>
                <w:p w14:paraId="78A770E7">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rPr>
                  </w:pPr>
                </w:p>
              </w:tc>
              <w:tc>
                <w:tcPr>
                  <w:tcW w:w="531" w:type="pct"/>
                  <w:vAlign w:val="top"/>
                </w:tcPr>
                <w:p w14:paraId="7F0A4AC9">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rPr>
                  </w:pPr>
                  <w:r>
                    <w:rPr>
                      <w:rFonts w:hint="default" w:ascii="Times New Roman" w:hAnsi="Times New Roman" w:cs="Times New Roman"/>
                      <w:color w:val="auto"/>
                      <w:spacing w:val="-1"/>
                      <w:sz w:val="21"/>
                      <w:szCs w:val="21"/>
                    </w:rPr>
                    <w:t>13:38</w:t>
                  </w:r>
                </w:p>
              </w:tc>
              <w:tc>
                <w:tcPr>
                  <w:tcW w:w="778" w:type="pct"/>
                  <w:vAlign w:val="top"/>
                </w:tcPr>
                <w:p w14:paraId="06F5461B">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rPr>
                  </w:pPr>
                  <w:r>
                    <w:rPr>
                      <w:rFonts w:hint="default" w:ascii="Times New Roman" w:hAnsi="Times New Roman" w:cs="Times New Roman"/>
                      <w:color w:val="auto"/>
                      <w:spacing w:val="-1"/>
                      <w:sz w:val="21"/>
                      <w:szCs w:val="21"/>
                    </w:rPr>
                    <w:t>0.74</w:t>
                  </w:r>
                </w:p>
              </w:tc>
              <w:tc>
                <w:tcPr>
                  <w:tcW w:w="779" w:type="pct"/>
                  <w:vAlign w:val="top"/>
                </w:tcPr>
                <w:p w14:paraId="73B03705">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rPr>
                  </w:pPr>
                  <w:r>
                    <w:rPr>
                      <w:rFonts w:hint="default" w:ascii="Times New Roman" w:hAnsi="Times New Roman" w:cs="Times New Roman"/>
                      <w:color w:val="auto"/>
                      <w:spacing w:val="-1"/>
                      <w:sz w:val="21"/>
                      <w:szCs w:val="21"/>
                    </w:rPr>
                    <w:t>1.15</w:t>
                  </w:r>
                </w:p>
              </w:tc>
              <w:tc>
                <w:tcPr>
                  <w:tcW w:w="781" w:type="pct"/>
                  <w:vAlign w:val="top"/>
                </w:tcPr>
                <w:p w14:paraId="4CEB4FE8">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rPr>
                  </w:pPr>
                  <w:r>
                    <w:rPr>
                      <w:rFonts w:hint="default" w:ascii="Times New Roman" w:hAnsi="Times New Roman" w:cs="Times New Roman"/>
                      <w:color w:val="auto"/>
                      <w:spacing w:val="-1"/>
                      <w:sz w:val="21"/>
                      <w:szCs w:val="21"/>
                    </w:rPr>
                    <w:t>1.13</w:t>
                  </w:r>
                </w:p>
              </w:tc>
              <w:tc>
                <w:tcPr>
                  <w:tcW w:w="778" w:type="pct"/>
                  <w:vAlign w:val="top"/>
                </w:tcPr>
                <w:p w14:paraId="71D6B839">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rPr>
                  </w:pPr>
                  <w:r>
                    <w:rPr>
                      <w:rFonts w:hint="default" w:ascii="Times New Roman" w:hAnsi="Times New Roman" w:cs="Times New Roman"/>
                      <w:color w:val="auto"/>
                      <w:spacing w:val="-1"/>
                      <w:sz w:val="21"/>
                      <w:szCs w:val="21"/>
                    </w:rPr>
                    <w:t>1.17</w:t>
                  </w:r>
                </w:p>
              </w:tc>
            </w:tr>
            <w:tr w14:paraId="15584FD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607" w:type="pct"/>
                  <w:vMerge w:val="continue"/>
                  <w:tcBorders>
                    <w:top w:val="nil"/>
                    <w:bottom w:val="nil"/>
                  </w:tcBorders>
                  <w:vAlign w:val="center"/>
                </w:tcPr>
                <w:p w14:paraId="205F1675">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744" w:type="pct"/>
                  <w:vMerge w:val="continue"/>
                  <w:tcBorders>
                    <w:top w:val="nil"/>
                    <w:bottom w:val="nil"/>
                  </w:tcBorders>
                  <w:vAlign w:val="center"/>
                </w:tcPr>
                <w:p w14:paraId="4228DD19">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531" w:type="pct"/>
                  <w:vAlign w:val="top"/>
                </w:tcPr>
                <w:p w14:paraId="109E1AB7">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rPr>
                  </w:pPr>
                  <w:r>
                    <w:rPr>
                      <w:rFonts w:hint="default" w:ascii="Times New Roman" w:hAnsi="Times New Roman" w:cs="Times New Roman"/>
                      <w:color w:val="auto"/>
                      <w:spacing w:val="-1"/>
                      <w:sz w:val="21"/>
                      <w:szCs w:val="21"/>
                    </w:rPr>
                    <w:t>样品编号</w:t>
                  </w:r>
                </w:p>
              </w:tc>
              <w:tc>
                <w:tcPr>
                  <w:tcW w:w="778" w:type="pct"/>
                  <w:vAlign w:val="top"/>
                </w:tcPr>
                <w:p w14:paraId="31813720">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rPr>
                  </w:pPr>
                  <w:r>
                    <w:rPr>
                      <w:rFonts w:hint="default" w:ascii="Times New Roman" w:hAnsi="Times New Roman" w:cs="Times New Roman"/>
                      <w:color w:val="auto"/>
                      <w:spacing w:val="-1"/>
                      <w:sz w:val="21"/>
                      <w:szCs w:val="21"/>
                    </w:rPr>
                    <w:t>2506101W005</w:t>
                  </w:r>
                </w:p>
              </w:tc>
              <w:tc>
                <w:tcPr>
                  <w:tcW w:w="779" w:type="pct"/>
                  <w:vAlign w:val="top"/>
                </w:tcPr>
                <w:p w14:paraId="027DA415">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rPr>
                  </w:pPr>
                  <w:r>
                    <w:rPr>
                      <w:rFonts w:hint="default" w:ascii="Times New Roman" w:hAnsi="Times New Roman" w:cs="Times New Roman"/>
                      <w:color w:val="auto"/>
                      <w:spacing w:val="-1"/>
                      <w:sz w:val="21"/>
                      <w:szCs w:val="21"/>
                    </w:rPr>
                    <w:t>2506101W006</w:t>
                  </w:r>
                </w:p>
              </w:tc>
              <w:tc>
                <w:tcPr>
                  <w:tcW w:w="781" w:type="pct"/>
                  <w:vAlign w:val="top"/>
                </w:tcPr>
                <w:p w14:paraId="0A2D3817">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rPr>
                  </w:pPr>
                  <w:r>
                    <w:rPr>
                      <w:rFonts w:hint="default" w:ascii="Times New Roman" w:hAnsi="Times New Roman" w:cs="Times New Roman"/>
                      <w:color w:val="auto"/>
                      <w:spacing w:val="-1"/>
                      <w:sz w:val="21"/>
                      <w:szCs w:val="21"/>
                    </w:rPr>
                    <w:t>2506101W007</w:t>
                  </w:r>
                </w:p>
              </w:tc>
              <w:tc>
                <w:tcPr>
                  <w:tcW w:w="778" w:type="pct"/>
                  <w:vAlign w:val="top"/>
                </w:tcPr>
                <w:p w14:paraId="5B7F6FF7">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rPr>
                  </w:pPr>
                  <w:r>
                    <w:rPr>
                      <w:rFonts w:hint="default" w:ascii="Times New Roman" w:hAnsi="Times New Roman" w:cs="Times New Roman"/>
                      <w:color w:val="auto"/>
                      <w:spacing w:val="-1"/>
                      <w:sz w:val="21"/>
                      <w:szCs w:val="21"/>
                    </w:rPr>
                    <w:t>2506101W008</w:t>
                  </w:r>
                </w:p>
              </w:tc>
            </w:tr>
            <w:tr w14:paraId="7F1B06C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607" w:type="pct"/>
                  <w:vMerge w:val="continue"/>
                  <w:tcBorders>
                    <w:top w:val="nil"/>
                    <w:bottom w:val="nil"/>
                  </w:tcBorders>
                  <w:vAlign w:val="center"/>
                </w:tcPr>
                <w:p w14:paraId="7CC64E00">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744" w:type="pct"/>
                  <w:vMerge w:val="continue"/>
                  <w:tcBorders>
                    <w:top w:val="nil"/>
                    <w:bottom w:val="nil"/>
                  </w:tcBorders>
                  <w:vAlign w:val="center"/>
                </w:tcPr>
                <w:p w14:paraId="0509AE2F">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531" w:type="pct"/>
                  <w:vAlign w:val="top"/>
                </w:tcPr>
                <w:p w14:paraId="0741B00A">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rPr>
                  </w:pPr>
                  <w:r>
                    <w:rPr>
                      <w:rFonts w:hint="default" w:ascii="Times New Roman" w:hAnsi="Times New Roman" w:cs="Times New Roman"/>
                      <w:color w:val="auto"/>
                      <w:spacing w:val="-1"/>
                      <w:sz w:val="21"/>
                      <w:szCs w:val="21"/>
                    </w:rPr>
                    <w:t>14:42</w:t>
                  </w:r>
                </w:p>
              </w:tc>
              <w:tc>
                <w:tcPr>
                  <w:tcW w:w="778" w:type="pct"/>
                  <w:vAlign w:val="top"/>
                </w:tcPr>
                <w:p w14:paraId="7A624538">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rPr>
                  </w:pPr>
                  <w:r>
                    <w:rPr>
                      <w:rFonts w:hint="default" w:ascii="Times New Roman" w:hAnsi="Times New Roman" w:cs="Times New Roman"/>
                      <w:color w:val="auto"/>
                      <w:spacing w:val="-1"/>
                      <w:sz w:val="21"/>
                      <w:szCs w:val="21"/>
                    </w:rPr>
                    <w:t>0.76</w:t>
                  </w:r>
                </w:p>
              </w:tc>
              <w:tc>
                <w:tcPr>
                  <w:tcW w:w="779" w:type="pct"/>
                  <w:vAlign w:val="top"/>
                </w:tcPr>
                <w:p w14:paraId="313EF11D">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rPr>
                  </w:pPr>
                  <w:r>
                    <w:rPr>
                      <w:rFonts w:hint="default" w:ascii="Times New Roman" w:hAnsi="Times New Roman" w:cs="Times New Roman"/>
                      <w:color w:val="auto"/>
                      <w:spacing w:val="-1"/>
                      <w:sz w:val="21"/>
                      <w:szCs w:val="21"/>
                    </w:rPr>
                    <w:t>1.18</w:t>
                  </w:r>
                </w:p>
              </w:tc>
              <w:tc>
                <w:tcPr>
                  <w:tcW w:w="781" w:type="pct"/>
                  <w:vAlign w:val="top"/>
                </w:tcPr>
                <w:p w14:paraId="2AF7A15D">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rPr>
                  </w:pPr>
                  <w:r>
                    <w:rPr>
                      <w:rFonts w:hint="default" w:ascii="Times New Roman" w:hAnsi="Times New Roman" w:cs="Times New Roman"/>
                      <w:color w:val="auto"/>
                      <w:spacing w:val="-1"/>
                      <w:sz w:val="21"/>
                      <w:szCs w:val="21"/>
                    </w:rPr>
                    <w:t>1.17</w:t>
                  </w:r>
                </w:p>
              </w:tc>
              <w:tc>
                <w:tcPr>
                  <w:tcW w:w="778" w:type="pct"/>
                  <w:vAlign w:val="top"/>
                </w:tcPr>
                <w:p w14:paraId="5173B12A">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rPr>
                  </w:pPr>
                  <w:r>
                    <w:rPr>
                      <w:rFonts w:hint="default" w:ascii="Times New Roman" w:hAnsi="Times New Roman" w:cs="Times New Roman"/>
                      <w:color w:val="auto"/>
                      <w:spacing w:val="-1"/>
                      <w:sz w:val="21"/>
                      <w:szCs w:val="21"/>
                    </w:rPr>
                    <w:t>1.16</w:t>
                  </w:r>
                </w:p>
              </w:tc>
            </w:tr>
            <w:tr w14:paraId="34CD905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607" w:type="pct"/>
                  <w:vMerge w:val="continue"/>
                  <w:tcBorders>
                    <w:top w:val="nil"/>
                    <w:bottom w:val="nil"/>
                  </w:tcBorders>
                  <w:vAlign w:val="center"/>
                </w:tcPr>
                <w:p w14:paraId="6A498A15">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744" w:type="pct"/>
                  <w:vMerge w:val="continue"/>
                  <w:tcBorders>
                    <w:top w:val="nil"/>
                    <w:bottom w:val="nil"/>
                  </w:tcBorders>
                  <w:vAlign w:val="center"/>
                </w:tcPr>
                <w:p w14:paraId="6FA61C71">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531" w:type="pct"/>
                  <w:vAlign w:val="top"/>
                </w:tcPr>
                <w:p w14:paraId="753C809E">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rPr>
                  </w:pPr>
                  <w:r>
                    <w:rPr>
                      <w:rFonts w:hint="default" w:ascii="Times New Roman" w:hAnsi="Times New Roman" w:cs="Times New Roman"/>
                      <w:color w:val="auto"/>
                      <w:spacing w:val="-1"/>
                      <w:sz w:val="21"/>
                      <w:szCs w:val="21"/>
                    </w:rPr>
                    <w:t>样品编号</w:t>
                  </w:r>
                </w:p>
              </w:tc>
              <w:tc>
                <w:tcPr>
                  <w:tcW w:w="778" w:type="pct"/>
                  <w:vAlign w:val="top"/>
                </w:tcPr>
                <w:p w14:paraId="34182CC9">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rPr>
                  </w:pPr>
                  <w:r>
                    <w:rPr>
                      <w:rFonts w:hint="default" w:ascii="Times New Roman" w:hAnsi="Times New Roman" w:cs="Times New Roman"/>
                      <w:color w:val="auto"/>
                      <w:spacing w:val="-1"/>
                      <w:sz w:val="21"/>
                      <w:szCs w:val="21"/>
                    </w:rPr>
                    <w:t>2506101W009</w:t>
                  </w:r>
                </w:p>
              </w:tc>
              <w:tc>
                <w:tcPr>
                  <w:tcW w:w="779" w:type="pct"/>
                  <w:vAlign w:val="top"/>
                </w:tcPr>
                <w:p w14:paraId="1366FA5C">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rPr>
                  </w:pPr>
                  <w:r>
                    <w:rPr>
                      <w:rFonts w:hint="default" w:ascii="Times New Roman" w:hAnsi="Times New Roman" w:cs="Times New Roman"/>
                      <w:color w:val="auto"/>
                      <w:spacing w:val="-1"/>
                      <w:sz w:val="21"/>
                      <w:szCs w:val="21"/>
                    </w:rPr>
                    <w:t>2506101W010</w:t>
                  </w:r>
                </w:p>
              </w:tc>
              <w:tc>
                <w:tcPr>
                  <w:tcW w:w="781" w:type="pct"/>
                  <w:vAlign w:val="top"/>
                </w:tcPr>
                <w:p w14:paraId="43A14E31">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rPr>
                  </w:pPr>
                  <w:r>
                    <w:rPr>
                      <w:rFonts w:hint="default" w:ascii="Times New Roman" w:hAnsi="Times New Roman" w:cs="Times New Roman"/>
                      <w:color w:val="auto"/>
                      <w:spacing w:val="-1"/>
                      <w:sz w:val="21"/>
                      <w:szCs w:val="21"/>
                    </w:rPr>
                    <w:t>2506101W011</w:t>
                  </w:r>
                </w:p>
              </w:tc>
              <w:tc>
                <w:tcPr>
                  <w:tcW w:w="778" w:type="pct"/>
                  <w:vAlign w:val="top"/>
                </w:tcPr>
                <w:p w14:paraId="697BA54F">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rPr>
                  </w:pPr>
                  <w:r>
                    <w:rPr>
                      <w:rFonts w:hint="default" w:ascii="Times New Roman" w:hAnsi="Times New Roman" w:cs="Times New Roman"/>
                      <w:color w:val="auto"/>
                      <w:spacing w:val="-1"/>
                      <w:sz w:val="21"/>
                      <w:szCs w:val="21"/>
                    </w:rPr>
                    <w:t>2506101W012</w:t>
                  </w:r>
                </w:p>
              </w:tc>
            </w:tr>
            <w:tr w14:paraId="2A86F92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607" w:type="pct"/>
                  <w:vMerge w:val="continue"/>
                  <w:tcBorders>
                    <w:top w:val="nil"/>
                    <w:bottom w:val="nil"/>
                  </w:tcBorders>
                  <w:vAlign w:val="center"/>
                </w:tcPr>
                <w:p w14:paraId="2A9918AB">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744" w:type="pct"/>
                  <w:vMerge w:val="continue"/>
                  <w:tcBorders>
                    <w:top w:val="nil"/>
                    <w:bottom w:val="nil"/>
                  </w:tcBorders>
                  <w:vAlign w:val="center"/>
                </w:tcPr>
                <w:p w14:paraId="5EEA41DC">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531" w:type="pct"/>
                  <w:vAlign w:val="top"/>
                </w:tcPr>
                <w:p w14:paraId="1AFC554F">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rPr>
                  </w:pPr>
                  <w:r>
                    <w:rPr>
                      <w:rFonts w:hint="default" w:ascii="Times New Roman" w:hAnsi="Times New Roman" w:cs="Times New Roman"/>
                      <w:color w:val="auto"/>
                      <w:spacing w:val="-1"/>
                      <w:sz w:val="21"/>
                      <w:szCs w:val="21"/>
                    </w:rPr>
                    <w:t>15:46</w:t>
                  </w:r>
                </w:p>
              </w:tc>
              <w:tc>
                <w:tcPr>
                  <w:tcW w:w="778" w:type="pct"/>
                  <w:vAlign w:val="top"/>
                </w:tcPr>
                <w:p w14:paraId="35034994">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rPr>
                  </w:pPr>
                  <w:r>
                    <w:rPr>
                      <w:rFonts w:hint="default" w:ascii="Times New Roman" w:hAnsi="Times New Roman" w:cs="Times New Roman"/>
                      <w:color w:val="auto"/>
                      <w:spacing w:val="-1"/>
                      <w:sz w:val="21"/>
                      <w:szCs w:val="21"/>
                    </w:rPr>
                    <w:t>0.77</w:t>
                  </w:r>
                </w:p>
              </w:tc>
              <w:tc>
                <w:tcPr>
                  <w:tcW w:w="779" w:type="pct"/>
                  <w:vAlign w:val="top"/>
                </w:tcPr>
                <w:p w14:paraId="7C2E1312">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rPr>
                  </w:pPr>
                  <w:r>
                    <w:rPr>
                      <w:rFonts w:hint="default" w:ascii="Times New Roman" w:hAnsi="Times New Roman" w:cs="Times New Roman"/>
                      <w:color w:val="auto"/>
                      <w:spacing w:val="-1"/>
                      <w:sz w:val="21"/>
                      <w:szCs w:val="21"/>
                    </w:rPr>
                    <w:t>1.12</w:t>
                  </w:r>
                </w:p>
              </w:tc>
              <w:tc>
                <w:tcPr>
                  <w:tcW w:w="781" w:type="pct"/>
                  <w:vAlign w:val="top"/>
                </w:tcPr>
                <w:p w14:paraId="63E0DE35">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rPr>
                  </w:pPr>
                  <w:r>
                    <w:rPr>
                      <w:rFonts w:hint="default" w:ascii="Times New Roman" w:hAnsi="Times New Roman" w:cs="Times New Roman"/>
                      <w:color w:val="auto"/>
                      <w:spacing w:val="-1"/>
                      <w:sz w:val="21"/>
                      <w:szCs w:val="21"/>
                    </w:rPr>
                    <w:t>1.14</w:t>
                  </w:r>
                </w:p>
              </w:tc>
              <w:tc>
                <w:tcPr>
                  <w:tcW w:w="778" w:type="pct"/>
                  <w:vAlign w:val="top"/>
                </w:tcPr>
                <w:p w14:paraId="12760C88">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rPr>
                  </w:pPr>
                  <w:r>
                    <w:rPr>
                      <w:rFonts w:hint="default" w:ascii="Times New Roman" w:hAnsi="Times New Roman" w:cs="Times New Roman"/>
                      <w:color w:val="auto"/>
                      <w:spacing w:val="-1"/>
                      <w:sz w:val="21"/>
                      <w:szCs w:val="21"/>
                    </w:rPr>
                    <w:t>1.18</w:t>
                  </w:r>
                </w:p>
              </w:tc>
            </w:tr>
            <w:tr w14:paraId="7C46563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607" w:type="pct"/>
                  <w:vMerge w:val="continue"/>
                  <w:tcBorders>
                    <w:top w:val="nil"/>
                    <w:bottom w:val="nil"/>
                  </w:tcBorders>
                  <w:vAlign w:val="center"/>
                </w:tcPr>
                <w:p w14:paraId="4BA7328F">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744" w:type="pct"/>
                  <w:vMerge w:val="continue"/>
                  <w:tcBorders>
                    <w:top w:val="nil"/>
                    <w:bottom w:val="nil"/>
                  </w:tcBorders>
                  <w:vAlign w:val="center"/>
                </w:tcPr>
                <w:p w14:paraId="7972268D">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531" w:type="pct"/>
                  <w:vAlign w:val="top"/>
                </w:tcPr>
                <w:p w14:paraId="20A4D0C9">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rPr>
                  </w:pPr>
                  <w:r>
                    <w:rPr>
                      <w:rFonts w:hint="default" w:ascii="Times New Roman" w:hAnsi="Times New Roman" w:cs="Times New Roman"/>
                      <w:color w:val="auto"/>
                      <w:spacing w:val="-1"/>
                      <w:sz w:val="21"/>
                      <w:szCs w:val="21"/>
                    </w:rPr>
                    <w:t>样品编号</w:t>
                  </w:r>
                </w:p>
              </w:tc>
              <w:tc>
                <w:tcPr>
                  <w:tcW w:w="778" w:type="pct"/>
                  <w:vAlign w:val="top"/>
                </w:tcPr>
                <w:p w14:paraId="39401B0C">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rPr>
                  </w:pPr>
                  <w:r>
                    <w:rPr>
                      <w:rFonts w:hint="default" w:ascii="Times New Roman" w:hAnsi="Times New Roman" w:cs="Times New Roman"/>
                      <w:color w:val="auto"/>
                      <w:spacing w:val="-1"/>
                      <w:sz w:val="21"/>
                      <w:szCs w:val="21"/>
                    </w:rPr>
                    <w:t>2506101W013</w:t>
                  </w:r>
                </w:p>
              </w:tc>
              <w:tc>
                <w:tcPr>
                  <w:tcW w:w="779" w:type="pct"/>
                  <w:vAlign w:val="top"/>
                </w:tcPr>
                <w:p w14:paraId="6CB38C53">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rPr>
                  </w:pPr>
                  <w:r>
                    <w:rPr>
                      <w:rFonts w:hint="default" w:ascii="Times New Roman" w:hAnsi="Times New Roman" w:cs="Times New Roman"/>
                      <w:color w:val="auto"/>
                      <w:spacing w:val="-1"/>
                      <w:sz w:val="21"/>
                      <w:szCs w:val="21"/>
                    </w:rPr>
                    <w:t>2506101W014</w:t>
                  </w:r>
                </w:p>
              </w:tc>
              <w:tc>
                <w:tcPr>
                  <w:tcW w:w="781" w:type="pct"/>
                  <w:vAlign w:val="top"/>
                </w:tcPr>
                <w:p w14:paraId="4CF54951">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rPr>
                  </w:pPr>
                  <w:r>
                    <w:rPr>
                      <w:rFonts w:hint="default" w:ascii="Times New Roman" w:hAnsi="Times New Roman" w:cs="Times New Roman"/>
                      <w:color w:val="auto"/>
                      <w:spacing w:val="-1"/>
                      <w:sz w:val="21"/>
                      <w:szCs w:val="21"/>
                    </w:rPr>
                    <w:t>2506101W015</w:t>
                  </w:r>
                </w:p>
              </w:tc>
              <w:tc>
                <w:tcPr>
                  <w:tcW w:w="778" w:type="pct"/>
                  <w:vAlign w:val="top"/>
                </w:tcPr>
                <w:p w14:paraId="1F79CB9C">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rPr>
                  </w:pPr>
                  <w:r>
                    <w:rPr>
                      <w:rFonts w:hint="default" w:ascii="Times New Roman" w:hAnsi="Times New Roman" w:cs="Times New Roman"/>
                      <w:color w:val="auto"/>
                      <w:spacing w:val="-1"/>
                      <w:sz w:val="21"/>
                      <w:szCs w:val="21"/>
                    </w:rPr>
                    <w:t>2506101W016</w:t>
                  </w:r>
                </w:p>
              </w:tc>
            </w:tr>
            <w:tr w14:paraId="02880C7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607" w:type="pct"/>
                  <w:vMerge w:val="continue"/>
                  <w:tcBorders>
                    <w:top w:val="nil"/>
                  </w:tcBorders>
                  <w:vAlign w:val="center"/>
                </w:tcPr>
                <w:p w14:paraId="1BF93E87">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744" w:type="pct"/>
                  <w:vMerge w:val="continue"/>
                  <w:tcBorders>
                    <w:top w:val="nil"/>
                  </w:tcBorders>
                  <w:vAlign w:val="center"/>
                </w:tcPr>
                <w:p w14:paraId="67AEFC82">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531" w:type="pct"/>
                  <w:vAlign w:val="top"/>
                </w:tcPr>
                <w:p w14:paraId="76341A76">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rPr>
                  </w:pPr>
                  <w:r>
                    <w:rPr>
                      <w:rFonts w:hint="default" w:ascii="Times New Roman" w:hAnsi="Times New Roman" w:cs="Times New Roman"/>
                      <w:color w:val="auto"/>
                      <w:spacing w:val="-1"/>
                      <w:sz w:val="21"/>
                      <w:szCs w:val="21"/>
                    </w:rPr>
                    <w:t>17:09</w:t>
                  </w:r>
                </w:p>
              </w:tc>
              <w:tc>
                <w:tcPr>
                  <w:tcW w:w="778" w:type="pct"/>
                  <w:vAlign w:val="top"/>
                </w:tcPr>
                <w:p w14:paraId="0CC4073A">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rPr>
                  </w:pPr>
                  <w:r>
                    <w:rPr>
                      <w:rFonts w:hint="default" w:ascii="Times New Roman" w:hAnsi="Times New Roman" w:cs="Times New Roman"/>
                      <w:color w:val="auto"/>
                      <w:spacing w:val="-1"/>
                      <w:sz w:val="21"/>
                      <w:szCs w:val="21"/>
                    </w:rPr>
                    <w:t>0.83</w:t>
                  </w:r>
                </w:p>
              </w:tc>
              <w:tc>
                <w:tcPr>
                  <w:tcW w:w="779" w:type="pct"/>
                  <w:vAlign w:val="top"/>
                </w:tcPr>
                <w:p w14:paraId="08A2B0E5">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rPr>
                  </w:pPr>
                  <w:r>
                    <w:rPr>
                      <w:rFonts w:hint="default" w:ascii="Times New Roman" w:hAnsi="Times New Roman" w:cs="Times New Roman"/>
                      <w:color w:val="auto"/>
                      <w:spacing w:val="-1"/>
                      <w:sz w:val="21"/>
                      <w:szCs w:val="21"/>
                    </w:rPr>
                    <w:t>1.05</w:t>
                  </w:r>
                </w:p>
              </w:tc>
              <w:tc>
                <w:tcPr>
                  <w:tcW w:w="781" w:type="pct"/>
                  <w:vAlign w:val="top"/>
                </w:tcPr>
                <w:p w14:paraId="1E5891F8">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rPr>
                  </w:pPr>
                  <w:r>
                    <w:rPr>
                      <w:rFonts w:hint="default" w:ascii="Times New Roman" w:hAnsi="Times New Roman" w:cs="Times New Roman"/>
                      <w:color w:val="auto"/>
                      <w:spacing w:val="-1"/>
                      <w:sz w:val="21"/>
                      <w:szCs w:val="21"/>
                    </w:rPr>
                    <w:t>1.15</w:t>
                  </w:r>
                </w:p>
              </w:tc>
              <w:tc>
                <w:tcPr>
                  <w:tcW w:w="778" w:type="pct"/>
                  <w:vAlign w:val="top"/>
                </w:tcPr>
                <w:p w14:paraId="6DB18B31">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rPr>
                  </w:pPr>
                  <w:r>
                    <w:rPr>
                      <w:rFonts w:hint="default" w:ascii="Times New Roman" w:hAnsi="Times New Roman" w:cs="Times New Roman"/>
                      <w:color w:val="auto"/>
                      <w:spacing w:val="-1"/>
                      <w:sz w:val="21"/>
                      <w:szCs w:val="21"/>
                    </w:rPr>
                    <w:t>1.18</w:t>
                  </w:r>
                </w:p>
              </w:tc>
            </w:tr>
            <w:tr w14:paraId="1195D90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6" w:hRule="atLeast"/>
              </w:trPr>
              <w:tc>
                <w:tcPr>
                  <w:tcW w:w="607" w:type="pct"/>
                  <w:vMerge w:val="restart"/>
                  <w:vAlign w:val="center"/>
                </w:tcPr>
                <w:p w14:paraId="0CDB9B7F">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3"/>
                      <w:sz w:val="21"/>
                      <w:szCs w:val="21"/>
                    </w:rPr>
                  </w:pPr>
                  <w:r>
                    <w:rPr>
                      <w:rFonts w:hint="default" w:ascii="Times New Roman" w:hAnsi="Times New Roman" w:cs="Times New Roman"/>
                      <w:color w:val="auto"/>
                      <w:spacing w:val="-3"/>
                      <w:sz w:val="21"/>
                      <w:szCs w:val="21"/>
                    </w:rPr>
                    <w:t>氯化氢</w:t>
                  </w:r>
                </w:p>
                <w:p w14:paraId="6EEF2A55">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Times New Roman" w:hAnsi="Times New Roman" w:eastAsia="宋体" w:cs="Times New Roman"/>
                      <w:color w:val="auto"/>
                      <w:sz w:val="21"/>
                      <w:szCs w:val="21"/>
                      <w:lang w:eastAsia="zh-CN"/>
                    </w:rPr>
                  </w:pPr>
                  <w:r>
                    <w:rPr>
                      <w:rFonts w:hint="eastAsia" w:ascii="Times New Roman" w:hAnsi="Times New Roman" w:cs="Times New Roman"/>
                      <w:color w:val="auto"/>
                      <w:spacing w:val="-4"/>
                      <w:sz w:val="21"/>
                      <w:szCs w:val="21"/>
                      <w:lang w:eastAsia="zh-CN"/>
                    </w:rPr>
                    <w:t>（</w:t>
                  </w:r>
                  <w:r>
                    <w:rPr>
                      <w:rFonts w:hint="default" w:ascii="Times New Roman" w:hAnsi="Times New Roman" w:cs="Times New Roman"/>
                      <w:color w:val="auto"/>
                      <w:spacing w:val="-4"/>
                      <w:sz w:val="21"/>
                      <w:szCs w:val="21"/>
                    </w:rPr>
                    <w:t>mg/m³</w:t>
                  </w:r>
                  <w:r>
                    <w:rPr>
                      <w:rFonts w:hint="eastAsia" w:ascii="Times New Roman" w:hAnsi="Times New Roman" w:cs="Times New Roman"/>
                      <w:color w:val="auto"/>
                      <w:spacing w:val="-4"/>
                      <w:sz w:val="21"/>
                      <w:szCs w:val="21"/>
                      <w:lang w:eastAsia="zh-CN"/>
                    </w:rPr>
                    <w:t>）</w:t>
                  </w:r>
                </w:p>
              </w:tc>
              <w:tc>
                <w:tcPr>
                  <w:tcW w:w="744" w:type="pct"/>
                  <w:vMerge w:val="restart"/>
                  <w:vAlign w:val="center"/>
                </w:tcPr>
                <w:p w14:paraId="6102FC43">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2"/>
                      <w:sz w:val="21"/>
                      <w:szCs w:val="21"/>
                      <w:lang w:val="en-US" w:eastAsia="en-US"/>
                    </w:rPr>
                  </w:pPr>
                  <w:r>
                    <w:rPr>
                      <w:rFonts w:hint="default" w:ascii="Times New Roman" w:hAnsi="Times New Roman" w:cs="Times New Roman"/>
                      <w:color w:val="auto"/>
                      <w:spacing w:val="-2"/>
                      <w:sz w:val="21"/>
                      <w:szCs w:val="21"/>
                      <w:lang w:val="en-US" w:eastAsia="en-US"/>
                    </w:rPr>
                    <w:t>2025年</w:t>
                  </w:r>
                </w:p>
                <w:p w14:paraId="1FEA8C2C">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2"/>
                      <w:sz w:val="21"/>
                      <w:szCs w:val="21"/>
                      <w:lang w:val="en-US" w:eastAsia="en-US"/>
                    </w:rPr>
                  </w:pPr>
                  <w:r>
                    <w:rPr>
                      <w:rFonts w:hint="default" w:ascii="Times New Roman" w:hAnsi="Times New Roman" w:cs="Times New Roman"/>
                      <w:color w:val="auto"/>
                      <w:spacing w:val="-2"/>
                      <w:sz w:val="21"/>
                      <w:szCs w:val="21"/>
                      <w:lang w:val="en-US" w:eastAsia="en-US"/>
                    </w:rPr>
                    <w:t>06月25日</w:t>
                  </w:r>
                </w:p>
              </w:tc>
              <w:tc>
                <w:tcPr>
                  <w:tcW w:w="531" w:type="pct"/>
                  <w:shd w:val="clear" w:color="auto" w:fill="auto"/>
                  <w:vAlign w:val="top"/>
                </w:tcPr>
                <w:p w14:paraId="1DCB3A07">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default" w:ascii="Times New Roman" w:hAnsi="Times New Roman" w:cs="Times New Roman"/>
                      <w:color w:val="auto"/>
                      <w:spacing w:val="-1"/>
                      <w:sz w:val="21"/>
                      <w:szCs w:val="21"/>
                    </w:rPr>
                    <w:t>样品编号</w:t>
                  </w:r>
                </w:p>
              </w:tc>
              <w:tc>
                <w:tcPr>
                  <w:tcW w:w="778" w:type="pct"/>
                  <w:shd w:val="clear" w:color="auto" w:fill="auto"/>
                  <w:vAlign w:val="top"/>
                </w:tcPr>
                <w:p w14:paraId="36ABBD1C">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default" w:ascii="Times New Roman" w:hAnsi="Times New Roman" w:cs="Times New Roman"/>
                      <w:color w:val="auto"/>
                      <w:spacing w:val="-1"/>
                      <w:sz w:val="21"/>
                      <w:szCs w:val="21"/>
                    </w:rPr>
                    <w:t>2506101W017</w:t>
                  </w:r>
                </w:p>
              </w:tc>
              <w:tc>
                <w:tcPr>
                  <w:tcW w:w="779" w:type="pct"/>
                  <w:shd w:val="clear" w:color="auto" w:fill="auto"/>
                  <w:vAlign w:val="top"/>
                </w:tcPr>
                <w:p w14:paraId="69D768A9">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default" w:ascii="Times New Roman" w:hAnsi="Times New Roman" w:cs="Times New Roman"/>
                      <w:color w:val="auto"/>
                      <w:spacing w:val="-1"/>
                      <w:sz w:val="21"/>
                      <w:szCs w:val="21"/>
                    </w:rPr>
                    <w:t>2506101W018</w:t>
                  </w:r>
                </w:p>
              </w:tc>
              <w:tc>
                <w:tcPr>
                  <w:tcW w:w="781" w:type="pct"/>
                  <w:shd w:val="clear" w:color="auto" w:fill="auto"/>
                  <w:vAlign w:val="top"/>
                </w:tcPr>
                <w:p w14:paraId="12B9FD39">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default" w:ascii="Times New Roman" w:hAnsi="Times New Roman" w:cs="Times New Roman"/>
                      <w:color w:val="auto"/>
                      <w:spacing w:val="-1"/>
                      <w:sz w:val="21"/>
                      <w:szCs w:val="21"/>
                    </w:rPr>
                    <w:t>2506101W019</w:t>
                  </w:r>
                </w:p>
              </w:tc>
              <w:tc>
                <w:tcPr>
                  <w:tcW w:w="778" w:type="pct"/>
                  <w:shd w:val="clear" w:color="auto" w:fill="auto"/>
                  <w:vAlign w:val="top"/>
                </w:tcPr>
                <w:p w14:paraId="079352E6">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default" w:ascii="Times New Roman" w:hAnsi="Times New Roman" w:cs="Times New Roman"/>
                      <w:color w:val="auto"/>
                      <w:spacing w:val="-1"/>
                      <w:sz w:val="21"/>
                      <w:szCs w:val="21"/>
                    </w:rPr>
                    <w:t>2506101W020</w:t>
                  </w:r>
                </w:p>
              </w:tc>
            </w:tr>
            <w:tr w14:paraId="74B89B0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607" w:type="pct"/>
                  <w:vMerge w:val="continue"/>
                  <w:vAlign w:val="center"/>
                </w:tcPr>
                <w:p w14:paraId="526B9F58">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744" w:type="pct"/>
                  <w:vMerge w:val="continue"/>
                  <w:vAlign w:val="center"/>
                </w:tcPr>
                <w:p w14:paraId="146439E8">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2"/>
                      <w:sz w:val="21"/>
                      <w:szCs w:val="21"/>
                      <w:lang w:val="en-US" w:eastAsia="en-US"/>
                    </w:rPr>
                  </w:pPr>
                </w:p>
              </w:tc>
              <w:tc>
                <w:tcPr>
                  <w:tcW w:w="531" w:type="pct"/>
                  <w:shd w:val="clear" w:color="auto" w:fill="auto"/>
                  <w:vAlign w:val="top"/>
                </w:tcPr>
                <w:p w14:paraId="144A4ACE">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default" w:ascii="Times New Roman" w:hAnsi="Times New Roman" w:cs="Times New Roman"/>
                      <w:color w:val="auto"/>
                      <w:spacing w:val="-1"/>
                      <w:sz w:val="21"/>
                      <w:szCs w:val="21"/>
                    </w:rPr>
                    <w:t>13:38</w:t>
                  </w:r>
                </w:p>
              </w:tc>
              <w:tc>
                <w:tcPr>
                  <w:tcW w:w="778" w:type="pct"/>
                  <w:shd w:val="clear" w:color="auto" w:fill="auto"/>
                  <w:vAlign w:val="top"/>
                </w:tcPr>
                <w:p w14:paraId="0E6BDB3E">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default" w:ascii="Times New Roman" w:hAnsi="Times New Roman" w:cs="Times New Roman"/>
                      <w:color w:val="auto"/>
                      <w:spacing w:val="-1"/>
                      <w:sz w:val="21"/>
                      <w:szCs w:val="21"/>
                    </w:rPr>
                    <w:t>0.08</w:t>
                  </w:r>
                </w:p>
              </w:tc>
              <w:tc>
                <w:tcPr>
                  <w:tcW w:w="779" w:type="pct"/>
                  <w:shd w:val="clear" w:color="auto" w:fill="auto"/>
                  <w:vAlign w:val="top"/>
                </w:tcPr>
                <w:p w14:paraId="5984A21E">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default" w:ascii="Times New Roman" w:hAnsi="Times New Roman" w:cs="Times New Roman"/>
                      <w:color w:val="auto"/>
                      <w:spacing w:val="-1"/>
                      <w:sz w:val="21"/>
                      <w:szCs w:val="21"/>
                    </w:rPr>
                    <w:t>0.15</w:t>
                  </w:r>
                </w:p>
              </w:tc>
              <w:tc>
                <w:tcPr>
                  <w:tcW w:w="781" w:type="pct"/>
                  <w:shd w:val="clear" w:color="auto" w:fill="auto"/>
                  <w:vAlign w:val="top"/>
                </w:tcPr>
                <w:p w14:paraId="4A72FAF3">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default" w:ascii="Times New Roman" w:hAnsi="Times New Roman" w:cs="Times New Roman"/>
                      <w:color w:val="auto"/>
                      <w:spacing w:val="-1"/>
                      <w:sz w:val="21"/>
                      <w:szCs w:val="21"/>
                    </w:rPr>
                    <w:t>0.12</w:t>
                  </w:r>
                </w:p>
              </w:tc>
              <w:tc>
                <w:tcPr>
                  <w:tcW w:w="778" w:type="pct"/>
                  <w:shd w:val="clear" w:color="auto" w:fill="auto"/>
                  <w:vAlign w:val="top"/>
                </w:tcPr>
                <w:p w14:paraId="714AC769">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default" w:ascii="Times New Roman" w:hAnsi="Times New Roman" w:cs="Times New Roman"/>
                      <w:color w:val="auto"/>
                      <w:spacing w:val="-1"/>
                      <w:sz w:val="21"/>
                      <w:szCs w:val="21"/>
                    </w:rPr>
                    <w:t>0.13</w:t>
                  </w:r>
                </w:p>
              </w:tc>
            </w:tr>
            <w:tr w14:paraId="109F5E7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607" w:type="pct"/>
                  <w:vMerge w:val="continue"/>
                  <w:vAlign w:val="center"/>
                </w:tcPr>
                <w:p w14:paraId="01601D26">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744" w:type="pct"/>
                  <w:vMerge w:val="continue"/>
                  <w:vAlign w:val="center"/>
                </w:tcPr>
                <w:p w14:paraId="3E0B156A">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2"/>
                      <w:sz w:val="21"/>
                      <w:szCs w:val="21"/>
                      <w:lang w:val="en-US" w:eastAsia="en-US"/>
                    </w:rPr>
                  </w:pPr>
                </w:p>
              </w:tc>
              <w:tc>
                <w:tcPr>
                  <w:tcW w:w="531" w:type="pct"/>
                  <w:shd w:val="clear" w:color="auto" w:fill="auto"/>
                  <w:vAlign w:val="top"/>
                </w:tcPr>
                <w:p w14:paraId="38777B3D">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default" w:ascii="Times New Roman" w:hAnsi="Times New Roman" w:cs="Times New Roman"/>
                      <w:color w:val="auto"/>
                      <w:spacing w:val="-1"/>
                      <w:sz w:val="21"/>
                      <w:szCs w:val="21"/>
                    </w:rPr>
                    <w:t>样品编号</w:t>
                  </w:r>
                </w:p>
              </w:tc>
              <w:tc>
                <w:tcPr>
                  <w:tcW w:w="778" w:type="pct"/>
                  <w:shd w:val="clear" w:color="auto" w:fill="auto"/>
                  <w:vAlign w:val="top"/>
                </w:tcPr>
                <w:p w14:paraId="2F31677D">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default" w:ascii="Times New Roman" w:hAnsi="Times New Roman" w:cs="Times New Roman"/>
                      <w:color w:val="auto"/>
                      <w:spacing w:val="-1"/>
                      <w:sz w:val="21"/>
                      <w:szCs w:val="21"/>
                    </w:rPr>
                    <w:t>2506101W021</w:t>
                  </w:r>
                </w:p>
              </w:tc>
              <w:tc>
                <w:tcPr>
                  <w:tcW w:w="779" w:type="pct"/>
                  <w:shd w:val="clear" w:color="auto" w:fill="auto"/>
                  <w:vAlign w:val="top"/>
                </w:tcPr>
                <w:p w14:paraId="0F1D59F8">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default" w:ascii="Times New Roman" w:hAnsi="Times New Roman" w:cs="Times New Roman"/>
                      <w:color w:val="auto"/>
                      <w:spacing w:val="-1"/>
                      <w:sz w:val="21"/>
                      <w:szCs w:val="21"/>
                    </w:rPr>
                    <w:t>2506101W022</w:t>
                  </w:r>
                </w:p>
              </w:tc>
              <w:tc>
                <w:tcPr>
                  <w:tcW w:w="781" w:type="pct"/>
                  <w:shd w:val="clear" w:color="auto" w:fill="auto"/>
                  <w:vAlign w:val="top"/>
                </w:tcPr>
                <w:p w14:paraId="72CDACCE">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default" w:ascii="Times New Roman" w:hAnsi="Times New Roman" w:cs="Times New Roman"/>
                      <w:color w:val="auto"/>
                      <w:spacing w:val="-1"/>
                      <w:sz w:val="21"/>
                      <w:szCs w:val="21"/>
                    </w:rPr>
                    <w:t>2506101W023</w:t>
                  </w:r>
                </w:p>
              </w:tc>
              <w:tc>
                <w:tcPr>
                  <w:tcW w:w="778" w:type="pct"/>
                  <w:shd w:val="clear" w:color="auto" w:fill="auto"/>
                  <w:vAlign w:val="top"/>
                </w:tcPr>
                <w:p w14:paraId="1546F032">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default" w:ascii="Times New Roman" w:hAnsi="Times New Roman" w:cs="Times New Roman"/>
                      <w:color w:val="auto"/>
                      <w:spacing w:val="-1"/>
                      <w:sz w:val="21"/>
                      <w:szCs w:val="21"/>
                    </w:rPr>
                    <w:t>2506101W024</w:t>
                  </w:r>
                </w:p>
              </w:tc>
            </w:tr>
            <w:tr w14:paraId="748DC32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607" w:type="pct"/>
                  <w:vMerge w:val="continue"/>
                  <w:vAlign w:val="center"/>
                </w:tcPr>
                <w:p w14:paraId="56D45227">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744" w:type="pct"/>
                  <w:vMerge w:val="continue"/>
                  <w:vAlign w:val="center"/>
                </w:tcPr>
                <w:p w14:paraId="018D30F8">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2"/>
                      <w:sz w:val="21"/>
                      <w:szCs w:val="21"/>
                      <w:lang w:val="en-US" w:eastAsia="en-US"/>
                    </w:rPr>
                  </w:pPr>
                </w:p>
              </w:tc>
              <w:tc>
                <w:tcPr>
                  <w:tcW w:w="531" w:type="pct"/>
                  <w:shd w:val="clear" w:color="auto" w:fill="auto"/>
                  <w:vAlign w:val="top"/>
                </w:tcPr>
                <w:p w14:paraId="40B6B8B5">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default" w:ascii="Times New Roman" w:hAnsi="Times New Roman" w:cs="Times New Roman"/>
                      <w:color w:val="auto"/>
                      <w:spacing w:val="-1"/>
                      <w:sz w:val="21"/>
                      <w:szCs w:val="21"/>
                    </w:rPr>
                    <w:t>14:42</w:t>
                  </w:r>
                </w:p>
              </w:tc>
              <w:tc>
                <w:tcPr>
                  <w:tcW w:w="778" w:type="pct"/>
                  <w:shd w:val="clear" w:color="auto" w:fill="auto"/>
                  <w:vAlign w:val="top"/>
                </w:tcPr>
                <w:p w14:paraId="1B79DAFE">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default" w:ascii="Times New Roman" w:hAnsi="Times New Roman" w:cs="Times New Roman"/>
                      <w:color w:val="auto"/>
                      <w:spacing w:val="-1"/>
                      <w:sz w:val="21"/>
                      <w:szCs w:val="21"/>
                    </w:rPr>
                    <w:t>0.08</w:t>
                  </w:r>
                </w:p>
              </w:tc>
              <w:tc>
                <w:tcPr>
                  <w:tcW w:w="779" w:type="pct"/>
                  <w:shd w:val="clear" w:color="auto" w:fill="auto"/>
                  <w:vAlign w:val="top"/>
                </w:tcPr>
                <w:p w14:paraId="5AB8CADF">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default" w:ascii="Times New Roman" w:hAnsi="Times New Roman" w:cs="Times New Roman"/>
                      <w:color w:val="auto"/>
                      <w:spacing w:val="-1"/>
                      <w:sz w:val="21"/>
                      <w:szCs w:val="21"/>
                    </w:rPr>
                    <w:t>0.12</w:t>
                  </w:r>
                </w:p>
              </w:tc>
              <w:tc>
                <w:tcPr>
                  <w:tcW w:w="781" w:type="pct"/>
                  <w:shd w:val="clear" w:color="auto" w:fill="auto"/>
                  <w:vAlign w:val="top"/>
                </w:tcPr>
                <w:p w14:paraId="1D0148E1">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default" w:ascii="Times New Roman" w:hAnsi="Times New Roman" w:cs="Times New Roman"/>
                      <w:color w:val="auto"/>
                      <w:spacing w:val="-1"/>
                      <w:sz w:val="21"/>
                      <w:szCs w:val="21"/>
                    </w:rPr>
                    <w:t>0.14</w:t>
                  </w:r>
                </w:p>
              </w:tc>
              <w:tc>
                <w:tcPr>
                  <w:tcW w:w="778" w:type="pct"/>
                  <w:shd w:val="clear" w:color="auto" w:fill="auto"/>
                  <w:vAlign w:val="top"/>
                </w:tcPr>
                <w:p w14:paraId="7E2C1C46">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default" w:ascii="Times New Roman" w:hAnsi="Times New Roman" w:cs="Times New Roman"/>
                      <w:color w:val="auto"/>
                      <w:spacing w:val="-1"/>
                      <w:sz w:val="21"/>
                      <w:szCs w:val="21"/>
                    </w:rPr>
                    <w:t>0.14</w:t>
                  </w:r>
                </w:p>
              </w:tc>
            </w:tr>
            <w:tr w14:paraId="09781D1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607" w:type="pct"/>
                  <w:vMerge w:val="continue"/>
                  <w:vAlign w:val="center"/>
                </w:tcPr>
                <w:p w14:paraId="504DD011">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744" w:type="pct"/>
                  <w:vMerge w:val="continue"/>
                  <w:vAlign w:val="center"/>
                </w:tcPr>
                <w:p w14:paraId="1C073CF7">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2"/>
                      <w:sz w:val="21"/>
                      <w:szCs w:val="21"/>
                      <w:lang w:val="en-US" w:eastAsia="en-US"/>
                    </w:rPr>
                  </w:pPr>
                </w:p>
              </w:tc>
              <w:tc>
                <w:tcPr>
                  <w:tcW w:w="531" w:type="pct"/>
                  <w:shd w:val="clear" w:color="auto" w:fill="auto"/>
                  <w:vAlign w:val="top"/>
                </w:tcPr>
                <w:p w14:paraId="42689F99">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default" w:ascii="Times New Roman" w:hAnsi="Times New Roman" w:cs="Times New Roman"/>
                      <w:color w:val="auto"/>
                      <w:spacing w:val="-1"/>
                      <w:sz w:val="21"/>
                      <w:szCs w:val="21"/>
                    </w:rPr>
                    <w:t>样品编号</w:t>
                  </w:r>
                </w:p>
              </w:tc>
              <w:tc>
                <w:tcPr>
                  <w:tcW w:w="778" w:type="pct"/>
                  <w:shd w:val="clear" w:color="auto" w:fill="auto"/>
                  <w:vAlign w:val="top"/>
                </w:tcPr>
                <w:p w14:paraId="383C6160">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default" w:ascii="Times New Roman" w:hAnsi="Times New Roman" w:cs="Times New Roman"/>
                      <w:color w:val="auto"/>
                      <w:spacing w:val="-1"/>
                      <w:sz w:val="21"/>
                      <w:szCs w:val="21"/>
                    </w:rPr>
                    <w:t>2506101W025</w:t>
                  </w:r>
                </w:p>
              </w:tc>
              <w:tc>
                <w:tcPr>
                  <w:tcW w:w="779" w:type="pct"/>
                  <w:shd w:val="clear" w:color="auto" w:fill="auto"/>
                  <w:vAlign w:val="top"/>
                </w:tcPr>
                <w:p w14:paraId="2C0A8779">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default" w:ascii="Times New Roman" w:hAnsi="Times New Roman" w:cs="Times New Roman"/>
                      <w:color w:val="auto"/>
                      <w:spacing w:val="-1"/>
                      <w:sz w:val="21"/>
                      <w:szCs w:val="21"/>
                    </w:rPr>
                    <w:t>2506101W026</w:t>
                  </w:r>
                </w:p>
              </w:tc>
              <w:tc>
                <w:tcPr>
                  <w:tcW w:w="781" w:type="pct"/>
                  <w:shd w:val="clear" w:color="auto" w:fill="auto"/>
                  <w:vAlign w:val="top"/>
                </w:tcPr>
                <w:p w14:paraId="0F6AB2B4">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default" w:ascii="Times New Roman" w:hAnsi="Times New Roman" w:cs="Times New Roman"/>
                      <w:color w:val="auto"/>
                      <w:spacing w:val="-1"/>
                      <w:sz w:val="21"/>
                      <w:szCs w:val="21"/>
                    </w:rPr>
                    <w:t>2506101W027</w:t>
                  </w:r>
                </w:p>
              </w:tc>
              <w:tc>
                <w:tcPr>
                  <w:tcW w:w="778" w:type="pct"/>
                  <w:shd w:val="clear" w:color="auto" w:fill="auto"/>
                  <w:vAlign w:val="top"/>
                </w:tcPr>
                <w:p w14:paraId="17D71B4B">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default" w:ascii="Times New Roman" w:hAnsi="Times New Roman" w:cs="Times New Roman"/>
                      <w:color w:val="auto"/>
                      <w:spacing w:val="-1"/>
                      <w:sz w:val="21"/>
                      <w:szCs w:val="21"/>
                    </w:rPr>
                    <w:t>2506101W028</w:t>
                  </w:r>
                </w:p>
              </w:tc>
            </w:tr>
            <w:tr w14:paraId="513FDE0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607" w:type="pct"/>
                  <w:vMerge w:val="continue"/>
                  <w:vAlign w:val="center"/>
                </w:tcPr>
                <w:p w14:paraId="03E72AA0">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744" w:type="pct"/>
                  <w:vMerge w:val="continue"/>
                  <w:vAlign w:val="center"/>
                </w:tcPr>
                <w:p w14:paraId="22DAFBFC">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2"/>
                      <w:sz w:val="21"/>
                      <w:szCs w:val="21"/>
                      <w:lang w:val="en-US" w:eastAsia="en-US"/>
                    </w:rPr>
                  </w:pPr>
                </w:p>
              </w:tc>
              <w:tc>
                <w:tcPr>
                  <w:tcW w:w="531" w:type="pct"/>
                  <w:shd w:val="clear" w:color="auto" w:fill="auto"/>
                  <w:vAlign w:val="top"/>
                </w:tcPr>
                <w:p w14:paraId="35875673">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default" w:ascii="Times New Roman" w:hAnsi="Times New Roman" w:cs="Times New Roman"/>
                      <w:color w:val="auto"/>
                      <w:spacing w:val="-1"/>
                      <w:sz w:val="21"/>
                      <w:szCs w:val="21"/>
                    </w:rPr>
                    <w:t>15:46</w:t>
                  </w:r>
                </w:p>
              </w:tc>
              <w:tc>
                <w:tcPr>
                  <w:tcW w:w="778" w:type="pct"/>
                  <w:shd w:val="clear" w:color="auto" w:fill="auto"/>
                  <w:vAlign w:val="top"/>
                </w:tcPr>
                <w:p w14:paraId="0D7225A2">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default" w:ascii="Times New Roman" w:hAnsi="Times New Roman" w:cs="Times New Roman"/>
                      <w:color w:val="auto"/>
                      <w:spacing w:val="-1"/>
                      <w:sz w:val="21"/>
                      <w:szCs w:val="21"/>
                    </w:rPr>
                    <w:t>0.07</w:t>
                  </w:r>
                </w:p>
              </w:tc>
              <w:tc>
                <w:tcPr>
                  <w:tcW w:w="779" w:type="pct"/>
                  <w:shd w:val="clear" w:color="auto" w:fill="auto"/>
                  <w:vAlign w:val="top"/>
                </w:tcPr>
                <w:p w14:paraId="077537D0">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default" w:ascii="Times New Roman" w:hAnsi="Times New Roman" w:cs="Times New Roman"/>
                      <w:color w:val="auto"/>
                      <w:spacing w:val="-1"/>
                      <w:sz w:val="21"/>
                      <w:szCs w:val="21"/>
                    </w:rPr>
                    <w:t>0.11</w:t>
                  </w:r>
                </w:p>
              </w:tc>
              <w:tc>
                <w:tcPr>
                  <w:tcW w:w="781" w:type="pct"/>
                  <w:shd w:val="clear" w:color="auto" w:fill="auto"/>
                  <w:vAlign w:val="top"/>
                </w:tcPr>
                <w:p w14:paraId="7CE95BE7">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default" w:ascii="Times New Roman" w:hAnsi="Times New Roman" w:cs="Times New Roman"/>
                      <w:color w:val="auto"/>
                      <w:spacing w:val="-1"/>
                      <w:sz w:val="21"/>
                      <w:szCs w:val="21"/>
                    </w:rPr>
                    <w:t>0.15</w:t>
                  </w:r>
                </w:p>
              </w:tc>
              <w:tc>
                <w:tcPr>
                  <w:tcW w:w="778" w:type="pct"/>
                  <w:shd w:val="clear" w:color="auto" w:fill="auto"/>
                  <w:vAlign w:val="top"/>
                </w:tcPr>
                <w:p w14:paraId="6DFECCF5">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default" w:ascii="Times New Roman" w:hAnsi="Times New Roman" w:cs="Times New Roman"/>
                      <w:color w:val="auto"/>
                      <w:spacing w:val="-1"/>
                      <w:sz w:val="21"/>
                      <w:szCs w:val="21"/>
                    </w:rPr>
                    <w:t>0.16</w:t>
                  </w:r>
                </w:p>
              </w:tc>
            </w:tr>
            <w:tr w14:paraId="1B8C74A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607" w:type="pct"/>
                  <w:vMerge w:val="continue"/>
                  <w:vAlign w:val="center"/>
                </w:tcPr>
                <w:p w14:paraId="0F534D20">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744" w:type="pct"/>
                  <w:vMerge w:val="continue"/>
                  <w:vAlign w:val="center"/>
                </w:tcPr>
                <w:p w14:paraId="06890EE3">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2"/>
                      <w:sz w:val="21"/>
                      <w:szCs w:val="21"/>
                      <w:lang w:val="en-US" w:eastAsia="en-US"/>
                    </w:rPr>
                  </w:pPr>
                </w:p>
              </w:tc>
              <w:tc>
                <w:tcPr>
                  <w:tcW w:w="531" w:type="pct"/>
                  <w:shd w:val="clear" w:color="auto" w:fill="auto"/>
                  <w:vAlign w:val="top"/>
                </w:tcPr>
                <w:p w14:paraId="30F8D478">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default" w:ascii="Times New Roman" w:hAnsi="Times New Roman" w:cs="Times New Roman"/>
                      <w:color w:val="auto"/>
                      <w:spacing w:val="-1"/>
                      <w:sz w:val="21"/>
                      <w:szCs w:val="21"/>
                    </w:rPr>
                    <w:t>样品编号</w:t>
                  </w:r>
                </w:p>
              </w:tc>
              <w:tc>
                <w:tcPr>
                  <w:tcW w:w="778" w:type="pct"/>
                  <w:shd w:val="clear" w:color="auto" w:fill="auto"/>
                  <w:vAlign w:val="top"/>
                </w:tcPr>
                <w:p w14:paraId="12ED649C">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default" w:ascii="Times New Roman" w:hAnsi="Times New Roman" w:cs="Times New Roman"/>
                      <w:color w:val="auto"/>
                      <w:spacing w:val="-1"/>
                      <w:sz w:val="21"/>
                      <w:szCs w:val="21"/>
                    </w:rPr>
                    <w:t>2506101W029</w:t>
                  </w:r>
                </w:p>
              </w:tc>
              <w:tc>
                <w:tcPr>
                  <w:tcW w:w="779" w:type="pct"/>
                  <w:shd w:val="clear" w:color="auto" w:fill="auto"/>
                  <w:vAlign w:val="top"/>
                </w:tcPr>
                <w:p w14:paraId="47B41D90">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default" w:ascii="Times New Roman" w:hAnsi="Times New Roman" w:cs="Times New Roman"/>
                      <w:color w:val="auto"/>
                      <w:spacing w:val="-1"/>
                      <w:sz w:val="21"/>
                      <w:szCs w:val="21"/>
                    </w:rPr>
                    <w:t>2506101W030</w:t>
                  </w:r>
                </w:p>
              </w:tc>
              <w:tc>
                <w:tcPr>
                  <w:tcW w:w="781" w:type="pct"/>
                  <w:shd w:val="clear" w:color="auto" w:fill="auto"/>
                  <w:vAlign w:val="top"/>
                </w:tcPr>
                <w:p w14:paraId="670B0A15">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default" w:ascii="Times New Roman" w:hAnsi="Times New Roman" w:cs="Times New Roman"/>
                      <w:color w:val="auto"/>
                      <w:spacing w:val="-1"/>
                      <w:sz w:val="21"/>
                      <w:szCs w:val="21"/>
                    </w:rPr>
                    <w:t>2506101W031</w:t>
                  </w:r>
                </w:p>
              </w:tc>
              <w:tc>
                <w:tcPr>
                  <w:tcW w:w="778" w:type="pct"/>
                  <w:shd w:val="clear" w:color="auto" w:fill="auto"/>
                  <w:vAlign w:val="top"/>
                </w:tcPr>
                <w:p w14:paraId="13994D57">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default" w:ascii="Times New Roman" w:hAnsi="Times New Roman" w:cs="Times New Roman"/>
                      <w:color w:val="auto"/>
                      <w:spacing w:val="-1"/>
                      <w:sz w:val="21"/>
                      <w:szCs w:val="21"/>
                    </w:rPr>
                    <w:t>2506101W032</w:t>
                  </w:r>
                </w:p>
              </w:tc>
            </w:tr>
            <w:tr w14:paraId="1DE906B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607" w:type="pct"/>
                  <w:vMerge w:val="continue"/>
                  <w:vAlign w:val="center"/>
                </w:tcPr>
                <w:p w14:paraId="5CC6ECE7">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744" w:type="pct"/>
                  <w:vMerge w:val="continue"/>
                  <w:vAlign w:val="center"/>
                </w:tcPr>
                <w:p w14:paraId="207EE158">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2"/>
                      <w:sz w:val="21"/>
                      <w:szCs w:val="21"/>
                      <w:lang w:val="en-US" w:eastAsia="en-US"/>
                    </w:rPr>
                  </w:pPr>
                </w:p>
              </w:tc>
              <w:tc>
                <w:tcPr>
                  <w:tcW w:w="531" w:type="pct"/>
                  <w:shd w:val="clear" w:color="auto" w:fill="auto"/>
                  <w:vAlign w:val="top"/>
                </w:tcPr>
                <w:p w14:paraId="3C787BC5">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default" w:ascii="Times New Roman" w:hAnsi="Times New Roman" w:cs="Times New Roman"/>
                      <w:color w:val="auto"/>
                      <w:spacing w:val="-1"/>
                      <w:sz w:val="21"/>
                      <w:szCs w:val="21"/>
                    </w:rPr>
                    <w:t>17:09</w:t>
                  </w:r>
                </w:p>
              </w:tc>
              <w:tc>
                <w:tcPr>
                  <w:tcW w:w="778" w:type="pct"/>
                  <w:shd w:val="clear" w:color="auto" w:fill="auto"/>
                  <w:vAlign w:val="top"/>
                </w:tcPr>
                <w:p w14:paraId="34697161">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default" w:ascii="Times New Roman" w:hAnsi="Times New Roman" w:cs="Times New Roman"/>
                      <w:color w:val="auto"/>
                      <w:spacing w:val="-1"/>
                      <w:sz w:val="21"/>
                      <w:szCs w:val="21"/>
                    </w:rPr>
                    <w:t>0.07</w:t>
                  </w:r>
                </w:p>
              </w:tc>
              <w:tc>
                <w:tcPr>
                  <w:tcW w:w="779" w:type="pct"/>
                  <w:shd w:val="clear" w:color="auto" w:fill="auto"/>
                  <w:vAlign w:val="top"/>
                </w:tcPr>
                <w:p w14:paraId="769A31D8">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default" w:ascii="Times New Roman" w:hAnsi="Times New Roman" w:cs="Times New Roman"/>
                      <w:color w:val="auto"/>
                      <w:spacing w:val="-1"/>
                      <w:sz w:val="21"/>
                      <w:szCs w:val="21"/>
                    </w:rPr>
                    <w:t>0.14</w:t>
                  </w:r>
                </w:p>
              </w:tc>
              <w:tc>
                <w:tcPr>
                  <w:tcW w:w="781" w:type="pct"/>
                  <w:shd w:val="clear" w:color="auto" w:fill="auto"/>
                  <w:vAlign w:val="top"/>
                </w:tcPr>
                <w:p w14:paraId="7C69446A">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default" w:ascii="Times New Roman" w:hAnsi="Times New Roman" w:cs="Times New Roman"/>
                      <w:color w:val="auto"/>
                      <w:spacing w:val="-1"/>
                      <w:sz w:val="21"/>
                      <w:szCs w:val="21"/>
                    </w:rPr>
                    <w:t>0.16</w:t>
                  </w:r>
                </w:p>
              </w:tc>
              <w:tc>
                <w:tcPr>
                  <w:tcW w:w="778" w:type="pct"/>
                  <w:shd w:val="clear" w:color="auto" w:fill="auto"/>
                  <w:vAlign w:val="top"/>
                </w:tcPr>
                <w:p w14:paraId="78C5D068">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default" w:ascii="Times New Roman" w:hAnsi="Times New Roman" w:cs="Times New Roman"/>
                      <w:color w:val="auto"/>
                      <w:spacing w:val="-1"/>
                      <w:sz w:val="21"/>
                      <w:szCs w:val="21"/>
                    </w:rPr>
                    <w:t>0.11</w:t>
                  </w:r>
                </w:p>
              </w:tc>
            </w:tr>
            <w:tr w14:paraId="02A5B87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607" w:type="pct"/>
                  <w:vMerge w:val="restart"/>
                  <w:tcBorders>
                    <w:bottom w:val="nil"/>
                  </w:tcBorders>
                  <w:vAlign w:val="center"/>
                </w:tcPr>
                <w:p w14:paraId="082B9255">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2"/>
                      <w:sz w:val="21"/>
                      <w:szCs w:val="21"/>
                    </w:rPr>
                  </w:pPr>
                  <w:r>
                    <w:rPr>
                      <w:rFonts w:hint="default" w:ascii="Times New Roman" w:hAnsi="Times New Roman" w:cs="Times New Roman"/>
                      <w:color w:val="auto"/>
                      <w:spacing w:val="-2"/>
                      <w:sz w:val="21"/>
                      <w:szCs w:val="21"/>
                    </w:rPr>
                    <w:t>硫酸雾</w:t>
                  </w:r>
                </w:p>
                <w:p w14:paraId="756FCFDD">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Times New Roman" w:hAnsi="Times New Roman" w:eastAsia="宋体" w:cs="Times New Roman"/>
                      <w:color w:val="auto"/>
                      <w:sz w:val="21"/>
                      <w:szCs w:val="21"/>
                      <w:lang w:eastAsia="zh-CN"/>
                    </w:rPr>
                  </w:pPr>
                  <w:r>
                    <w:rPr>
                      <w:rFonts w:hint="eastAsia" w:ascii="Times New Roman" w:hAnsi="Times New Roman" w:cs="Times New Roman"/>
                      <w:color w:val="auto"/>
                      <w:spacing w:val="-4"/>
                      <w:sz w:val="21"/>
                      <w:szCs w:val="21"/>
                      <w:lang w:eastAsia="zh-CN"/>
                    </w:rPr>
                    <w:t>（</w:t>
                  </w:r>
                  <w:r>
                    <w:rPr>
                      <w:rFonts w:hint="default" w:ascii="Times New Roman" w:hAnsi="Times New Roman" w:cs="Times New Roman"/>
                      <w:color w:val="auto"/>
                      <w:spacing w:val="-4"/>
                      <w:sz w:val="21"/>
                      <w:szCs w:val="21"/>
                    </w:rPr>
                    <w:t>mg/m³</w:t>
                  </w:r>
                  <w:r>
                    <w:rPr>
                      <w:rFonts w:hint="eastAsia" w:ascii="Times New Roman" w:hAnsi="Times New Roman" w:cs="Times New Roman"/>
                      <w:color w:val="auto"/>
                      <w:spacing w:val="-4"/>
                      <w:sz w:val="21"/>
                      <w:szCs w:val="21"/>
                      <w:lang w:eastAsia="zh-CN"/>
                    </w:rPr>
                    <w:t>）</w:t>
                  </w:r>
                </w:p>
              </w:tc>
              <w:tc>
                <w:tcPr>
                  <w:tcW w:w="744" w:type="pct"/>
                  <w:vMerge w:val="restart"/>
                  <w:tcBorders>
                    <w:bottom w:val="nil"/>
                  </w:tcBorders>
                  <w:vAlign w:val="center"/>
                </w:tcPr>
                <w:p w14:paraId="19F50CA9">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2"/>
                      <w:sz w:val="21"/>
                      <w:szCs w:val="21"/>
                    </w:rPr>
                  </w:pPr>
                  <w:r>
                    <w:rPr>
                      <w:rFonts w:hint="default" w:ascii="Times New Roman" w:hAnsi="Times New Roman" w:cs="Times New Roman"/>
                      <w:color w:val="auto"/>
                      <w:spacing w:val="-2"/>
                      <w:sz w:val="21"/>
                      <w:szCs w:val="21"/>
                    </w:rPr>
                    <w:t>2025年</w:t>
                  </w:r>
                </w:p>
                <w:p w14:paraId="02AACA5E">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2"/>
                      <w:sz w:val="21"/>
                      <w:szCs w:val="21"/>
                    </w:rPr>
                  </w:pPr>
                  <w:r>
                    <w:rPr>
                      <w:rFonts w:hint="default" w:ascii="Times New Roman" w:hAnsi="Times New Roman" w:cs="Times New Roman"/>
                      <w:color w:val="auto"/>
                      <w:spacing w:val="-2"/>
                      <w:sz w:val="21"/>
                      <w:szCs w:val="21"/>
                    </w:rPr>
                    <w:t>06月25日</w:t>
                  </w:r>
                </w:p>
              </w:tc>
              <w:tc>
                <w:tcPr>
                  <w:tcW w:w="531" w:type="pct"/>
                  <w:shd w:val="clear" w:color="auto" w:fill="auto"/>
                  <w:vAlign w:val="top"/>
                </w:tcPr>
                <w:p w14:paraId="4673384D">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default" w:ascii="Times New Roman" w:hAnsi="Times New Roman" w:cs="Times New Roman"/>
                      <w:color w:val="auto"/>
                      <w:spacing w:val="-1"/>
                      <w:sz w:val="21"/>
                      <w:szCs w:val="21"/>
                    </w:rPr>
                    <w:t>样品编号</w:t>
                  </w:r>
                </w:p>
              </w:tc>
              <w:tc>
                <w:tcPr>
                  <w:tcW w:w="778" w:type="pct"/>
                  <w:shd w:val="clear" w:color="auto" w:fill="auto"/>
                  <w:vAlign w:val="top"/>
                </w:tcPr>
                <w:p w14:paraId="4252C82A">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default" w:ascii="Times New Roman" w:hAnsi="Times New Roman" w:cs="Times New Roman"/>
                      <w:color w:val="auto"/>
                      <w:spacing w:val="-1"/>
                      <w:sz w:val="21"/>
                      <w:szCs w:val="21"/>
                    </w:rPr>
                    <w:t>2506101W033</w:t>
                  </w:r>
                </w:p>
              </w:tc>
              <w:tc>
                <w:tcPr>
                  <w:tcW w:w="779" w:type="pct"/>
                  <w:shd w:val="clear" w:color="auto" w:fill="auto"/>
                  <w:vAlign w:val="top"/>
                </w:tcPr>
                <w:p w14:paraId="63C2DF8F">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default" w:ascii="Times New Roman" w:hAnsi="Times New Roman" w:cs="Times New Roman"/>
                      <w:color w:val="auto"/>
                      <w:spacing w:val="-1"/>
                      <w:sz w:val="21"/>
                      <w:szCs w:val="21"/>
                    </w:rPr>
                    <w:t>2506101W034</w:t>
                  </w:r>
                </w:p>
              </w:tc>
              <w:tc>
                <w:tcPr>
                  <w:tcW w:w="781" w:type="pct"/>
                  <w:shd w:val="clear" w:color="auto" w:fill="auto"/>
                  <w:vAlign w:val="top"/>
                </w:tcPr>
                <w:p w14:paraId="5230801B">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default" w:ascii="Times New Roman" w:hAnsi="Times New Roman" w:cs="Times New Roman"/>
                      <w:color w:val="auto"/>
                      <w:spacing w:val="-1"/>
                      <w:sz w:val="21"/>
                      <w:szCs w:val="21"/>
                    </w:rPr>
                    <w:t>2506101W035</w:t>
                  </w:r>
                </w:p>
              </w:tc>
              <w:tc>
                <w:tcPr>
                  <w:tcW w:w="778" w:type="pct"/>
                  <w:shd w:val="clear" w:color="auto" w:fill="auto"/>
                  <w:vAlign w:val="top"/>
                </w:tcPr>
                <w:p w14:paraId="798D686C">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default" w:ascii="Times New Roman" w:hAnsi="Times New Roman" w:cs="Times New Roman"/>
                      <w:color w:val="auto"/>
                      <w:spacing w:val="-1"/>
                      <w:sz w:val="21"/>
                      <w:szCs w:val="21"/>
                    </w:rPr>
                    <w:t>2506101W036</w:t>
                  </w:r>
                </w:p>
              </w:tc>
            </w:tr>
            <w:tr w14:paraId="759E29C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607" w:type="pct"/>
                  <w:vMerge w:val="continue"/>
                  <w:tcBorders>
                    <w:top w:val="nil"/>
                    <w:bottom w:val="nil"/>
                  </w:tcBorders>
                  <w:vAlign w:val="center"/>
                </w:tcPr>
                <w:p w14:paraId="6636CDA6">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744" w:type="pct"/>
                  <w:vMerge w:val="continue"/>
                  <w:tcBorders>
                    <w:top w:val="nil"/>
                    <w:bottom w:val="nil"/>
                  </w:tcBorders>
                  <w:vAlign w:val="center"/>
                </w:tcPr>
                <w:p w14:paraId="0B62D1A2">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2"/>
                      <w:sz w:val="21"/>
                      <w:szCs w:val="21"/>
                    </w:rPr>
                  </w:pPr>
                </w:p>
              </w:tc>
              <w:tc>
                <w:tcPr>
                  <w:tcW w:w="531" w:type="pct"/>
                  <w:shd w:val="clear" w:color="auto" w:fill="auto"/>
                  <w:vAlign w:val="top"/>
                </w:tcPr>
                <w:p w14:paraId="6C8517F0">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default" w:ascii="Times New Roman" w:hAnsi="Times New Roman" w:cs="Times New Roman"/>
                      <w:color w:val="auto"/>
                      <w:spacing w:val="-1"/>
                      <w:sz w:val="21"/>
                      <w:szCs w:val="21"/>
                    </w:rPr>
                    <w:t>13:38</w:t>
                  </w:r>
                </w:p>
              </w:tc>
              <w:tc>
                <w:tcPr>
                  <w:tcW w:w="778" w:type="pct"/>
                  <w:shd w:val="clear" w:color="auto" w:fill="auto"/>
                  <w:vAlign w:val="top"/>
                </w:tcPr>
                <w:p w14:paraId="19401F4E">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default" w:ascii="Times New Roman" w:hAnsi="Times New Roman" w:cs="Times New Roman"/>
                      <w:color w:val="auto"/>
                      <w:spacing w:val="-1"/>
                      <w:sz w:val="21"/>
                      <w:szCs w:val="21"/>
                    </w:rPr>
                    <w:t>0.039</w:t>
                  </w:r>
                </w:p>
              </w:tc>
              <w:tc>
                <w:tcPr>
                  <w:tcW w:w="779" w:type="pct"/>
                  <w:shd w:val="clear" w:color="auto" w:fill="auto"/>
                  <w:vAlign w:val="top"/>
                </w:tcPr>
                <w:p w14:paraId="76828211">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default" w:ascii="Times New Roman" w:hAnsi="Times New Roman" w:cs="Times New Roman"/>
                      <w:color w:val="auto"/>
                      <w:spacing w:val="-1"/>
                      <w:sz w:val="21"/>
                      <w:szCs w:val="21"/>
                    </w:rPr>
                    <w:t>0.107</w:t>
                  </w:r>
                </w:p>
              </w:tc>
              <w:tc>
                <w:tcPr>
                  <w:tcW w:w="781" w:type="pct"/>
                  <w:shd w:val="clear" w:color="auto" w:fill="auto"/>
                  <w:vAlign w:val="top"/>
                </w:tcPr>
                <w:p w14:paraId="45D07FAB">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default" w:ascii="Times New Roman" w:hAnsi="Times New Roman" w:cs="Times New Roman"/>
                      <w:color w:val="auto"/>
                      <w:spacing w:val="-1"/>
                      <w:sz w:val="21"/>
                      <w:szCs w:val="21"/>
                    </w:rPr>
                    <w:t>0.108</w:t>
                  </w:r>
                </w:p>
              </w:tc>
              <w:tc>
                <w:tcPr>
                  <w:tcW w:w="778" w:type="pct"/>
                  <w:shd w:val="clear" w:color="auto" w:fill="auto"/>
                  <w:vAlign w:val="top"/>
                </w:tcPr>
                <w:p w14:paraId="1C78EC7A">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default" w:ascii="Times New Roman" w:hAnsi="Times New Roman" w:cs="Times New Roman"/>
                      <w:color w:val="auto"/>
                      <w:spacing w:val="-1"/>
                      <w:sz w:val="21"/>
                      <w:szCs w:val="21"/>
                    </w:rPr>
                    <w:t>0.120</w:t>
                  </w:r>
                </w:p>
              </w:tc>
            </w:tr>
            <w:tr w14:paraId="68D4C54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607" w:type="pct"/>
                  <w:vMerge w:val="continue"/>
                  <w:tcBorders>
                    <w:top w:val="nil"/>
                    <w:bottom w:val="nil"/>
                  </w:tcBorders>
                  <w:vAlign w:val="center"/>
                </w:tcPr>
                <w:p w14:paraId="01538A9A">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744" w:type="pct"/>
                  <w:vMerge w:val="continue"/>
                  <w:tcBorders>
                    <w:top w:val="nil"/>
                    <w:bottom w:val="nil"/>
                  </w:tcBorders>
                  <w:vAlign w:val="center"/>
                </w:tcPr>
                <w:p w14:paraId="6D0F5B43">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2"/>
                      <w:sz w:val="21"/>
                      <w:szCs w:val="21"/>
                    </w:rPr>
                  </w:pPr>
                </w:p>
              </w:tc>
              <w:tc>
                <w:tcPr>
                  <w:tcW w:w="531" w:type="pct"/>
                  <w:shd w:val="clear" w:color="auto" w:fill="auto"/>
                  <w:vAlign w:val="top"/>
                </w:tcPr>
                <w:p w14:paraId="29FE4820">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default" w:ascii="Times New Roman" w:hAnsi="Times New Roman" w:cs="Times New Roman"/>
                      <w:color w:val="auto"/>
                      <w:spacing w:val="-1"/>
                      <w:sz w:val="21"/>
                      <w:szCs w:val="21"/>
                    </w:rPr>
                    <w:t>样品编号</w:t>
                  </w:r>
                </w:p>
              </w:tc>
              <w:tc>
                <w:tcPr>
                  <w:tcW w:w="778" w:type="pct"/>
                  <w:shd w:val="clear" w:color="auto" w:fill="auto"/>
                  <w:vAlign w:val="top"/>
                </w:tcPr>
                <w:p w14:paraId="3C315857">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default" w:ascii="Times New Roman" w:hAnsi="Times New Roman" w:cs="Times New Roman"/>
                      <w:color w:val="auto"/>
                      <w:spacing w:val="-1"/>
                      <w:sz w:val="21"/>
                      <w:szCs w:val="21"/>
                    </w:rPr>
                    <w:t>2506101W037</w:t>
                  </w:r>
                </w:p>
              </w:tc>
              <w:tc>
                <w:tcPr>
                  <w:tcW w:w="779" w:type="pct"/>
                  <w:shd w:val="clear" w:color="auto" w:fill="auto"/>
                  <w:vAlign w:val="top"/>
                </w:tcPr>
                <w:p w14:paraId="176CE363">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default" w:ascii="Times New Roman" w:hAnsi="Times New Roman" w:cs="Times New Roman"/>
                      <w:color w:val="auto"/>
                      <w:spacing w:val="-1"/>
                      <w:sz w:val="21"/>
                      <w:szCs w:val="21"/>
                    </w:rPr>
                    <w:t>2506101W038</w:t>
                  </w:r>
                </w:p>
              </w:tc>
              <w:tc>
                <w:tcPr>
                  <w:tcW w:w="781" w:type="pct"/>
                  <w:shd w:val="clear" w:color="auto" w:fill="auto"/>
                  <w:vAlign w:val="top"/>
                </w:tcPr>
                <w:p w14:paraId="4FEF84C8">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default" w:ascii="Times New Roman" w:hAnsi="Times New Roman" w:cs="Times New Roman"/>
                      <w:color w:val="auto"/>
                      <w:spacing w:val="-1"/>
                      <w:sz w:val="21"/>
                      <w:szCs w:val="21"/>
                    </w:rPr>
                    <w:t>2506101W039</w:t>
                  </w:r>
                </w:p>
              </w:tc>
              <w:tc>
                <w:tcPr>
                  <w:tcW w:w="778" w:type="pct"/>
                  <w:shd w:val="clear" w:color="auto" w:fill="auto"/>
                  <w:vAlign w:val="top"/>
                </w:tcPr>
                <w:p w14:paraId="64DFD7C4">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default" w:ascii="Times New Roman" w:hAnsi="Times New Roman" w:cs="Times New Roman"/>
                      <w:color w:val="auto"/>
                      <w:spacing w:val="-1"/>
                      <w:sz w:val="21"/>
                      <w:szCs w:val="21"/>
                    </w:rPr>
                    <w:t>2506101W040</w:t>
                  </w:r>
                </w:p>
              </w:tc>
            </w:tr>
            <w:tr w14:paraId="1AAE912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607" w:type="pct"/>
                  <w:vMerge w:val="continue"/>
                  <w:tcBorders>
                    <w:top w:val="nil"/>
                    <w:bottom w:val="nil"/>
                  </w:tcBorders>
                  <w:vAlign w:val="center"/>
                </w:tcPr>
                <w:p w14:paraId="6FAA33BC">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744" w:type="pct"/>
                  <w:vMerge w:val="continue"/>
                  <w:tcBorders>
                    <w:top w:val="nil"/>
                    <w:bottom w:val="nil"/>
                  </w:tcBorders>
                  <w:vAlign w:val="center"/>
                </w:tcPr>
                <w:p w14:paraId="0EC20BF6">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2"/>
                      <w:sz w:val="21"/>
                      <w:szCs w:val="21"/>
                    </w:rPr>
                  </w:pPr>
                </w:p>
              </w:tc>
              <w:tc>
                <w:tcPr>
                  <w:tcW w:w="531" w:type="pct"/>
                  <w:shd w:val="clear" w:color="auto" w:fill="auto"/>
                  <w:vAlign w:val="top"/>
                </w:tcPr>
                <w:p w14:paraId="6E3089EA">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default" w:ascii="Times New Roman" w:hAnsi="Times New Roman" w:cs="Times New Roman"/>
                      <w:color w:val="auto"/>
                      <w:spacing w:val="-1"/>
                      <w:sz w:val="21"/>
                      <w:szCs w:val="21"/>
                    </w:rPr>
                    <w:t>14:42</w:t>
                  </w:r>
                </w:p>
              </w:tc>
              <w:tc>
                <w:tcPr>
                  <w:tcW w:w="778" w:type="pct"/>
                  <w:shd w:val="clear" w:color="auto" w:fill="auto"/>
                  <w:vAlign w:val="top"/>
                </w:tcPr>
                <w:p w14:paraId="315246B9">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default" w:ascii="Times New Roman" w:hAnsi="Times New Roman" w:cs="Times New Roman"/>
                      <w:color w:val="auto"/>
                      <w:spacing w:val="-1"/>
                      <w:sz w:val="21"/>
                      <w:szCs w:val="21"/>
                    </w:rPr>
                    <w:t>0.040</w:t>
                  </w:r>
                </w:p>
              </w:tc>
              <w:tc>
                <w:tcPr>
                  <w:tcW w:w="779" w:type="pct"/>
                  <w:shd w:val="clear" w:color="auto" w:fill="auto"/>
                  <w:vAlign w:val="top"/>
                </w:tcPr>
                <w:p w14:paraId="11B26378">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default" w:ascii="Times New Roman" w:hAnsi="Times New Roman" w:cs="Times New Roman"/>
                      <w:color w:val="auto"/>
                      <w:spacing w:val="-1"/>
                      <w:sz w:val="21"/>
                      <w:szCs w:val="21"/>
                    </w:rPr>
                    <w:t>0.127</w:t>
                  </w:r>
                </w:p>
              </w:tc>
              <w:tc>
                <w:tcPr>
                  <w:tcW w:w="781" w:type="pct"/>
                  <w:shd w:val="clear" w:color="auto" w:fill="auto"/>
                  <w:vAlign w:val="top"/>
                </w:tcPr>
                <w:p w14:paraId="70DF222C">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default" w:ascii="Times New Roman" w:hAnsi="Times New Roman" w:cs="Times New Roman"/>
                      <w:color w:val="auto"/>
                      <w:spacing w:val="-1"/>
                      <w:sz w:val="21"/>
                      <w:szCs w:val="21"/>
                    </w:rPr>
                    <w:t>0.118</w:t>
                  </w:r>
                </w:p>
              </w:tc>
              <w:tc>
                <w:tcPr>
                  <w:tcW w:w="778" w:type="pct"/>
                  <w:shd w:val="clear" w:color="auto" w:fill="auto"/>
                  <w:vAlign w:val="top"/>
                </w:tcPr>
                <w:p w14:paraId="16D0B655">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default" w:ascii="Times New Roman" w:hAnsi="Times New Roman" w:cs="Times New Roman"/>
                      <w:color w:val="auto"/>
                      <w:spacing w:val="-1"/>
                      <w:sz w:val="21"/>
                      <w:szCs w:val="21"/>
                    </w:rPr>
                    <w:t>0.103</w:t>
                  </w:r>
                </w:p>
              </w:tc>
            </w:tr>
            <w:tr w14:paraId="4E6C3E8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607" w:type="pct"/>
                  <w:vMerge w:val="continue"/>
                  <w:tcBorders>
                    <w:top w:val="nil"/>
                    <w:bottom w:val="nil"/>
                  </w:tcBorders>
                  <w:vAlign w:val="center"/>
                </w:tcPr>
                <w:p w14:paraId="3D1AA60A">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744" w:type="pct"/>
                  <w:vMerge w:val="continue"/>
                  <w:tcBorders>
                    <w:top w:val="nil"/>
                    <w:bottom w:val="nil"/>
                  </w:tcBorders>
                  <w:vAlign w:val="center"/>
                </w:tcPr>
                <w:p w14:paraId="14AB2D56">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2"/>
                      <w:sz w:val="21"/>
                      <w:szCs w:val="21"/>
                    </w:rPr>
                  </w:pPr>
                </w:p>
              </w:tc>
              <w:tc>
                <w:tcPr>
                  <w:tcW w:w="531" w:type="pct"/>
                  <w:shd w:val="clear" w:color="auto" w:fill="auto"/>
                  <w:vAlign w:val="top"/>
                </w:tcPr>
                <w:p w14:paraId="3A5AA840">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default" w:ascii="Times New Roman" w:hAnsi="Times New Roman" w:cs="Times New Roman"/>
                      <w:color w:val="auto"/>
                      <w:spacing w:val="-1"/>
                      <w:sz w:val="21"/>
                      <w:szCs w:val="21"/>
                    </w:rPr>
                    <w:t>样品编号</w:t>
                  </w:r>
                </w:p>
              </w:tc>
              <w:tc>
                <w:tcPr>
                  <w:tcW w:w="778" w:type="pct"/>
                  <w:shd w:val="clear" w:color="auto" w:fill="auto"/>
                  <w:vAlign w:val="top"/>
                </w:tcPr>
                <w:p w14:paraId="480EF6A3">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default" w:ascii="Times New Roman" w:hAnsi="Times New Roman" w:cs="Times New Roman"/>
                      <w:color w:val="auto"/>
                      <w:spacing w:val="-1"/>
                      <w:sz w:val="21"/>
                      <w:szCs w:val="21"/>
                    </w:rPr>
                    <w:t>2506101W041</w:t>
                  </w:r>
                </w:p>
              </w:tc>
              <w:tc>
                <w:tcPr>
                  <w:tcW w:w="779" w:type="pct"/>
                  <w:shd w:val="clear" w:color="auto" w:fill="auto"/>
                  <w:vAlign w:val="top"/>
                </w:tcPr>
                <w:p w14:paraId="02281D97">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default" w:ascii="Times New Roman" w:hAnsi="Times New Roman" w:cs="Times New Roman"/>
                      <w:color w:val="auto"/>
                      <w:spacing w:val="-1"/>
                      <w:sz w:val="21"/>
                      <w:szCs w:val="21"/>
                    </w:rPr>
                    <w:t>2506101W042</w:t>
                  </w:r>
                </w:p>
              </w:tc>
              <w:tc>
                <w:tcPr>
                  <w:tcW w:w="781" w:type="pct"/>
                  <w:shd w:val="clear" w:color="auto" w:fill="auto"/>
                  <w:vAlign w:val="top"/>
                </w:tcPr>
                <w:p w14:paraId="42C0A849">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default" w:ascii="Times New Roman" w:hAnsi="Times New Roman" w:cs="Times New Roman"/>
                      <w:color w:val="auto"/>
                      <w:spacing w:val="-1"/>
                      <w:sz w:val="21"/>
                      <w:szCs w:val="21"/>
                    </w:rPr>
                    <w:t>2506101W043</w:t>
                  </w:r>
                </w:p>
              </w:tc>
              <w:tc>
                <w:tcPr>
                  <w:tcW w:w="778" w:type="pct"/>
                  <w:shd w:val="clear" w:color="auto" w:fill="auto"/>
                  <w:vAlign w:val="top"/>
                </w:tcPr>
                <w:p w14:paraId="3A5199DA">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default" w:ascii="Times New Roman" w:hAnsi="Times New Roman" w:cs="Times New Roman"/>
                      <w:color w:val="auto"/>
                      <w:spacing w:val="-1"/>
                      <w:sz w:val="21"/>
                      <w:szCs w:val="21"/>
                    </w:rPr>
                    <w:t>2506101W044</w:t>
                  </w:r>
                </w:p>
              </w:tc>
            </w:tr>
            <w:tr w14:paraId="18710DF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607" w:type="pct"/>
                  <w:vMerge w:val="continue"/>
                  <w:tcBorders>
                    <w:top w:val="nil"/>
                    <w:bottom w:val="nil"/>
                  </w:tcBorders>
                  <w:vAlign w:val="center"/>
                </w:tcPr>
                <w:p w14:paraId="2A9FEDD6">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744" w:type="pct"/>
                  <w:vMerge w:val="continue"/>
                  <w:tcBorders>
                    <w:top w:val="nil"/>
                    <w:bottom w:val="nil"/>
                  </w:tcBorders>
                  <w:vAlign w:val="center"/>
                </w:tcPr>
                <w:p w14:paraId="1FAE017B">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2"/>
                      <w:sz w:val="21"/>
                      <w:szCs w:val="21"/>
                    </w:rPr>
                  </w:pPr>
                </w:p>
              </w:tc>
              <w:tc>
                <w:tcPr>
                  <w:tcW w:w="531" w:type="pct"/>
                  <w:shd w:val="clear" w:color="auto" w:fill="auto"/>
                  <w:vAlign w:val="top"/>
                </w:tcPr>
                <w:p w14:paraId="1C48AD73">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default" w:ascii="Times New Roman" w:hAnsi="Times New Roman" w:cs="Times New Roman"/>
                      <w:color w:val="auto"/>
                      <w:spacing w:val="-1"/>
                      <w:sz w:val="21"/>
                      <w:szCs w:val="21"/>
                    </w:rPr>
                    <w:t>15:46</w:t>
                  </w:r>
                </w:p>
              </w:tc>
              <w:tc>
                <w:tcPr>
                  <w:tcW w:w="778" w:type="pct"/>
                  <w:shd w:val="clear" w:color="auto" w:fill="auto"/>
                  <w:vAlign w:val="top"/>
                </w:tcPr>
                <w:p w14:paraId="4F730655">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default" w:ascii="Times New Roman" w:hAnsi="Times New Roman" w:cs="Times New Roman"/>
                      <w:color w:val="auto"/>
                      <w:spacing w:val="-1"/>
                      <w:sz w:val="21"/>
                      <w:szCs w:val="21"/>
                    </w:rPr>
                    <w:t>0.032</w:t>
                  </w:r>
                </w:p>
              </w:tc>
              <w:tc>
                <w:tcPr>
                  <w:tcW w:w="779" w:type="pct"/>
                  <w:shd w:val="clear" w:color="auto" w:fill="auto"/>
                  <w:vAlign w:val="top"/>
                </w:tcPr>
                <w:p w14:paraId="229154BC">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default" w:ascii="Times New Roman" w:hAnsi="Times New Roman" w:cs="Times New Roman"/>
                      <w:color w:val="auto"/>
                      <w:spacing w:val="-1"/>
                      <w:sz w:val="21"/>
                      <w:szCs w:val="21"/>
                    </w:rPr>
                    <w:t>0.105</w:t>
                  </w:r>
                </w:p>
              </w:tc>
              <w:tc>
                <w:tcPr>
                  <w:tcW w:w="781" w:type="pct"/>
                  <w:shd w:val="clear" w:color="auto" w:fill="auto"/>
                  <w:vAlign w:val="top"/>
                </w:tcPr>
                <w:p w14:paraId="161B91CB">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default" w:ascii="Times New Roman" w:hAnsi="Times New Roman" w:cs="Times New Roman"/>
                      <w:color w:val="auto"/>
                      <w:spacing w:val="-1"/>
                      <w:sz w:val="21"/>
                      <w:szCs w:val="21"/>
                    </w:rPr>
                    <w:t>0.106</w:t>
                  </w:r>
                </w:p>
              </w:tc>
              <w:tc>
                <w:tcPr>
                  <w:tcW w:w="778" w:type="pct"/>
                  <w:shd w:val="clear" w:color="auto" w:fill="auto"/>
                  <w:vAlign w:val="top"/>
                </w:tcPr>
                <w:p w14:paraId="37AD8DF0">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default" w:ascii="Times New Roman" w:hAnsi="Times New Roman" w:cs="Times New Roman"/>
                      <w:color w:val="auto"/>
                      <w:spacing w:val="-1"/>
                      <w:sz w:val="21"/>
                      <w:szCs w:val="21"/>
                    </w:rPr>
                    <w:t>0.114</w:t>
                  </w:r>
                </w:p>
              </w:tc>
            </w:tr>
            <w:tr w14:paraId="4FAC8BE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607" w:type="pct"/>
                  <w:vMerge w:val="continue"/>
                  <w:tcBorders>
                    <w:top w:val="nil"/>
                    <w:bottom w:val="nil"/>
                  </w:tcBorders>
                  <w:vAlign w:val="center"/>
                </w:tcPr>
                <w:p w14:paraId="3767C71D">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744" w:type="pct"/>
                  <w:vMerge w:val="continue"/>
                  <w:tcBorders>
                    <w:top w:val="nil"/>
                    <w:bottom w:val="nil"/>
                  </w:tcBorders>
                  <w:vAlign w:val="center"/>
                </w:tcPr>
                <w:p w14:paraId="68DDF3C3">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2"/>
                      <w:sz w:val="21"/>
                      <w:szCs w:val="21"/>
                    </w:rPr>
                  </w:pPr>
                </w:p>
              </w:tc>
              <w:tc>
                <w:tcPr>
                  <w:tcW w:w="531" w:type="pct"/>
                  <w:shd w:val="clear" w:color="auto" w:fill="auto"/>
                  <w:vAlign w:val="top"/>
                </w:tcPr>
                <w:p w14:paraId="4429E88A">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default" w:ascii="Times New Roman" w:hAnsi="Times New Roman" w:cs="Times New Roman"/>
                      <w:color w:val="auto"/>
                      <w:spacing w:val="-1"/>
                      <w:sz w:val="21"/>
                      <w:szCs w:val="21"/>
                    </w:rPr>
                    <w:t>样品编号</w:t>
                  </w:r>
                </w:p>
              </w:tc>
              <w:tc>
                <w:tcPr>
                  <w:tcW w:w="778" w:type="pct"/>
                  <w:shd w:val="clear" w:color="auto" w:fill="auto"/>
                  <w:vAlign w:val="top"/>
                </w:tcPr>
                <w:p w14:paraId="1C25758A">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default" w:ascii="Times New Roman" w:hAnsi="Times New Roman" w:cs="Times New Roman"/>
                      <w:color w:val="auto"/>
                      <w:spacing w:val="-1"/>
                      <w:sz w:val="21"/>
                      <w:szCs w:val="21"/>
                    </w:rPr>
                    <w:t>2506101W045</w:t>
                  </w:r>
                </w:p>
              </w:tc>
              <w:tc>
                <w:tcPr>
                  <w:tcW w:w="779" w:type="pct"/>
                  <w:shd w:val="clear" w:color="auto" w:fill="auto"/>
                  <w:vAlign w:val="top"/>
                </w:tcPr>
                <w:p w14:paraId="63306234">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default" w:ascii="Times New Roman" w:hAnsi="Times New Roman" w:cs="Times New Roman"/>
                      <w:color w:val="auto"/>
                      <w:spacing w:val="-1"/>
                      <w:sz w:val="21"/>
                      <w:szCs w:val="21"/>
                    </w:rPr>
                    <w:t>2506101W046</w:t>
                  </w:r>
                </w:p>
              </w:tc>
              <w:tc>
                <w:tcPr>
                  <w:tcW w:w="781" w:type="pct"/>
                  <w:shd w:val="clear" w:color="auto" w:fill="auto"/>
                  <w:vAlign w:val="top"/>
                </w:tcPr>
                <w:p w14:paraId="59720FDD">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default" w:ascii="Times New Roman" w:hAnsi="Times New Roman" w:cs="Times New Roman"/>
                      <w:color w:val="auto"/>
                      <w:spacing w:val="-1"/>
                      <w:sz w:val="21"/>
                      <w:szCs w:val="21"/>
                    </w:rPr>
                    <w:t>2506101W047</w:t>
                  </w:r>
                </w:p>
              </w:tc>
              <w:tc>
                <w:tcPr>
                  <w:tcW w:w="778" w:type="pct"/>
                  <w:shd w:val="clear" w:color="auto" w:fill="auto"/>
                  <w:vAlign w:val="top"/>
                </w:tcPr>
                <w:p w14:paraId="37C26A38">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default" w:ascii="Times New Roman" w:hAnsi="Times New Roman" w:cs="Times New Roman"/>
                      <w:color w:val="auto"/>
                      <w:spacing w:val="-1"/>
                      <w:sz w:val="21"/>
                      <w:szCs w:val="21"/>
                    </w:rPr>
                    <w:t>2506101W048</w:t>
                  </w:r>
                </w:p>
              </w:tc>
            </w:tr>
            <w:tr w14:paraId="24C502D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607" w:type="pct"/>
                  <w:vMerge w:val="continue"/>
                  <w:tcBorders>
                    <w:top w:val="nil"/>
                  </w:tcBorders>
                  <w:vAlign w:val="center"/>
                </w:tcPr>
                <w:p w14:paraId="13396FB9">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744" w:type="pct"/>
                  <w:vMerge w:val="continue"/>
                  <w:tcBorders>
                    <w:top w:val="nil"/>
                  </w:tcBorders>
                  <w:vAlign w:val="center"/>
                </w:tcPr>
                <w:p w14:paraId="65EF6EBB">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2"/>
                      <w:sz w:val="21"/>
                      <w:szCs w:val="21"/>
                    </w:rPr>
                  </w:pPr>
                </w:p>
              </w:tc>
              <w:tc>
                <w:tcPr>
                  <w:tcW w:w="531" w:type="pct"/>
                  <w:shd w:val="clear" w:color="auto" w:fill="auto"/>
                  <w:vAlign w:val="top"/>
                </w:tcPr>
                <w:p w14:paraId="74ABA297">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default" w:ascii="Times New Roman" w:hAnsi="Times New Roman" w:cs="Times New Roman"/>
                      <w:color w:val="auto"/>
                      <w:spacing w:val="-1"/>
                      <w:sz w:val="21"/>
                      <w:szCs w:val="21"/>
                    </w:rPr>
                    <w:t>17:09</w:t>
                  </w:r>
                </w:p>
              </w:tc>
              <w:tc>
                <w:tcPr>
                  <w:tcW w:w="778" w:type="pct"/>
                  <w:shd w:val="clear" w:color="auto" w:fill="auto"/>
                  <w:vAlign w:val="top"/>
                </w:tcPr>
                <w:p w14:paraId="6844BFB7">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default" w:ascii="Times New Roman" w:hAnsi="Times New Roman" w:cs="Times New Roman"/>
                      <w:color w:val="auto"/>
                      <w:spacing w:val="-1"/>
                      <w:sz w:val="21"/>
                      <w:szCs w:val="21"/>
                    </w:rPr>
                    <w:t>0.034</w:t>
                  </w:r>
                </w:p>
              </w:tc>
              <w:tc>
                <w:tcPr>
                  <w:tcW w:w="779" w:type="pct"/>
                  <w:shd w:val="clear" w:color="auto" w:fill="auto"/>
                  <w:vAlign w:val="top"/>
                </w:tcPr>
                <w:p w14:paraId="3153A3DC">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default" w:ascii="Times New Roman" w:hAnsi="Times New Roman" w:cs="Times New Roman"/>
                      <w:color w:val="auto"/>
                      <w:spacing w:val="-1"/>
                      <w:sz w:val="21"/>
                      <w:szCs w:val="21"/>
                    </w:rPr>
                    <w:t>0.111</w:t>
                  </w:r>
                </w:p>
              </w:tc>
              <w:tc>
                <w:tcPr>
                  <w:tcW w:w="781" w:type="pct"/>
                  <w:shd w:val="clear" w:color="auto" w:fill="auto"/>
                  <w:vAlign w:val="top"/>
                </w:tcPr>
                <w:p w14:paraId="48D512FE">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default" w:ascii="Times New Roman" w:hAnsi="Times New Roman" w:cs="Times New Roman"/>
                      <w:color w:val="auto"/>
                      <w:spacing w:val="-1"/>
                      <w:sz w:val="21"/>
                      <w:szCs w:val="21"/>
                    </w:rPr>
                    <w:t>0.113</w:t>
                  </w:r>
                </w:p>
              </w:tc>
              <w:tc>
                <w:tcPr>
                  <w:tcW w:w="778" w:type="pct"/>
                  <w:shd w:val="clear" w:color="auto" w:fill="auto"/>
                  <w:vAlign w:val="top"/>
                </w:tcPr>
                <w:p w14:paraId="6435ECFD">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default" w:ascii="Times New Roman" w:hAnsi="Times New Roman" w:cs="Times New Roman"/>
                      <w:color w:val="auto"/>
                      <w:spacing w:val="-1"/>
                      <w:sz w:val="21"/>
                      <w:szCs w:val="21"/>
                    </w:rPr>
                    <w:t>0.112</w:t>
                  </w:r>
                </w:p>
              </w:tc>
            </w:tr>
            <w:tr w14:paraId="1B3DD38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352" w:type="pct"/>
                  <w:gridSpan w:val="2"/>
                  <w:vAlign w:val="center"/>
                </w:tcPr>
                <w:p w14:paraId="45062085">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2"/>
                      <w:sz w:val="21"/>
                      <w:szCs w:val="21"/>
                    </w:rPr>
                    <w:t>备注</w:t>
                  </w:r>
                </w:p>
              </w:tc>
              <w:tc>
                <w:tcPr>
                  <w:tcW w:w="3647" w:type="pct"/>
                  <w:gridSpan w:val="5"/>
                  <w:vAlign w:val="center"/>
                </w:tcPr>
                <w:p w14:paraId="6A31C0CA">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bl>
          <w:p w14:paraId="605C367F">
            <w:pPr>
              <w:keepNext w:val="0"/>
              <w:keepLines w:val="0"/>
              <w:pageBreakBefore w:val="0"/>
              <w:widowControl w:val="0"/>
              <w:numPr>
                <w:ilvl w:val="0"/>
                <w:numId w:val="14"/>
              </w:numPr>
              <w:kinsoku/>
              <w:wordWrap/>
              <w:overflowPunct/>
              <w:topLinePunct w:val="0"/>
              <w:autoSpaceDE w:val="0"/>
              <w:autoSpaceDN w:val="0"/>
              <w:bidi w:val="0"/>
              <w:adjustRightInd w:val="0"/>
              <w:snapToGrid/>
              <w:spacing w:line="360" w:lineRule="auto"/>
              <w:ind w:left="0" w:leftChars="0" w:firstLine="0" w:firstLineChars="0"/>
              <w:jc w:val="center"/>
              <w:textAlignment w:val="auto"/>
              <w:rPr>
                <w:rFonts w:hint="default" w:cs="Times New Roman"/>
                <w:b/>
                <w:bCs/>
                <w:color w:val="auto"/>
                <w:kern w:val="0"/>
                <w:sz w:val="24"/>
                <w:szCs w:val="24"/>
                <w:lang w:val="en-US" w:eastAsia="zh-CN" w:bidi="ar"/>
              </w:rPr>
            </w:pPr>
            <w:r>
              <w:rPr>
                <w:rFonts w:hint="eastAsia" w:cs="Times New Roman"/>
                <w:b/>
                <w:bCs/>
                <w:color w:val="auto"/>
                <w:kern w:val="0"/>
                <w:sz w:val="24"/>
                <w:szCs w:val="24"/>
                <w:lang w:val="en-US" w:eastAsia="zh-CN" w:bidi="ar"/>
              </w:rPr>
              <w:t>无组织废气检测结果一览表（二）</w:t>
            </w:r>
          </w:p>
          <w:tbl>
            <w:tblPr>
              <w:tblStyle w:val="89"/>
              <w:tblW w:w="4997"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568"/>
              <w:gridCol w:w="1071"/>
              <w:gridCol w:w="902"/>
              <w:gridCol w:w="1224"/>
              <w:gridCol w:w="1224"/>
              <w:gridCol w:w="1224"/>
              <w:gridCol w:w="1228"/>
            </w:tblGrid>
            <w:tr w14:paraId="65028FB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2097" w:type="pct"/>
                  <w:gridSpan w:val="3"/>
                  <w:tcBorders>
                    <w:tl2br w:val="single" w:color="000000" w:sz="4" w:space="0"/>
                  </w:tcBorders>
                  <w:vAlign w:val="center"/>
                </w:tcPr>
                <w:p w14:paraId="48293767">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right"/>
                    <w:textAlignment w:val="auto"/>
                    <w:rPr>
                      <w:rFonts w:hint="default" w:ascii="Times New Roman" w:hAnsi="Times New Roman" w:cs="Times New Roman"/>
                      <w:color w:val="auto"/>
                      <w:spacing w:val="-1"/>
                      <w:sz w:val="21"/>
                      <w:szCs w:val="21"/>
                    </w:rPr>
                  </w:pPr>
                  <w:r>
                    <w:rPr>
                      <w:rFonts w:hint="default" w:ascii="Times New Roman" w:hAnsi="Times New Roman" w:cs="Times New Roman"/>
                      <w:color w:val="auto"/>
                      <w:spacing w:val="-1"/>
                      <w:sz w:val="21"/>
                      <w:szCs w:val="21"/>
                    </w:rPr>
                    <w:t>采样点位</w:t>
                  </w:r>
                </w:p>
                <w:p w14:paraId="778487A6">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left"/>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检测项目</w:t>
                  </w:r>
                  <w:r>
                    <w:rPr>
                      <w:rFonts w:hint="eastAsia" w:ascii="Times New Roman" w:hAnsi="Times New Roman" w:cs="Times New Roman"/>
                      <w:color w:val="auto"/>
                      <w:spacing w:val="-1"/>
                      <w:sz w:val="21"/>
                      <w:szCs w:val="21"/>
                      <w:lang w:eastAsia="zh-CN"/>
                    </w:rPr>
                    <w:t>、</w:t>
                  </w:r>
                  <w:r>
                    <w:rPr>
                      <w:rFonts w:hint="default" w:ascii="Times New Roman" w:hAnsi="Times New Roman" w:cs="Times New Roman"/>
                      <w:color w:val="auto"/>
                      <w:spacing w:val="-1"/>
                      <w:sz w:val="21"/>
                      <w:szCs w:val="21"/>
                    </w:rPr>
                    <w:t>采样时间</w:t>
                  </w:r>
                </w:p>
              </w:tc>
              <w:tc>
                <w:tcPr>
                  <w:tcW w:w="725" w:type="pct"/>
                  <w:vAlign w:val="center"/>
                </w:tcPr>
                <w:p w14:paraId="6D776A7D">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上风向O1#</w:t>
                  </w:r>
                </w:p>
              </w:tc>
              <w:tc>
                <w:tcPr>
                  <w:tcW w:w="725" w:type="pct"/>
                  <w:vAlign w:val="center"/>
                </w:tcPr>
                <w:p w14:paraId="0EE8CDCD">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2"/>
                      <w:sz w:val="21"/>
                      <w:szCs w:val="21"/>
                    </w:rPr>
                    <w:t>下风向O2#</w:t>
                  </w:r>
                </w:p>
              </w:tc>
              <w:tc>
                <w:tcPr>
                  <w:tcW w:w="725" w:type="pct"/>
                  <w:vAlign w:val="center"/>
                </w:tcPr>
                <w:p w14:paraId="0AD9EAA2">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2"/>
                      <w:sz w:val="21"/>
                      <w:szCs w:val="21"/>
                    </w:rPr>
                    <w:t>下风向O3#</w:t>
                  </w:r>
                </w:p>
              </w:tc>
              <w:tc>
                <w:tcPr>
                  <w:tcW w:w="725" w:type="pct"/>
                  <w:vAlign w:val="center"/>
                </w:tcPr>
                <w:p w14:paraId="15DDB8F2">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2"/>
                      <w:sz w:val="21"/>
                      <w:szCs w:val="21"/>
                    </w:rPr>
                    <w:t>下风向O4#</w:t>
                  </w:r>
                </w:p>
              </w:tc>
            </w:tr>
            <w:tr w14:paraId="13C041D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929" w:type="pct"/>
                  <w:vMerge w:val="restart"/>
                  <w:tcBorders>
                    <w:bottom w:val="nil"/>
                  </w:tcBorders>
                  <w:vAlign w:val="center"/>
                </w:tcPr>
                <w:p w14:paraId="7524EBC8">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Times New Roman" w:hAnsi="Times New Roman" w:cs="Times New Roman"/>
                      <w:color w:val="auto"/>
                      <w:spacing w:val="-1"/>
                      <w:sz w:val="21"/>
                      <w:szCs w:val="21"/>
                      <w:lang w:eastAsia="zh-CN"/>
                    </w:rPr>
                  </w:pPr>
                  <w:r>
                    <w:rPr>
                      <w:rFonts w:hint="eastAsia" w:ascii="Times New Roman" w:hAnsi="Times New Roman" w:cs="Times New Roman"/>
                      <w:color w:val="auto"/>
                      <w:spacing w:val="-1"/>
                      <w:sz w:val="21"/>
                      <w:szCs w:val="21"/>
                      <w:lang w:eastAsia="zh-CN"/>
                    </w:rPr>
                    <w:t>VOCs（以</w:t>
                  </w:r>
                </w:p>
                <w:p w14:paraId="326F1F32">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Times New Roman" w:hAnsi="Times New Roman" w:eastAsia="宋体" w:cs="Times New Roman"/>
                      <w:color w:val="auto"/>
                      <w:spacing w:val="-1"/>
                      <w:sz w:val="21"/>
                      <w:szCs w:val="21"/>
                      <w:lang w:eastAsia="zh-CN"/>
                    </w:rPr>
                  </w:pPr>
                  <w:r>
                    <w:rPr>
                      <w:rFonts w:hint="eastAsia" w:ascii="Times New Roman" w:hAnsi="Times New Roman" w:cs="Times New Roman"/>
                      <w:color w:val="auto"/>
                      <w:spacing w:val="-1"/>
                      <w:sz w:val="21"/>
                      <w:szCs w:val="21"/>
                      <w:lang w:eastAsia="zh-CN"/>
                    </w:rPr>
                    <w:t>非甲烷总烃计）</w:t>
                  </w:r>
                </w:p>
                <w:p w14:paraId="76F19431">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Times New Roman" w:hAnsi="Times New Roman" w:eastAsia="宋体" w:cs="Times New Roman"/>
                      <w:color w:val="auto"/>
                      <w:sz w:val="21"/>
                      <w:szCs w:val="21"/>
                      <w:lang w:eastAsia="zh-CN"/>
                    </w:rPr>
                  </w:pPr>
                  <w:r>
                    <w:rPr>
                      <w:rFonts w:hint="eastAsia" w:ascii="Times New Roman" w:hAnsi="Times New Roman" w:cs="Times New Roman"/>
                      <w:color w:val="auto"/>
                      <w:spacing w:val="-4"/>
                      <w:sz w:val="21"/>
                      <w:szCs w:val="21"/>
                      <w:lang w:eastAsia="zh-CN"/>
                    </w:rPr>
                    <w:t>（</w:t>
                  </w:r>
                  <w:r>
                    <w:rPr>
                      <w:rFonts w:hint="default" w:ascii="Times New Roman" w:hAnsi="Times New Roman" w:cs="Times New Roman"/>
                      <w:color w:val="auto"/>
                      <w:spacing w:val="-4"/>
                      <w:sz w:val="21"/>
                      <w:szCs w:val="21"/>
                    </w:rPr>
                    <w:t>mg/m³</w:t>
                  </w:r>
                  <w:r>
                    <w:rPr>
                      <w:rFonts w:hint="eastAsia" w:ascii="Times New Roman" w:hAnsi="Times New Roman" w:cs="Times New Roman"/>
                      <w:color w:val="auto"/>
                      <w:spacing w:val="-4"/>
                      <w:sz w:val="21"/>
                      <w:szCs w:val="21"/>
                      <w:lang w:eastAsia="zh-CN"/>
                    </w:rPr>
                    <w:t>）</w:t>
                  </w:r>
                </w:p>
              </w:tc>
              <w:tc>
                <w:tcPr>
                  <w:tcW w:w="633" w:type="pct"/>
                  <w:vMerge w:val="restart"/>
                  <w:tcBorders>
                    <w:bottom w:val="nil"/>
                  </w:tcBorders>
                  <w:vAlign w:val="center"/>
                </w:tcPr>
                <w:p w14:paraId="0BF7BC97">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rPr>
                  </w:pPr>
                  <w:r>
                    <w:rPr>
                      <w:rFonts w:hint="default" w:ascii="Times New Roman" w:hAnsi="Times New Roman" w:cs="Times New Roman"/>
                      <w:color w:val="auto"/>
                      <w:spacing w:val="-1"/>
                      <w:sz w:val="21"/>
                      <w:szCs w:val="21"/>
                    </w:rPr>
                    <w:t>2025年</w:t>
                  </w:r>
                </w:p>
                <w:p w14:paraId="162E863F">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rPr>
                  </w:pPr>
                  <w:r>
                    <w:rPr>
                      <w:rFonts w:hint="eastAsia" w:ascii="Times New Roman" w:hAnsi="Times New Roman" w:cs="Times New Roman"/>
                      <w:color w:val="auto"/>
                      <w:spacing w:val="-1"/>
                      <w:sz w:val="21"/>
                      <w:szCs w:val="21"/>
                      <w:lang w:val="en-US" w:eastAsia="zh-CN"/>
                    </w:rPr>
                    <w:t>12</w:t>
                  </w:r>
                  <w:r>
                    <w:rPr>
                      <w:rFonts w:hint="default" w:ascii="Times New Roman" w:hAnsi="Times New Roman" w:cs="Times New Roman"/>
                      <w:color w:val="auto"/>
                      <w:spacing w:val="-1"/>
                      <w:sz w:val="21"/>
                      <w:szCs w:val="21"/>
                    </w:rPr>
                    <w:t>月</w:t>
                  </w:r>
                  <w:r>
                    <w:rPr>
                      <w:rFonts w:hint="eastAsia" w:ascii="Times New Roman" w:hAnsi="Times New Roman" w:cs="Times New Roman"/>
                      <w:color w:val="auto"/>
                      <w:spacing w:val="-1"/>
                      <w:sz w:val="21"/>
                      <w:szCs w:val="21"/>
                      <w:lang w:val="en-US" w:eastAsia="zh-CN"/>
                    </w:rPr>
                    <w:t>08</w:t>
                  </w:r>
                  <w:r>
                    <w:rPr>
                      <w:rFonts w:hint="default" w:ascii="Times New Roman" w:hAnsi="Times New Roman" w:cs="Times New Roman"/>
                      <w:color w:val="auto"/>
                      <w:spacing w:val="-1"/>
                      <w:sz w:val="21"/>
                      <w:szCs w:val="21"/>
                    </w:rPr>
                    <w:t>日</w:t>
                  </w:r>
                </w:p>
              </w:tc>
              <w:tc>
                <w:tcPr>
                  <w:tcW w:w="534" w:type="pct"/>
                  <w:shd w:val="clear" w:color="auto" w:fill="auto"/>
                  <w:vAlign w:val="top"/>
                </w:tcPr>
                <w:p w14:paraId="4C2AD597">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样品编号</w:t>
                  </w:r>
                </w:p>
              </w:tc>
              <w:tc>
                <w:tcPr>
                  <w:tcW w:w="725" w:type="pct"/>
                  <w:shd w:val="clear" w:color="auto" w:fill="auto"/>
                  <w:vAlign w:val="top"/>
                </w:tcPr>
                <w:p w14:paraId="504E72C3">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251293W001</w:t>
                  </w:r>
                </w:p>
              </w:tc>
              <w:tc>
                <w:tcPr>
                  <w:tcW w:w="725" w:type="pct"/>
                  <w:shd w:val="clear" w:color="auto" w:fill="auto"/>
                  <w:vAlign w:val="top"/>
                </w:tcPr>
                <w:p w14:paraId="19D7BB21">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251293W002</w:t>
                  </w:r>
                </w:p>
              </w:tc>
              <w:tc>
                <w:tcPr>
                  <w:tcW w:w="725" w:type="pct"/>
                  <w:shd w:val="clear" w:color="auto" w:fill="auto"/>
                  <w:vAlign w:val="top"/>
                </w:tcPr>
                <w:p w14:paraId="5758A51F">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251293W003</w:t>
                  </w:r>
                </w:p>
              </w:tc>
              <w:tc>
                <w:tcPr>
                  <w:tcW w:w="725" w:type="pct"/>
                  <w:shd w:val="clear" w:color="auto" w:fill="auto"/>
                  <w:vAlign w:val="top"/>
                </w:tcPr>
                <w:p w14:paraId="0717F5BC">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251293W004</w:t>
                  </w:r>
                </w:p>
              </w:tc>
            </w:tr>
            <w:tr w14:paraId="42C3852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929" w:type="pct"/>
                  <w:vMerge w:val="continue"/>
                  <w:tcBorders>
                    <w:top w:val="nil"/>
                    <w:bottom w:val="nil"/>
                  </w:tcBorders>
                  <w:vAlign w:val="center"/>
                </w:tcPr>
                <w:p w14:paraId="1311683B">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633" w:type="pct"/>
                  <w:vMerge w:val="continue"/>
                  <w:tcBorders>
                    <w:top w:val="nil"/>
                    <w:bottom w:val="nil"/>
                  </w:tcBorders>
                  <w:vAlign w:val="center"/>
                </w:tcPr>
                <w:p w14:paraId="1FE663CE">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rPr>
                  </w:pPr>
                </w:p>
              </w:tc>
              <w:tc>
                <w:tcPr>
                  <w:tcW w:w="534" w:type="pct"/>
                  <w:shd w:val="clear" w:color="auto" w:fill="auto"/>
                  <w:vAlign w:val="top"/>
                </w:tcPr>
                <w:p w14:paraId="11ED07CF">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1</w:t>
                  </w:r>
                </w:p>
              </w:tc>
              <w:tc>
                <w:tcPr>
                  <w:tcW w:w="725" w:type="pct"/>
                  <w:shd w:val="clear" w:color="auto" w:fill="auto"/>
                  <w:vAlign w:val="top"/>
                </w:tcPr>
                <w:p w14:paraId="23D2DD28">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0.72</w:t>
                  </w:r>
                </w:p>
              </w:tc>
              <w:tc>
                <w:tcPr>
                  <w:tcW w:w="725" w:type="pct"/>
                  <w:shd w:val="clear" w:color="auto" w:fill="auto"/>
                  <w:vAlign w:val="top"/>
                </w:tcPr>
                <w:p w14:paraId="697F1546">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1.18</w:t>
                  </w:r>
                </w:p>
              </w:tc>
              <w:tc>
                <w:tcPr>
                  <w:tcW w:w="725" w:type="pct"/>
                  <w:shd w:val="clear" w:color="auto" w:fill="auto"/>
                  <w:vAlign w:val="top"/>
                </w:tcPr>
                <w:p w14:paraId="2B6A2CF6">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1.07</w:t>
                  </w:r>
                </w:p>
              </w:tc>
              <w:tc>
                <w:tcPr>
                  <w:tcW w:w="725" w:type="pct"/>
                  <w:shd w:val="clear" w:color="auto" w:fill="auto"/>
                  <w:vAlign w:val="top"/>
                </w:tcPr>
                <w:p w14:paraId="51E642DB">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1.10</w:t>
                  </w:r>
                </w:p>
              </w:tc>
            </w:tr>
            <w:tr w14:paraId="67F7DFA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929" w:type="pct"/>
                  <w:vMerge w:val="continue"/>
                  <w:tcBorders>
                    <w:top w:val="nil"/>
                    <w:bottom w:val="nil"/>
                  </w:tcBorders>
                  <w:vAlign w:val="center"/>
                </w:tcPr>
                <w:p w14:paraId="01C71983">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633" w:type="pct"/>
                  <w:vMerge w:val="continue"/>
                  <w:tcBorders>
                    <w:top w:val="nil"/>
                    <w:bottom w:val="nil"/>
                  </w:tcBorders>
                  <w:vAlign w:val="center"/>
                </w:tcPr>
                <w:p w14:paraId="0C45E3A7">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534" w:type="pct"/>
                  <w:shd w:val="clear" w:color="auto" w:fill="auto"/>
                  <w:vAlign w:val="top"/>
                </w:tcPr>
                <w:p w14:paraId="2BD402CD">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样品编号</w:t>
                  </w:r>
                </w:p>
              </w:tc>
              <w:tc>
                <w:tcPr>
                  <w:tcW w:w="725" w:type="pct"/>
                  <w:shd w:val="clear" w:color="auto" w:fill="auto"/>
                  <w:vAlign w:val="top"/>
                </w:tcPr>
                <w:p w14:paraId="7DC3D1D6">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251293W005</w:t>
                  </w:r>
                </w:p>
              </w:tc>
              <w:tc>
                <w:tcPr>
                  <w:tcW w:w="725" w:type="pct"/>
                  <w:shd w:val="clear" w:color="auto" w:fill="auto"/>
                  <w:vAlign w:val="top"/>
                </w:tcPr>
                <w:p w14:paraId="7953CC61">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251293W006</w:t>
                  </w:r>
                </w:p>
              </w:tc>
              <w:tc>
                <w:tcPr>
                  <w:tcW w:w="725" w:type="pct"/>
                  <w:shd w:val="clear" w:color="auto" w:fill="auto"/>
                  <w:vAlign w:val="top"/>
                </w:tcPr>
                <w:p w14:paraId="7D092A6E">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251293W007</w:t>
                  </w:r>
                </w:p>
              </w:tc>
              <w:tc>
                <w:tcPr>
                  <w:tcW w:w="725" w:type="pct"/>
                  <w:shd w:val="clear" w:color="auto" w:fill="auto"/>
                  <w:vAlign w:val="top"/>
                </w:tcPr>
                <w:p w14:paraId="62DDE255">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251293W008</w:t>
                  </w:r>
                </w:p>
              </w:tc>
            </w:tr>
            <w:tr w14:paraId="712C8D1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929" w:type="pct"/>
                  <w:vMerge w:val="continue"/>
                  <w:tcBorders>
                    <w:top w:val="nil"/>
                    <w:bottom w:val="nil"/>
                  </w:tcBorders>
                  <w:vAlign w:val="center"/>
                </w:tcPr>
                <w:p w14:paraId="0D665C92">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633" w:type="pct"/>
                  <w:vMerge w:val="continue"/>
                  <w:tcBorders>
                    <w:top w:val="nil"/>
                    <w:bottom w:val="nil"/>
                  </w:tcBorders>
                  <w:vAlign w:val="center"/>
                </w:tcPr>
                <w:p w14:paraId="5E57A05D">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534" w:type="pct"/>
                  <w:shd w:val="clear" w:color="auto" w:fill="auto"/>
                  <w:vAlign w:val="top"/>
                </w:tcPr>
                <w:p w14:paraId="45DF7338">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2</w:t>
                  </w:r>
                </w:p>
              </w:tc>
              <w:tc>
                <w:tcPr>
                  <w:tcW w:w="725" w:type="pct"/>
                  <w:shd w:val="clear" w:color="auto" w:fill="auto"/>
                  <w:vAlign w:val="top"/>
                </w:tcPr>
                <w:p w14:paraId="289950D9">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0.84</w:t>
                  </w:r>
                </w:p>
              </w:tc>
              <w:tc>
                <w:tcPr>
                  <w:tcW w:w="725" w:type="pct"/>
                  <w:shd w:val="clear" w:color="auto" w:fill="auto"/>
                  <w:vAlign w:val="top"/>
                </w:tcPr>
                <w:p w14:paraId="6CC8CC08">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1.19</w:t>
                  </w:r>
                </w:p>
              </w:tc>
              <w:tc>
                <w:tcPr>
                  <w:tcW w:w="725" w:type="pct"/>
                  <w:shd w:val="clear" w:color="auto" w:fill="auto"/>
                  <w:vAlign w:val="top"/>
                </w:tcPr>
                <w:p w14:paraId="6E267669">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1.00</w:t>
                  </w:r>
                </w:p>
              </w:tc>
              <w:tc>
                <w:tcPr>
                  <w:tcW w:w="725" w:type="pct"/>
                  <w:shd w:val="clear" w:color="auto" w:fill="auto"/>
                  <w:vAlign w:val="top"/>
                </w:tcPr>
                <w:p w14:paraId="08F1EAD9">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1.08</w:t>
                  </w:r>
                </w:p>
              </w:tc>
            </w:tr>
            <w:tr w14:paraId="36631D2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929" w:type="pct"/>
                  <w:vMerge w:val="continue"/>
                  <w:tcBorders>
                    <w:top w:val="nil"/>
                    <w:bottom w:val="nil"/>
                  </w:tcBorders>
                  <w:vAlign w:val="center"/>
                </w:tcPr>
                <w:p w14:paraId="1B915233">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633" w:type="pct"/>
                  <w:vMerge w:val="continue"/>
                  <w:tcBorders>
                    <w:top w:val="nil"/>
                    <w:bottom w:val="nil"/>
                  </w:tcBorders>
                  <w:vAlign w:val="center"/>
                </w:tcPr>
                <w:p w14:paraId="7099AF5B">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534" w:type="pct"/>
                  <w:shd w:val="clear" w:color="auto" w:fill="auto"/>
                  <w:vAlign w:val="top"/>
                </w:tcPr>
                <w:p w14:paraId="34E43B68">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样品编号</w:t>
                  </w:r>
                </w:p>
              </w:tc>
              <w:tc>
                <w:tcPr>
                  <w:tcW w:w="725" w:type="pct"/>
                  <w:shd w:val="clear" w:color="auto" w:fill="auto"/>
                  <w:vAlign w:val="top"/>
                </w:tcPr>
                <w:p w14:paraId="044537EF">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251293W009</w:t>
                  </w:r>
                </w:p>
              </w:tc>
              <w:tc>
                <w:tcPr>
                  <w:tcW w:w="725" w:type="pct"/>
                  <w:shd w:val="clear" w:color="auto" w:fill="auto"/>
                  <w:vAlign w:val="top"/>
                </w:tcPr>
                <w:p w14:paraId="34489976">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251293W010</w:t>
                  </w:r>
                </w:p>
              </w:tc>
              <w:tc>
                <w:tcPr>
                  <w:tcW w:w="725" w:type="pct"/>
                  <w:shd w:val="clear" w:color="auto" w:fill="auto"/>
                  <w:vAlign w:val="top"/>
                </w:tcPr>
                <w:p w14:paraId="0B43DD12">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251293W011</w:t>
                  </w:r>
                </w:p>
              </w:tc>
              <w:tc>
                <w:tcPr>
                  <w:tcW w:w="725" w:type="pct"/>
                  <w:shd w:val="clear" w:color="auto" w:fill="auto"/>
                  <w:vAlign w:val="top"/>
                </w:tcPr>
                <w:p w14:paraId="6204FB70">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251293W012</w:t>
                  </w:r>
                </w:p>
              </w:tc>
            </w:tr>
            <w:tr w14:paraId="5C417F8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929" w:type="pct"/>
                  <w:vMerge w:val="continue"/>
                  <w:tcBorders>
                    <w:top w:val="nil"/>
                    <w:bottom w:val="nil"/>
                  </w:tcBorders>
                  <w:vAlign w:val="center"/>
                </w:tcPr>
                <w:p w14:paraId="5C64B129">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633" w:type="pct"/>
                  <w:vMerge w:val="continue"/>
                  <w:tcBorders>
                    <w:top w:val="nil"/>
                    <w:bottom w:val="nil"/>
                  </w:tcBorders>
                  <w:vAlign w:val="center"/>
                </w:tcPr>
                <w:p w14:paraId="4BAD0B59">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534" w:type="pct"/>
                  <w:shd w:val="clear" w:color="auto" w:fill="auto"/>
                  <w:vAlign w:val="top"/>
                </w:tcPr>
                <w:p w14:paraId="59EA310B">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3</w:t>
                  </w:r>
                </w:p>
              </w:tc>
              <w:tc>
                <w:tcPr>
                  <w:tcW w:w="725" w:type="pct"/>
                  <w:shd w:val="clear" w:color="auto" w:fill="auto"/>
                  <w:vAlign w:val="top"/>
                </w:tcPr>
                <w:p w14:paraId="68ADAE92">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0.93</w:t>
                  </w:r>
                </w:p>
              </w:tc>
              <w:tc>
                <w:tcPr>
                  <w:tcW w:w="725" w:type="pct"/>
                  <w:shd w:val="clear" w:color="auto" w:fill="auto"/>
                  <w:vAlign w:val="top"/>
                </w:tcPr>
                <w:p w14:paraId="4A488D47">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1.10</w:t>
                  </w:r>
                </w:p>
              </w:tc>
              <w:tc>
                <w:tcPr>
                  <w:tcW w:w="725" w:type="pct"/>
                  <w:shd w:val="clear" w:color="auto" w:fill="auto"/>
                  <w:vAlign w:val="top"/>
                </w:tcPr>
                <w:p w14:paraId="79632989">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1.18</w:t>
                  </w:r>
                </w:p>
              </w:tc>
              <w:tc>
                <w:tcPr>
                  <w:tcW w:w="725" w:type="pct"/>
                  <w:shd w:val="clear" w:color="auto" w:fill="auto"/>
                  <w:vAlign w:val="top"/>
                </w:tcPr>
                <w:p w14:paraId="63E6FA5A">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1.02</w:t>
                  </w:r>
                </w:p>
              </w:tc>
            </w:tr>
            <w:tr w14:paraId="69678EE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929" w:type="pct"/>
                  <w:vMerge w:val="continue"/>
                  <w:tcBorders>
                    <w:top w:val="nil"/>
                    <w:bottom w:val="nil"/>
                  </w:tcBorders>
                  <w:vAlign w:val="center"/>
                </w:tcPr>
                <w:p w14:paraId="18D41315">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633" w:type="pct"/>
                  <w:vMerge w:val="continue"/>
                  <w:tcBorders>
                    <w:top w:val="nil"/>
                    <w:bottom w:val="nil"/>
                  </w:tcBorders>
                  <w:vAlign w:val="center"/>
                </w:tcPr>
                <w:p w14:paraId="5A39CA95">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534" w:type="pct"/>
                  <w:shd w:val="clear" w:color="auto" w:fill="auto"/>
                  <w:vAlign w:val="top"/>
                </w:tcPr>
                <w:p w14:paraId="66B842FD">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样品编号</w:t>
                  </w:r>
                </w:p>
              </w:tc>
              <w:tc>
                <w:tcPr>
                  <w:tcW w:w="725" w:type="pct"/>
                  <w:shd w:val="clear" w:color="auto" w:fill="auto"/>
                  <w:vAlign w:val="top"/>
                </w:tcPr>
                <w:p w14:paraId="7E72A3C3">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251293W013</w:t>
                  </w:r>
                </w:p>
              </w:tc>
              <w:tc>
                <w:tcPr>
                  <w:tcW w:w="725" w:type="pct"/>
                  <w:shd w:val="clear" w:color="auto" w:fill="auto"/>
                  <w:vAlign w:val="top"/>
                </w:tcPr>
                <w:p w14:paraId="77F1893A">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251293W014</w:t>
                  </w:r>
                </w:p>
              </w:tc>
              <w:tc>
                <w:tcPr>
                  <w:tcW w:w="725" w:type="pct"/>
                  <w:shd w:val="clear" w:color="auto" w:fill="auto"/>
                  <w:vAlign w:val="top"/>
                </w:tcPr>
                <w:p w14:paraId="2FE561EA">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251293W015</w:t>
                  </w:r>
                </w:p>
              </w:tc>
              <w:tc>
                <w:tcPr>
                  <w:tcW w:w="725" w:type="pct"/>
                  <w:shd w:val="clear" w:color="auto" w:fill="auto"/>
                  <w:vAlign w:val="top"/>
                </w:tcPr>
                <w:p w14:paraId="03E1E7B9">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251293W016</w:t>
                  </w:r>
                </w:p>
              </w:tc>
            </w:tr>
            <w:tr w14:paraId="00EE4EC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929" w:type="pct"/>
                  <w:vMerge w:val="continue"/>
                  <w:tcBorders>
                    <w:top w:val="nil"/>
                  </w:tcBorders>
                  <w:vAlign w:val="center"/>
                </w:tcPr>
                <w:p w14:paraId="6E080C42">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633" w:type="pct"/>
                  <w:vMerge w:val="continue"/>
                  <w:tcBorders>
                    <w:top w:val="nil"/>
                  </w:tcBorders>
                  <w:vAlign w:val="center"/>
                </w:tcPr>
                <w:p w14:paraId="75919A82">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534" w:type="pct"/>
                  <w:shd w:val="clear" w:color="auto" w:fill="auto"/>
                  <w:vAlign w:val="top"/>
                </w:tcPr>
                <w:p w14:paraId="20A8FC57">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4</w:t>
                  </w:r>
                </w:p>
              </w:tc>
              <w:tc>
                <w:tcPr>
                  <w:tcW w:w="725" w:type="pct"/>
                  <w:shd w:val="clear" w:color="auto" w:fill="auto"/>
                  <w:vAlign w:val="top"/>
                </w:tcPr>
                <w:p w14:paraId="510B49E3">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0.72</w:t>
                  </w:r>
                </w:p>
              </w:tc>
              <w:tc>
                <w:tcPr>
                  <w:tcW w:w="725" w:type="pct"/>
                  <w:shd w:val="clear" w:color="auto" w:fill="auto"/>
                  <w:vAlign w:val="top"/>
                </w:tcPr>
                <w:p w14:paraId="79955F09">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1.16</w:t>
                  </w:r>
                </w:p>
              </w:tc>
              <w:tc>
                <w:tcPr>
                  <w:tcW w:w="725" w:type="pct"/>
                  <w:shd w:val="clear" w:color="auto" w:fill="auto"/>
                  <w:vAlign w:val="top"/>
                </w:tcPr>
                <w:p w14:paraId="439BD998">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1.02</w:t>
                  </w:r>
                </w:p>
              </w:tc>
              <w:tc>
                <w:tcPr>
                  <w:tcW w:w="725" w:type="pct"/>
                  <w:shd w:val="clear" w:color="auto" w:fill="auto"/>
                  <w:vAlign w:val="top"/>
                </w:tcPr>
                <w:p w14:paraId="5D495170">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1.11</w:t>
                  </w:r>
                </w:p>
              </w:tc>
            </w:tr>
            <w:tr w14:paraId="47A9FA0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6" w:hRule="atLeast"/>
              </w:trPr>
              <w:tc>
                <w:tcPr>
                  <w:tcW w:w="929" w:type="pct"/>
                  <w:vMerge w:val="restart"/>
                  <w:vAlign w:val="center"/>
                </w:tcPr>
                <w:p w14:paraId="2A4DAD18">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3"/>
                      <w:sz w:val="21"/>
                      <w:szCs w:val="21"/>
                    </w:rPr>
                  </w:pPr>
                  <w:r>
                    <w:rPr>
                      <w:rFonts w:hint="default" w:ascii="Times New Roman" w:hAnsi="Times New Roman" w:cs="Times New Roman"/>
                      <w:color w:val="auto"/>
                      <w:spacing w:val="-3"/>
                      <w:sz w:val="21"/>
                      <w:szCs w:val="21"/>
                    </w:rPr>
                    <w:t>氯化氢</w:t>
                  </w:r>
                </w:p>
                <w:p w14:paraId="48C40A4C">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Times New Roman" w:hAnsi="Times New Roman" w:eastAsia="宋体" w:cs="Times New Roman"/>
                      <w:color w:val="auto"/>
                      <w:sz w:val="21"/>
                      <w:szCs w:val="21"/>
                      <w:lang w:eastAsia="zh-CN"/>
                    </w:rPr>
                  </w:pPr>
                  <w:r>
                    <w:rPr>
                      <w:rFonts w:hint="eastAsia" w:ascii="Times New Roman" w:hAnsi="Times New Roman" w:cs="Times New Roman"/>
                      <w:color w:val="auto"/>
                      <w:spacing w:val="-4"/>
                      <w:sz w:val="21"/>
                      <w:szCs w:val="21"/>
                      <w:lang w:eastAsia="zh-CN"/>
                    </w:rPr>
                    <w:t>（</w:t>
                  </w:r>
                  <w:r>
                    <w:rPr>
                      <w:rFonts w:hint="default" w:ascii="Times New Roman" w:hAnsi="Times New Roman" w:cs="Times New Roman"/>
                      <w:color w:val="auto"/>
                      <w:spacing w:val="-4"/>
                      <w:sz w:val="21"/>
                      <w:szCs w:val="21"/>
                    </w:rPr>
                    <w:t>mg/m³</w:t>
                  </w:r>
                  <w:r>
                    <w:rPr>
                      <w:rFonts w:hint="eastAsia" w:ascii="Times New Roman" w:hAnsi="Times New Roman" w:cs="Times New Roman"/>
                      <w:color w:val="auto"/>
                      <w:spacing w:val="-4"/>
                      <w:sz w:val="21"/>
                      <w:szCs w:val="21"/>
                      <w:lang w:eastAsia="zh-CN"/>
                    </w:rPr>
                    <w:t>）</w:t>
                  </w:r>
                </w:p>
              </w:tc>
              <w:tc>
                <w:tcPr>
                  <w:tcW w:w="633" w:type="pct"/>
                  <w:vMerge w:val="restart"/>
                  <w:vAlign w:val="center"/>
                </w:tcPr>
                <w:p w14:paraId="14E80E81">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rPr>
                  </w:pPr>
                  <w:r>
                    <w:rPr>
                      <w:rFonts w:hint="default" w:ascii="Times New Roman" w:hAnsi="Times New Roman" w:cs="Times New Roman"/>
                      <w:color w:val="auto"/>
                      <w:spacing w:val="-1"/>
                      <w:sz w:val="21"/>
                      <w:szCs w:val="21"/>
                    </w:rPr>
                    <w:t>2025年</w:t>
                  </w:r>
                </w:p>
                <w:p w14:paraId="44AA2242">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2"/>
                      <w:sz w:val="21"/>
                      <w:szCs w:val="21"/>
                      <w:lang w:val="en-US" w:eastAsia="en-US"/>
                    </w:rPr>
                  </w:pPr>
                  <w:r>
                    <w:rPr>
                      <w:rFonts w:hint="eastAsia" w:ascii="Times New Roman" w:hAnsi="Times New Roman" w:cs="Times New Roman"/>
                      <w:color w:val="auto"/>
                      <w:spacing w:val="-1"/>
                      <w:sz w:val="21"/>
                      <w:szCs w:val="21"/>
                      <w:lang w:val="en-US" w:eastAsia="zh-CN"/>
                    </w:rPr>
                    <w:t>12</w:t>
                  </w:r>
                  <w:r>
                    <w:rPr>
                      <w:rFonts w:hint="default" w:ascii="Times New Roman" w:hAnsi="Times New Roman" w:cs="Times New Roman"/>
                      <w:color w:val="auto"/>
                      <w:spacing w:val="-1"/>
                      <w:sz w:val="21"/>
                      <w:szCs w:val="21"/>
                    </w:rPr>
                    <w:t>月</w:t>
                  </w:r>
                  <w:r>
                    <w:rPr>
                      <w:rFonts w:hint="eastAsia" w:ascii="Times New Roman" w:hAnsi="Times New Roman" w:cs="Times New Roman"/>
                      <w:color w:val="auto"/>
                      <w:spacing w:val="-1"/>
                      <w:sz w:val="21"/>
                      <w:szCs w:val="21"/>
                      <w:lang w:val="en-US" w:eastAsia="zh-CN"/>
                    </w:rPr>
                    <w:t>08</w:t>
                  </w:r>
                  <w:r>
                    <w:rPr>
                      <w:rFonts w:hint="default" w:ascii="Times New Roman" w:hAnsi="Times New Roman" w:cs="Times New Roman"/>
                      <w:color w:val="auto"/>
                      <w:spacing w:val="-1"/>
                      <w:sz w:val="21"/>
                      <w:szCs w:val="21"/>
                    </w:rPr>
                    <w:t>日</w:t>
                  </w:r>
                </w:p>
              </w:tc>
              <w:tc>
                <w:tcPr>
                  <w:tcW w:w="534" w:type="pct"/>
                  <w:shd w:val="clear" w:color="auto" w:fill="auto"/>
                  <w:vAlign w:val="top"/>
                </w:tcPr>
                <w:p w14:paraId="3C6C60AA">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样品编号</w:t>
                  </w:r>
                </w:p>
              </w:tc>
              <w:tc>
                <w:tcPr>
                  <w:tcW w:w="725" w:type="pct"/>
                  <w:shd w:val="clear" w:color="auto" w:fill="auto"/>
                  <w:vAlign w:val="top"/>
                </w:tcPr>
                <w:p w14:paraId="0E0F2BE7">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251293W017</w:t>
                  </w:r>
                </w:p>
              </w:tc>
              <w:tc>
                <w:tcPr>
                  <w:tcW w:w="725" w:type="pct"/>
                  <w:shd w:val="clear" w:color="auto" w:fill="auto"/>
                  <w:vAlign w:val="top"/>
                </w:tcPr>
                <w:p w14:paraId="462B7C44">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251293W018</w:t>
                  </w:r>
                </w:p>
              </w:tc>
              <w:tc>
                <w:tcPr>
                  <w:tcW w:w="725" w:type="pct"/>
                  <w:shd w:val="clear" w:color="auto" w:fill="auto"/>
                  <w:vAlign w:val="top"/>
                </w:tcPr>
                <w:p w14:paraId="301699A4">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251293W019</w:t>
                  </w:r>
                </w:p>
              </w:tc>
              <w:tc>
                <w:tcPr>
                  <w:tcW w:w="725" w:type="pct"/>
                  <w:shd w:val="clear" w:color="auto" w:fill="auto"/>
                  <w:vAlign w:val="top"/>
                </w:tcPr>
                <w:p w14:paraId="545DA0FD">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251293W020</w:t>
                  </w:r>
                </w:p>
              </w:tc>
            </w:tr>
            <w:tr w14:paraId="2E4DA2F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929" w:type="pct"/>
                  <w:vMerge w:val="continue"/>
                  <w:vAlign w:val="center"/>
                </w:tcPr>
                <w:p w14:paraId="0B81C636">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633" w:type="pct"/>
                  <w:vMerge w:val="continue"/>
                  <w:vAlign w:val="center"/>
                </w:tcPr>
                <w:p w14:paraId="0583EBAB">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2"/>
                      <w:sz w:val="21"/>
                      <w:szCs w:val="21"/>
                      <w:lang w:val="en-US" w:eastAsia="en-US"/>
                    </w:rPr>
                  </w:pPr>
                </w:p>
              </w:tc>
              <w:tc>
                <w:tcPr>
                  <w:tcW w:w="534" w:type="pct"/>
                  <w:shd w:val="clear" w:color="auto" w:fill="auto"/>
                  <w:vAlign w:val="top"/>
                </w:tcPr>
                <w:p w14:paraId="2E322FA8">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1</w:t>
                  </w:r>
                </w:p>
              </w:tc>
              <w:tc>
                <w:tcPr>
                  <w:tcW w:w="725" w:type="pct"/>
                  <w:shd w:val="clear" w:color="auto" w:fill="auto"/>
                  <w:vAlign w:val="top"/>
                </w:tcPr>
                <w:p w14:paraId="27257A72">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0.07</w:t>
                  </w:r>
                </w:p>
              </w:tc>
              <w:tc>
                <w:tcPr>
                  <w:tcW w:w="725" w:type="pct"/>
                  <w:shd w:val="clear" w:color="auto" w:fill="auto"/>
                  <w:vAlign w:val="top"/>
                </w:tcPr>
                <w:p w14:paraId="33C38CEC">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0.13</w:t>
                  </w:r>
                </w:p>
              </w:tc>
              <w:tc>
                <w:tcPr>
                  <w:tcW w:w="725" w:type="pct"/>
                  <w:shd w:val="clear" w:color="auto" w:fill="auto"/>
                  <w:vAlign w:val="top"/>
                </w:tcPr>
                <w:p w14:paraId="49B88EC2">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0.12</w:t>
                  </w:r>
                </w:p>
              </w:tc>
              <w:tc>
                <w:tcPr>
                  <w:tcW w:w="725" w:type="pct"/>
                  <w:shd w:val="clear" w:color="auto" w:fill="auto"/>
                  <w:vAlign w:val="top"/>
                </w:tcPr>
                <w:p w14:paraId="408E089A">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0.14</w:t>
                  </w:r>
                </w:p>
              </w:tc>
            </w:tr>
            <w:tr w14:paraId="0EA905A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929" w:type="pct"/>
                  <w:vMerge w:val="continue"/>
                  <w:vAlign w:val="center"/>
                </w:tcPr>
                <w:p w14:paraId="0A919D19">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633" w:type="pct"/>
                  <w:vMerge w:val="continue"/>
                  <w:vAlign w:val="center"/>
                </w:tcPr>
                <w:p w14:paraId="702AFA64">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2"/>
                      <w:sz w:val="21"/>
                      <w:szCs w:val="21"/>
                      <w:lang w:val="en-US" w:eastAsia="en-US"/>
                    </w:rPr>
                  </w:pPr>
                </w:p>
              </w:tc>
              <w:tc>
                <w:tcPr>
                  <w:tcW w:w="534" w:type="pct"/>
                  <w:shd w:val="clear" w:color="auto" w:fill="auto"/>
                  <w:vAlign w:val="top"/>
                </w:tcPr>
                <w:p w14:paraId="7F3CEE01">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样品编号</w:t>
                  </w:r>
                </w:p>
              </w:tc>
              <w:tc>
                <w:tcPr>
                  <w:tcW w:w="725" w:type="pct"/>
                  <w:shd w:val="clear" w:color="auto" w:fill="auto"/>
                  <w:vAlign w:val="top"/>
                </w:tcPr>
                <w:p w14:paraId="722238B3">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251293W021</w:t>
                  </w:r>
                </w:p>
              </w:tc>
              <w:tc>
                <w:tcPr>
                  <w:tcW w:w="725" w:type="pct"/>
                  <w:shd w:val="clear" w:color="auto" w:fill="auto"/>
                  <w:vAlign w:val="top"/>
                </w:tcPr>
                <w:p w14:paraId="17B39A84">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251293W022</w:t>
                  </w:r>
                </w:p>
              </w:tc>
              <w:tc>
                <w:tcPr>
                  <w:tcW w:w="725" w:type="pct"/>
                  <w:shd w:val="clear" w:color="auto" w:fill="auto"/>
                  <w:vAlign w:val="top"/>
                </w:tcPr>
                <w:p w14:paraId="4909BCC1">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251293W023</w:t>
                  </w:r>
                </w:p>
              </w:tc>
              <w:tc>
                <w:tcPr>
                  <w:tcW w:w="725" w:type="pct"/>
                  <w:shd w:val="clear" w:color="auto" w:fill="auto"/>
                  <w:vAlign w:val="top"/>
                </w:tcPr>
                <w:p w14:paraId="7B5FBD8F">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251293W024</w:t>
                  </w:r>
                </w:p>
              </w:tc>
            </w:tr>
            <w:tr w14:paraId="675E41C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929" w:type="pct"/>
                  <w:vMerge w:val="continue"/>
                  <w:vAlign w:val="center"/>
                </w:tcPr>
                <w:p w14:paraId="0BC4F5AB">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633" w:type="pct"/>
                  <w:vMerge w:val="continue"/>
                  <w:vAlign w:val="center"/>
                </w:tcPr>
                <w:p w14:paraId="51E56080">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2"/>
                      <w:sz w:val="21"/>
                      <w:szCs w:val="21"/>
                      <w:lang w:val="en-US" w:eastAsia="en-US"/>
                    </w:rPr>
                  </w:pPr>
                </w:p>
              </w:tc>
              <w:tc>
                <w:tcPr>
                  <w:tcW w:w="534" w:type="pct"/>
                  <w:shd w:val="clear" w:color="auto" w:fill="auto"/>
                  <w:vAlign w:val="top"/>
                </w:tcPr>
                <w:p w14:paraId="267F836E">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2</w:t>
                  </w:r>
                </w:p>
              </w:tc>
              <w:tc>
                <w:tcPr>
                  <w:tcW w:w="725" w:type="pct"/>
                  <w:shd w:val="clear" w:color="auto" w:fill="auto"/>
                  <w:vAlign w:val="top"/>
                </w:tcPr>
                <w:p w14:paraId="7ECBF2AA">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0.07</w:t>
                  </w:r>
                </w:p>
              </w:tc>
              <w:tc>
                <w:tcPr>
                  <w:tcW w:w="725" w:type="pct"/>
                  <w:shd w:val="clear" w:color="auto" w:fill="auto"/>
                  <w:vAlign w:val="top"/>
                </w:tcPr>
                <w:p w14:paraId="3208F74A">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0.14</w:t>
                  </w:r>
                </w:p>
              </w:tc>
              <w:tc>
                <w:tcPr>
                  <w:tcW w:w="725" w:type="pct"/>
                  <w:shd w:val="clear" w:color="auto" w:fill="auto"/>
                  <w:vAlign w:val="top"/>
                </w:tcPr>
                <w:p w14:paraId="03FF96E5">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0.10</w:t>
                  </w:r>
                </w:p>
              </w:tc>
              <w:tc>
                <w:tcPr>
                  <w:tcW w:w="725" w:type="pct"/>
                  <w:shd w:val="clear" w:color="auto" w:fill="auto"/>
                  <w:vAlign w:val="top"/>
                </w:tcPr>
                <w:p w14:paraId="4BE24028">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0.13</w:t>
                  </w:r>
                </w:p>
              </w:tc>
            </w:tr>
            <w:tr w14:paraId="5FA9DE5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929" w:type="pct"/>
                  <w:vMerge w:val="continue"/>
                  <w:vAlign w:val="center"/>
                </w:tcPr>
                <w:p w14:paraId="00477A52">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633" w:type="pct"/>
                  <w:vMerge w:val="continue"/>
                  <w:vAlign w:val="center"/>
                </w:tcPr>
                <w:p w14:paraId="13E2E90B">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2"/>
                      <w:sz w:val="21"/>
                      <w:szCs w:val="21"/>
                      <w:lang w:val="en-US" w:eastAsia="en-US"/>
                    </w:rPr>
                  </w:pPr>
                </w:p>
              </w:tc>
              <w:tc>
                <w:tcPr>
                  <w:tcW w:w="534" w:type="pct"/>
                  <w:shd w:val="clear" w:color="auto" w:fill="auto"/>
                  <w:vAlign w:val="top"/>
                </w:tcPr>
                <w:p w14:paraId="35A28E6E">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样品编号</w:t>
                  </w:r>
                </w:p>
              </w:tc>
              <w:tc>
                <w:tcPr>
                  <w:tcW w:w="725" w:type="pct"/>
                  <w:shd w:val="clear" w:color="auto" w:fill="auto"/>
                  <w:vAlign w:val="top"/>
                </w:tcPr>
                <w:p w14:paraId="4C2B2A10">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251293W025</w:t>
                  </w:r>
                </w:p>
              </w:tc>
              <w:tc>
                <w:tcPr>
                  <w:tcW w:w="725" w:type="pct"/>
                  <w:shd w:val="clear" w:color="auto" w:fill="auto"/>
                  <w:vAlign w:val="top"/>
                </w:tcPr>
                <w:p w14:paraId="3D668BC3">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251293W026</w:t>
                  </w:r>
                </w:p>
              </w:tc>
              <w:tc>
                <w:tcPr>
                  <w:tcW w:w="725" w:type="pct"/>
                  <w:shd w:val="clear" w:color="auto" w:fill="auto"/>
                  <w:vAlign w:val="top"/>
                </w:tcPr>
                <w:p w14:paraId="56CC55C1">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251293W027</w:t>
                  </w:r>
                </w:p>
              </w:tc>
              <w:tc>
                <w:tcPr>
                  <w:tcW w:w="725" w:type="pct"/>
                  <w:shd w:val="clear" w:color="auto" w:fill="auto"/>
                  <w:vAlign w:val="top"/>
                </w:tcPr>
                <w:p w14:paraId="1C1CEE59">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251293W028</w:t>
                  </w:r>
                </w:p>
              </w:tc>
            </w:tr>
            <w:tr w14:paraId="29D7CCE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929" w:type="pct"/>
                  <w:vMerge w:val="continue"/>
                  <w:vAlign w:val="center"/>
                </w:tcPr>
                <w:p w14:paraId="3E2FD343">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633" w:type="pct"/>
                  <w:vMerge w:val="continue"/>
                  <w:vAlign w:val="center"/>
                </w:tcPr>
                <w:p w14:paraId="2A889EE2">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2"/>
                      <w:sz w:val="21"/>
                      <w:szCs w:val="21"/>
                      <w:lang w:val="en-US" w:eastAsia="en-US"/>
                    </w:rPr>
                  </w:pPr>
                </w:p>
              </w:tc>
              <w:tc>
                <w:tcPr>
                  <w:tcW w:w="534" w:type="pct"/>
                  <w:shd w:val="clear" w:color="auto" w:fill="auto"/>
                  <w:vAlign w:val="top"/>
                </w:tcPr>
                <w:p w14:paraId="33072F99">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3</w:t>
                  </w:r>
                </w:p>
              </w:tc>
              <w:tc>
                <w:tcPr>
                  <w:tcW w:w="725" w:type="pct"/>
                  <w:shd w:val="clear" w:color="auto" w:fill="auto"/>
                  <w:vAlign w:val="top"/>
                </w:tcPr>
                <w:p w14:paraId="053C4DED">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0.08</w:t>
                  </w:r>
                </w:p>
              </w:tc>
              <w:tc>
                <w:tcPr>
                  <w:tcW w:w="725" w:type="pct"/>
                  <w:shd w:val="clear" w:color="auto" w:fill="auto"/>
                  <w:vAlign w:val="top"/>
                </w:tcPr>
                <w:p w14:paraId="0337BB35">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0.11</w:t>
                  </w:r>
                </w:p>
              </w:tc>
              <w:tc>
                <w:tcPr>
                  <w:tcW w:w="725" w:type="pct"/>
                  <w:shd w:val="clear" w:color="auto" w:fill="auto"/>
                  <w:vAlign w:val="top"/>
                </w:tcPr>
                <w:p w14:paraId="17C0F168">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0.16</w:t>
                  </w:r>
                </w:p>
              </w:tc>
              <w:tc>
                <w:tcPr>
                  <w:tcW w:w="725" w:type="pct"/>
                  <w:shd w:val="clear" w:color="auto" w:fill="auto"/>
                  <w:vAlign w:val="top"/>
                </w:tcPr>
                <w:p w14:paraId="43A2A9D9">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0.12</w:t>
                  </w:r>
                </w:p>
              </w:tc>
            </w:tr>
            <w:tr w14:paraId="6EFB9A2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929" w:type="pct"/>
                  <w:vMerge w:val="continue"/>
                  <w:vAlign w:val="center"/>
                </w:tcPr>
                <w:p w14:paraId="043F9563">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633" w:type="pct"/>
                  <w:vMerge w:val="continue"/>
                  <w:vAlign w:val="center"/>
                </w:tcPr>
                <w:p w14:paraId="3B945D3A">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2"/>
                      <w:sz w:val="21"/>
                      <w:szCs w:val="21"/>
                      <w:lang w:val="en-US" w:eastAsia="en-US"/>
                    </w:rPr>
                  </w:pPr>
                </w:p>
              </w:tc>
              <w:tc>
                <w:tcPr>
                  <w:tcW w:w="534" w:type="pct"/>
                  <w:shd w:val="clear" w:color="auto" w:fill="auto"/>
                  <w:vAlign w:val="top"/>
                </w:tcPr>
                <w:p w14:paraId="321E9B35">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样品编号</w:t>
                  </w:r>
                </w:p>
              </w:tc>
              <w:tc>
                <w:tcPr>
                  <w:tcW w:w="725" w:type="pct"/>
                  <w:shd w:val="clear" w:color="auto" w:fill="auto"/>
                  <w:vAlign w:val="top"/>
                </w:tcPr>
                <w:p w14:paraId="6A7207E3">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251293W029</w:t>
                  </w:r>
                </w:p>
              </w:tc>
              <w:tc>
                <w:tcPr>
                  <w:tcW w:w="725" w:type="pct"/>
                  <w:shd w:val="clear" w:color="auto" w:fill="auto"/>
                  <w:vAlign w:val="top"/>
                </w:tcPr>
                <w:p w14:paraId="6D43A2AD">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251293W030</w:t>
                  </w:r>
                </w:p>
              </w:tc>
              <w:tc>
                <w:tcPr>
                  <w:tcW w:w="725" w:type="pct"/>
                  <w:shd w:val="clear" w:color="auto" w:fill="auto"/>
                  <w:vAlign w:val="top"/>
                </w:tcPr>
                <w:p w14:paraId="4E112A8A">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251293W031</w:t>
                  </w:r>
                </w:p>
              </w:tc>
              <w:tc>
                <w:tcPr>
                  <w:tcW w:w="725" w:type="pct"/>
                  <w:shd w:val="clear" w:color="auto" w:fill="auto"/>
                  <w:vAlign w:val="top"/>
                </w:tcPr>
                <w:p w14:paraId="015C7555">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251293W032</w:t>
                  </w:r>
                </w:p>
              </w:tc>
            </w:tr>
            <w:tr w14:paraId="2B4C681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929" w:type="pct"/>
                  <w:vMerge w:val="continue"/>
                  <w:vAlign w:val="center"/>
                </w:tcPr>
                <w:p w14:paraId="3B410131">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633" w:type="pct"/>
                  <w:vMerge w:val="continue"/>
                  <w:vAlign w:val="center"/>
                </w:tcPr>
                <w:p w14:paraId="607BCDCE">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2"/>
                      <w:sz w:val="21"/>
                      <w:szCs w:val="21"/>
                      <w:lang w:val="en-US" w:eastAsia="en-US"/>
                    </w:rPr>
                  </w:pPr>
                </w:p>
              </w:tc>
              <w:tc>
                <w:tcPr>
                  <w:tcW w:w="534" w:type="pct"/>
                  <w:shd w:val="clear" w:color="auto" w:fill="auto"/>
                  <w:vAlign w:val="top"/>
                </w:tcPr>
                <w:p w14:paraId="3160DD70">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4</w:t>
                  </w:r>
                </w:p>
              </w:tc>
              <w:tc>
                <w:tcPr>
                  <w:tcW w:w="725" w:type="pct"/>
                  <w:shd w:val="clear" w:color="auto" w:fill="auto"/>
                  <w:vAlign w:val="top"/>
                </w:tcPr>
                <w:p w14:paraId="3D4BAA1D">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0.08</w:t>
                  </w:r>
                </w:p>
              </w:tc>
              <w:tc>
                <w:tcPr>
                  <w:tcW w:w="725" w:type="pct"/>
                  <w:shd w:val="clear" w:color="auto" w:fill="auto"/>
                  <w:vAlign w:val="top"/>
                </w:tcPr>
                <w:p w14:paraId="14C104F8">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0.12</w:t>
                  </w:r>
                </w:p>
              </w:tc>
              <w:tc>
                <w:tcPr>
                  <w:tcW w:w="725" w:type="pct"/>
                  <w:shd w:val="clear" w:color="auto" w:fill="auto"/>
                  <w:vAlign w:val="top"/>
                </w:tcPr>
                <w:p w14:paraId="08EB843B">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0.11</w:t>
                  </w:r>
                </w:p>
              </w:tc>
              <w:tc>
                <w:tcPr>
                  <w:tcW w:w="725" w:type="pct"/>
                  <w:shd w:val="clear" w:color="auto" w:fill="auto"/>
                  <w:vAlign w:val="top"/>
                </w:tcPr>
                <w:p w14:paraId="33F66F74">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0.15</w:t>
                  </w:r>
                </w:p>
              </w:tc>
            </w:tr>
            <w:tr w14:paraId="6B2CDCD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929" w:type="pct"/>
                  <w:vMerge w:val="restart"/>
                  <w:tcBorders>
                    <w:bottom w:val="nil"/>
                  </w:tcBorders>
                  <w:vAlign w:val="center"/>
                </w:tcPr>
                <w:p w14:paraId="4EF2676C">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2"/>
                      <w:sz w:val="21"/>
                      <w:szCs w:val="21"/>
                    </w:rPr>
                  </w:pPr>
                  <w:r>
                    <w:rPr>
                      <w:rFonts w:hint="default" w:ascii="Times New Roman" w:hAnsi="Times New Roman" w:cs="Times New Roman"/>
                      <w:color w:val="auto"/>
                      <w:spacing w:val="-2"/>
                      <w:sz w:val="21"/>
                      <w:szCs w:val="21"/>
                    </w:rPr>
                    <w:t>硫酸雾</w:t>
                  </w:r>
                </w:p>
                <w:p w14:paraId="5456F847">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Times New Roman" w:hAnsi="Times New Roman" w:eastAsia="宋体" w:cs="Times New Roman"/>
                      <w:color w:val="auto"/>
                      <w:sz w:val="21"/>
                      <w:szCs w:val="21"/>
                      <w:lang w:eastAsia="zh-CN"/>
                    </w:rPr>
                  </w:pPr>
                  <w:r>
                    <w:rPr>
                      <w:rFonts w:hint="eastAsia" w:ascii="Times New Roman" w:hAnsi="Times New Roman" w:cs="Times New Roman"/>
                      <w:color w:val="auto"/>
                      <w:spacing w:val="-4"/>
                      <w:sz w:val="21"/>
                      <w:szCs w:val="21"/>
                      <w:lang w:eastAsia="zh-CN"/>
                    </w:rPr>
                    <w:t>（</w:t>
                  </w:r>
                  <w:r>
                    <w:rPr>
                      <w:rFonts w:hint="default" w:ascii="Times New Roman" w:hAnsi="Times New Roman" w:cs="Times New Roman"/>
                      <w:color w:val="auto"/>
                      <w:spacing w:val="-4"/>
                      <w:sz w:val="21"/>
                      <w:szCs w:val="21"/>
                    </w:rPr>
                    <w:t>mg/m³</w:t>
                  </w:r>
                  <w:r>
                    <w:rPr>
                      <w:rFonts w:hint="eastAsia" w:ascii="Times New Roman" w:hAnsi="Times New Roman" w:cs="Times New Roman"/>
                      <w:color w:val="auto"/>
                      <w:spacing w:val="-4"/>
                      <w:sz w:val="21"/>
                      <w:szCs w:val="21"/>
                      <w:lang w:eastAsia="zh-CN"/>
                    </w:rPr>
                    <w:t>）</w:t>
                  </w:r>
                </w:p>
              </w:tc>
              <w:tc>
                <w:tcPr>
                  <w:tcW w:w="633" w:type="pct"/>
                  <w:vMerge w:val="restart"/>
                  <w:tcBorders>
                    <w:bottom w:val="nil"/>
                  </w:tcBorders>
                  <w:vAlign w:val="center"/>
                </w:tcPr>
                <w:p w14:paraId="740924B1">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rPr>
                  </w:pPr>
                  <w:r>
                    <w:rPr>
                      <w:rFonts w:hint="default" w:ascii="Times New Roman" w:hAnsi="Times New Roman" w:cs="Times New Roman"/>
                      <w:color w:val="auto"/>
                      <w:spacing w:val="-1"/>
                      <w:sz w:val="21"/>
                      <w:szCs w:val="21"/>
                    </w:rPr>
                    <w:t>2025年</w:t>
                  </w:r>
                </w:p>
                <w:p w14:paraId="2B73BE19">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2"/>
                      <w:sz w:val="21"/>
                      <w:szCs w:val="21"/>
                    </w:rPr>
                  </w:pPr>
                  <w:r>
                    <w:rPr>
                      <w:rFonts w:hint="eastAsia" w:ascii="Times New Roman" w:hAnsi="Times New Roman" w:cs="Times New Roman"/>
                      <w:color w:val="auto"/>
                      <w:spacing w:val="-1"/>
                      <w:sz w:val="21"/>
                      <w:szCs w:val="21"/>
                      <w:lang w:val="en-US" w:eastAsia="zh-CN"/>
                    </w:rPr>
                    <w:t>12</w:t>
                  </w:r>
                  <w:r>
                    <w:rPr>
                      <w:rFonts w:hint="default" w:ascii="Times New Roman" w:hAnsi="Times New Roman" w:cs="Times New Roman"/>
                      <w:color w:val="auto"/>
                      <w:spacing w:val="-1"/>
                      <w:sz w:val="21"/>
                      <w:szCs w:val="21"/>
                    </w:rPr>
                    <w:t>月</w:t>
                  </w:r>
                  <w:r>
                    <w:rPr>
                      <w:rFonts w:hint="eastAsia" w:ascii="Times New Roman" w:hAnsi="Times New Roman" w:cs="Times New Roman"/>
                      <w:color w:val="auto"/>
                      <w:spacing w:val="-1"/>
                      <w:sz w:val="21"/>
                      <w:szCs w:val="21"/>
                      <w:lang w:val="en-US" w:eastAsia="zh-CN"/>
                    </w:rPr>
                    <w:t>08</w:t>
                  </w:r>
                  <w:r>
                    <w:rPr>
                      <w:rFonts w:hint="default" w:ascii="Times New Roman" w:hAnsi="Times New Roman" w:cs="Times New Roman"/>
                      <w:color w:val="auto"/>
                      <w:spacing w:val="-1"/>
                      <w:sz w:val="21"/>
                      <w:szCs w:val="21"/>
                    </w:rPr>
                    <w:t>日</w:t>
                  </w:r>
                </w:p>
              </w:tc>
              <w:tc>
                <w:tcPr>
                  <w:tcW w:w="534" w:type="pct"/>
                  <w:shd w:val="clear" w:color="auto" w:fill="auto"/>
                  <w:vAlign w:val="top"/>
                </w:tcPr>
                <w:p w14:paraId="1D34ED5A">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样品编号</w:t>
                  </w:r>
                </w:p>
              </w:tc>
              <w:tc>
                <w:tcPr>
                  <w:tcW w:w="725" w:type="pct"/>
                  <w:shd w:val="clear" w:color="auto" w:fill="auto"/>
                  <w:vAlign w:val="top"/>
                </w:tcPr>
                <w:p w14:paraId="2452D526">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251293W033</w:t>
                  </w:r>
                </w:p>
              </w:tc>
              <w:tc>
                <w:tcPr>
                  <w:tcW w:w="725" w:type="pct"/>
                  <w:shd w:val="clear" w:color="auto" w:fill="auto"/>
                  <w:vAlign w:val="top"/>
                </w:tcPr>
                <w:p w14:paraId="009E546F">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251293W034</w:t>
                  </w:r>
                </w:p>
              </w:tc>
              <w:tc>
                <w:tcPr>
                  <w:tcW w:w="725" w:type="pct"/>
                  <w:shd w:val="clear" w:color="auto" w:fill="auto"/>
                  <w:vAlign w:val="top"/>
                </w:tcPr>
                <w:p w14:paraId="444288C8">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251293W035</w:t>
                  </w:r>
                </w:p>
              </w:tc>
              <w:tc>
                <w:tcPr>
                  <w:tcW w:w="725" w:type="pct"/>
                  <w:shd w:val="clear" w:color="auto" w:fill="auto"/>
                  <w:vAlign w:val="top"/>
                </w:tcPr>
                <w:p w14:paraId="3D79CDEF">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251293W036</w:t>
                  </w:r>
                </w:p>
              </w:tc>
            </w:tr>
            <w:tr w14:paraId="2EC1096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929" w:type="pct"/>
                  <w:vMerge w:val="continue"/>
                  <w:tcBorders>
                    <w:top w:val="nil"/>
                    <w:bottom w:val="nil"/>
                  </w:tcBorders>
                  <w:vAlign w:val="center"/>
                </w:tcPr>
                <w:p w14:paraId="4DE1C0A1">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633" w:type="pct"/>
                  <w:vMerge w:val="continue"/>
                  <w:tcBorders>
                    <w:top w:val="nil"/>
                    <w:bottom w:val="nil"/>
                  </w:tcBorders>
                  <w:vAlign w:val="center"/>
                </w:tcPr>
                <w:p w14:paraId="411E7C3B">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2"/>
                      <w:sz w:val="21"/>
                      <w:szCs w:val="21"/>
                    </w:rPr>
                  </w:pPr>
                </w:p>
              </w:tc>
              <w:tc>
                <w:tcPr>
                  <w:tcW w:w="534" w:type="pct"/>
                  <w:shd w:val="clear" w:color="auto" w:fill="auto"/>
                  <w:vAlign w:val="top"/>
                </w:tcPr>
                <w:p w14:paraId="150270B2">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1</w:t>
                  </w:r>
                </w:p>
              </w:tc>
              <w:tc>
                <w:tcPr>
                  <w:tcW w:w="725" w:type="pct"/>
                  <w:shd w:val="clear" w:color="auto" w:fill="auto"/>
                  <w:vAlign w:val="top"/>
                </w:tcPr>
                <w:p w14:paraId="1222A626">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0.024</w:t>
                  </w:r>
                </w:p>
              </w:tc>
              <w:tc>
                <w:tcPr>
                  <w:tcW w:w="725" w:type="pct"/>
                  <w:shd w:val="clear" w:color="auto" w:fill="auto"/>
                  <w:vAlign w:val="top"/>
                </w:tcPr>
                <w:p w14:paraId="29B245CC">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0.102</w:t>
                  </w:r>
                </w:p>
              </w:tc>
              <w:tc>
                <w:tcPr>
                  <w:tcW w:w="725" w:type="pct"/>
                  <w:shd w:val="clear" w:color="auto" w:fill="auto"/>
                  <w:vAlign w:val="top"/>
                </w:tcPr>
                <w:p w14:paraId="14639535">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0.103</w:t>
                  </w:r>
                </w:p>
              </w:tc>
              <w:tc>
                <w:tcPr>
                  <w:tcW w:w="725" w:type="pct"/>
                  <w:shd w:val="clear" w:color="auto" w:fill="auto"/>
                  <w:vAlign w:val="top"/>
                </w:tcPr>
                <w:p w14:paraId="2D702216">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0.105</w:t>
                  </w:r>
                </w:p>
              </w:tc>
            </w:tr>
            <w:tr w14:paraId="7343749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929" w:type="pct"/>
                  <w:vMerge w:val="continue"/>
                  <w:tcBorders>
                    <w:top w:val="nil"/>
                    <w:bottom w:val="nil"/>
                  </w:tcBorders>
                  <w:vAlign w:val="center"/>
                </w:tcPr>
                <w:p w14:paraId="38EA5777">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633" w:type="pct"/>
                  <w:vMerge w:val="continue"/>
                  <w:tcBorders>
                    <w:top w:val="nil"/>
                    <w:bottom w:val="nil"/>
                  </w:tcBorders>
                  <w:vAlign w:val="center"/>
                </w:tcPr>
                <w:p w14:paraId="672616A1">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2"/>
                      <w:sz w:val="21"/>
                      <w:szCs w:val="21"/>
                    </w:rPr>
                  </w:pPr>
                </w:p>
              </w:tc>
              <w:tc>
                <w:tcPr>
                  <w:tcW w:w="534" w:type="pct"/>
                  <w:shd w:val="clear" w:color="auto" w:fill="auto"/>
                  <w:vAlign w:val="top"/>
                </w:tcPr>
                <w:p w14:paraId="2BBAF9A9">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样品编号</w:t>
                  </w:r>
                </w:p>
              </w:tc>
              <w:tc>
                <w:tcPr>
                  <w:tcW w:w="725" w:type="pct"/>
                  <w:shd w:val="clear" w:color="auto" w:fill="auto"/>
                  <w:vAlign w:val="top"/>
                </w:tcPr>
                <w:p w14:paraId="2167F176">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251293W037</w:t>
                  </w:r>
                </w:p>
              </w:tc>
              <w:tc>
                <w:tcPr>
                  <w:tcW w:w="725" w:type="pct"/>
                  <w:shd w:val="clear" w:color="auto" w:fill="auto"/>
                  <w:vAlign w:val="top"/>
                </w:tcPr>
                <w:p w14:paraId="6F08B4F7">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251293W038</w:t>
                  </w:r>
                </w:p>
              </w:tc>
              <w:tc>
                <w:tcPr>
                  <w:tcW w:w="725" w:type="pct"/>
                  <w:shd w:val="clear" w:color="auto" w:fill="auto"/>
                  <w:vAlign w:val="top"/>
                </w:tcPr>
                <w:p w14:paraId="6C50AA1D">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251293W039</w:t>
                  </w:r>
                </w:p>
              </w:tc>
              <w:tc>
                <w:tcPr>
                  <w:tcW w:w="725" w:type="pct"/>
                  <w:shd w:val="clear" w:color="auto" w:fill="auto"/>
                  <w:vAlign w:val="top"/>
                </w:tcPr>
                <w:p w14:paraId="3584A945">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251293W040</w:t>
                  </w:r>
                </w:p>
              </w:tc>
            </w:tr>
            <w:tr w14:paraId="372AC8D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929" w:type="pct"/>
                  <w:vMerge w:val="continue"/>
                  <w:tcBorders>
                    <w:top w:val="nil"/>
                    <w:bottom w:val="nil"/>
                  </w:tcBorders>
                  <w:vAlign w:val="center"/>
                </w:tcPr>
                <w:p w14:paraId="7AC2E250">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633" w:type="pct"/>
                  <w:vMerge w:val="continue"/>
                  <w:tcBorders>
                    <w:top w:val="nil"/>
                    <w:bottom w:val="nil"/>
                  </w:tcBorders>
                  <w:vAlign w:val="center"/>
                </w:tcPr>
                <w:p w14:paraId="398FB9BA">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2"/>
                      <w:sz w:val="21"/>
                      <w:szCs w:val="21"/>
                    </w:rPr>
                  </w:pPr>
                </w:p>
              </w:tc>
              <w:tc>
                <w:tcPr>
                  <w:tcW w:w="534" w:type="pct"/>
                  <w:shd w:val="clear" w:color="auto" w:fill="auto"/>
                  <w:vAlign w:val="top"/>
                </w:tcPr>
                <w:p w14:paraId="1512EECB">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2</w:t>
                  </w:r>
                </w:p>
              </w:tc>
              <w:tc>
                <w:tcPr>
                  <w:tcW w:w="725" w:type="pct"/>
                  <w:shd w:val="clear" w:color="auto" w:fill="auto"/>
                  <w:vAlign w:val="top"/>
                </w:tcPr>
                <w:p w14:paraId="4EF18F12">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0.023</w:t>
                  </w:r>
                </w:p>
              </w:tc>
              <w:tc>
                <w:tcPr>
                  <w:tcW w:w="725" w:type="pct"/>
                  <w:shd w:val="clear" w:color="auto" w:fill="auto"/>
                  <w:vAlign w:val="top"/>
                </w:tcPr>
                <w:p w14:paraId="1C876AB4">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0.104</w:t>
                  </w:r>
                </w:p>
              </w:tc>
              <w:tc>
                <w:tcPr>
                  <w:tcW w:w="725" w:type="pct"/>
                  <w:shd w:val="clear" w:color="auto" w:fill="auto"/>
                  <w:vAlign w:val="top"/>
                </w:tcPr>
                <w:p w14:paraId="67A33B38">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0.106</w:t>
                  </w:r>
                </w:p>
              </w:tc>
              <w:tc>
                <w:tcPr>
                  <w:tcW w:w="725" w:type="pct"/>
                  <w:shd w:val="clear" w:color="auto" w:fill="auto"/>
                  <w:vAlign w:val="top"/>
                </w:tcPr>
                <w:p w14:paraId="0EC2C55D">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0.116</w:t>
                  </w:r>
                </w:p>
              </w:tc>
            </w:tr>
            <w:tr w14:paraId="5F94783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929" w:type="pct"/>
                  <w:vMerge w:val="continue"/>
                  <w:tcBorders>
                    <w:top w:val="nil"/>
                    <w:bottom w:val="nil"/>
                  </w:tcBorders>
                  <w:vAlign w:val="center"/>
                </w:tcPr>
                <w:p w14:paraId="7E21B822">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633" w:type="pct"/>
                  <w:vMerge w:val="continue"/>
                  <w:tcBorders>
                    <w:top w:val="nil"/>
                    <w:bottom w:val="nil"/>
                  </w:tcBorders>
                  <w:vAlign w:val="center"/>
                </w:tcPr>
                <w:p w14:paraId="18238F8D">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2"/>
                      <w:sz w:val="21"/>
                      <w:szCs w:val="21"/>
                    </w:rPr>
                  </w:pPr>
                </w:p>
              </w:tc>
              <w:tc>
                <w:tcPr>
                  <w:tcW w:w="534" w:type="pct"/>
                  <w:shd w:val="clear" w:color="auto" w:fill="auto"/>
                  <w:vAlign w:val="top"/>
                </w:tcPr>
                <w:p w14:paraId="09DD30A9">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样品编号</w:t>
                  </w:r>
                </w:p>
              </w:tc>
              <w:tc>
                <w:tcPr>
                  <w:tcW w:w="725" w:type="pct"/>
                  <w:shd w:val="clear" w:color="auto" w:fill="auto"/>
                  <w:vAlign w:val="top"/>
                </w:tcPr>
                <w:p w14:paraId="466E35F8">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251293W041</w:t>
                  </w:r>
                </w:p>
              </w:tc>
              <w:tc>
                <w:tcPr>
                  <w:tcW w:w="725" w:type="pct"/>
                  <w:shd w:val="clear" w:color="auto" w:fill="auto"/>
                  <w:vAlign w:val="top"/>
                </w:tcPr>
                <w:p w14:paraId="70C19DDC">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251293W042</w:t>
                  </w:r>
                </w:p>
              </w:tc>
              <w:tc>
                <w:tcPr>
                  <w:tcW w:w="725" w:type="pct"/>
                  <w:shd w:val="clear" w:color="auto" w:fill="auto"/>
                  <w:vAlign w:val="top"/>
                </w:tcPr>
                <w:p w14:paraId="5ED1EB3F">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251293W043</w:t>
                  </w:r>
                </w:p>
              </w:tc>
              <w:tc>
                <w:tcPr>
                  <w:tcW w:w="725" w:type="pct"/>
                  <w:shd w:val="clear" w:color="auto" w:fill="auto"/>
                  <w:vAlign w:val="top"/>
                </w:tcPr>
                <w:p w14:paraId="35CD9CEC">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251293W044</w:t>
                  </w:r>
                </w:p>
              </w:tc>
            </w:tr>
            <w:tr w14:paraId="2DA90FA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929" w:type="pct"/>
                  <w:vMerge w:val="continue"/>
                  <w:tcBorders>
                    <w:top w:val="nil"/>
                    <w:bottom w:val="nil"/>
                  </w:tcBorders>
                  <w:vAlign w:val="center"/>
                </w:tcPr>
                <w:p w14:paraId="4748AAF4">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633" w:type="pct"/>
                  <w:vMerge w:val="continue"/>
                  <w:tcBorders>
                    <w:top w:val="nil"/>
                    <w:bottom w:val="nil"/>
                  </w:tcBorders>
                  <w:vAlign w:val="center"/>
                </w:tcPr>
                <w:p w14:paraId="12DF08B7">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2"/>
                      <w:sz w:val="21"/>
                      <w:szCs w:val="21"/>
                    </w:rPr>
                  </w:pPr>
                </w:p>
              </w:tc>
              <w:tc>
                <w:tcPr>
                  <w:tcW w:w="534" w:type="pct"/>
                  <w:shd w:val="clear" w:color="auto" w:fill="auto"/>
                  <w:vAlign w:val="top"/>
                </w:tcPr>
                <w:p w14:paraId="7AF9DB37">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3</w:t>
                  </w:r>
                </w:p>
              </w:tc>
              <w:tc>
                <w:tcPr>
                  <w:tcW w:w="725" w:type="pct"/>
                  <w:shd w:val="clear" w:color="auto" w:fill="auto"/>
                  <w:vAlign w:val="top"/>
                </w:tcPr>
                <w:p w14:paraId="05803BEE">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0.024</w:t>
                  </w:r>
                </w:p>
              </w:tc>
              <w:tc>
                <w:tcPr>
                  <w:tcW w:w="725" w:type="pct"/>
                  <w:shd w:val="clear" w:color="auto" w:fill="auto"/>
                  <w:vAlign w:val="top"/>
                </w:tcPr>
                <w:p w14:paraId="214A9516">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0.110</w:t>
                  </w:r>
                </w:p>
              </w:tc>
              <w:tc>
                <w:tcPr>
                  <w:tcW w:w="725" w:type="pct"/>
                  <w:shd w:val="clear" w:color="auto" w:fill="auto"/>
                  <w:vAlign w:val="top"/>
                </w:tcPr>
                <w:p w14:paraId="1DB2E080">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0.109</w:t>
                  </w:r>
                </w:p>
              </w:tc>
              <w:tc>
                <w:tcPr>
                  <w:tcW w:w="725" w:type="pct"/>
                  <w:shd w:val="clear" w:color="auto" w:fill="auto"/>
                  <w:vAlign w:val="top"/>
                </w:tcPr>
                <w:p w14:paraId="33D761A1">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0.112</w:t>
                  </w:r>
                </w:p>
              </w:tc>
            </w:tr>
            <w:tr w14:paraId="4144EEB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929" w:type="pct"/>
                  <w:vMerge w:val="continue"/>
                  <w:tcBorders>
                    <w:top w:val="nil"/>
                    <w:bottom w:val="nil"/>
                  </w:tcBorders>
                  <w:vAlign w:val="center"/>
                </w:tcPr>
                <w:p w14:paraId="6FA6FD96">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633" w:type="pct"/>
                  <w:vMerge w:val="continue"/>
                  <w:tcBorders>
                    <w:top w:val="nil"/>
                    <w:bottom w:val="nil"/>
                  </w:tcBorders>
                  <w:vAlign w:val="center"/>
                </w:tcPr>
                <w:p w14:paraId="37F81619">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2"/>
                      <w:sz w:val="21"/>
                      <w:szCs w:val="21"/>
                    </w:rPr>
                  </w:pPr>
                </w:p>
              </w:tc>
              <w:tc>
                <w:tcPr>
                  <w:tcW w:w="534" w:type="pct"/>
                  <w:shd w:val="clear" w:color="auto" w:fill="auto"/>
                  <w:vAlign w:val="top"/>
                </w:tcPr>
                <w:p w14:paraId="1AD9017C">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样品编号</w:t>
                  </w:r>
                </w:p>
              </w:tc>
              <w:tc>
                <w:tcPr>
                  <w:tcW w:w="725" w:type="pct"/>
                  <w:shd w:val="clear" w:color="auto" w:fill="auto"/>
                  <w:vAlign w:val="top"/>
                </w:tcPr>
                <w:p w14:paraId="561B7617">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251293W045</w:t>
                  </w:r>
                </w:p>
              </w:tc>
              <w:tc>
                <w:tcPr>
                  <w:tcW w:w="725" w:type="pct"/>
                  <w:shd w:val="clear" w:color="auto" w:fill="auto"/>
                  <w:vAlign w:val="top"/>
                </w:tcPr>
                <w:p w14:paraId="0E1345BE">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251293W046</w:t>
                  </w:r>
                </w:p>
              </w:tc>
              <w:tc>
                <w:tcPr>
                  <w:tcW w:w="725" w:type="pct"/>
                  <w:shd w:val="clear" w:color="auto" w:fill="auto"/>
                  <w:vAlign w:val="top"/>
                </w:tcPr>
                <w:p w14:paraId="064C86D9">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251293W047</w:t>
                  </w:r>
                </w:p>
              </w:tc>
              <w:tc>
                <w:tcPr>
                  <w:tcW w:w="725" w:type="pct"/>
                  <w:shd w:val="clear" w:color="auto" w:fill="auto"/>
                  <w:vAlign w:val="top"/>
                </w:tcPr>
                <w:p w14:paraId="74DE03E4">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251293W048</w:t>
                  </w:r>
                </w:p>
              </w:tc>
            </w:tr>
            <w:tr w14:paraId="1418729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929" w:type="pct"/>
                  <w:vMerge w:val="continue"/>
                  <w:tcBorders>
                    <w:top w:val="nil"/>
                  </w:tcBorders>
                  <w:vAlign w:val="center"/>
                </w:tcPr>
                <w:p w14:paraId="7F2533D4">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p>
              </w:tc>
              <w:tc>
                <w:tcPr>
                  <w:tcW w:w="633" w:type="pct"/>
                  <w:vMerge w:val="continue"/>
                  <w:tcBorders>
                    <w:top w:val="nil"/>
                  </w:tcBorders>
                  <w:vAlign w:val="center"/>
                </w:tcPr>
                <w:p w14:paraId="4D387B5D">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2"/>
                      <w:sz w:val="21"/>
                      <w:szCs w:val="21"/>
                    </w:rPr>
                  </w:pPr>
                </w:p>
              </w:tc>
              <w:tc>
                <w:tcPr>
                  <w:tcW w:w="534" w:type="pct"/>
                  <w:shd w:val="clear" w:color="auto" w:fill="auto"/>
                  <w:vAlign w:val="top"/>
                </w:tcPr>
                <w:p w14:paraId="5D6A9C38">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4</w:t>
                  </w:r>
                </w:p>
              </w:tc>
              <w:tc>
                <w:tcPr>
                  <w:tcW w:w="725" w:type="pct"/>
                  <w:shd w:val="clear" w:color="auto" w:fill="auto"/>
                  <w:vAlign w:val="top"/>
                </w:tcPr>
                <w:p w14:paraId="14A77872">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0.028</w:t>
                  </w:r>
                </w:p>
              </w:tc>
              <w:tc>
                <w:tcPr>
                  <w:tcW w:w="725" w:type="pct"/>
                  <w:shd w:val="clear" w:color="auto" w:fill="auto"/>
                  <w:vAlign w:val="top"/>
                </w:tcPr>
                <w:p w14:paraId="5E853CC6">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0.111</w:t>
                  </w:r>
                </w:p>
              </w:tc>
              <w:tc>
                <w:tcPr>
                  <w:tcW w:w="725" w:type="pct"/>
                  <w:shd w:val="clear" w:color="auto" w:fill="auto"/>
                  <w:vAlign w:val="top"/>
                </w:tcPr>
                <w:p w14:paraId="360AF4FC">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0.113</w:t>
                  </w:r>
                </w:p>
              </w:tc>
              <w:tc>
                <w:tcPr>
                  <w:tcW w:w="725" w:type="pct"/>
                  <w:shd w:val="clear" w:color="auto" w:fill="auto"/>
                  <w:vAlign w:val="top"/>
                </w:tcPr>
                <w:p w14:paraId="6B62577C">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1"/>
                      <w:sz w:val="21"/>
                      <w:szCs w:val="21"/>
                      <w:lang w:val="en-US" w:eastAsia="en-US"/>
                    </w:rPr>
                  </w:pPr>
                  <w:r>
                    <w:rPr>
                      <w:rFonts w:hint="eastAsia" w:ascii="Times New Roman" w:hAnsi="Times New Roman" w:cs="Times New Roman"/>
                      <w:color w:val="auto"/>
                      <w:spacing w:val="-1"/>
                      <w:sz w:val="21"/>
                      <w:szCs w:val="21"/>
                      <w:lang w:val="en-US" w:eastAsia="zh-CN"/>
                    </w:rPr>
                    <w:t>0.115</w:t>
                  </w:r>
                </w:p>
              </w:tc>
            </w:tr>
            <w:tr w14:paraId="344B5E8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563" w:type="pct"/>
                  <w:gridSpan w:val="2"/>
                  <w:vAlign w:val="center"/>
                </w:tcPr>
                <w:p w14:paraId="6D4BC235">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2"/>
                      <w:sz w:val="21"/>
                      <w:szCs w:val="21"/>
                    </w:rPr>
                    <w:t>备注</w:t>
                  </w:r>
                </w:p>
              </w:tc>
              <w:tc>
                <w:tcPr>
                  <w:tcW w:w="3436" w:type="pct"/>
                  <w:gridSpan w:val="5"/>
                  <w:vAlign w:val="center"/>
                </w:tcPr>
                <w:p w14:paraId="6EEDC381">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bl>
          <w:p w14:paraId="50067EF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cs="Times New Roman"/>
                <w:color w:val="auto"/>
                <w:sz w:val="24"/>
                <w:szCs w:val="24"/>
                <w:lang w:val="en-US" w:eastAsia="zh-CN"/>
              </w:rPr>
            </w:pPr>
            <w:r>
              <w:rPr>
                <w:rFonts w:hint="default" w:ascii="Times New Roman" w:hAnsi="Times New Roman" w:cs="Times New Roman"/>
                <w:color w:val="auto"/>
                <w:sz w:val="24"/>
                <w:lang w:val="en-US" w:eastAsia="zh-CN"/>
              </w:rPr>
              <w:t>从上</w:t>
            </w:r>
            <w:r>
              <w:rPr>
                <w:rFonts w:hint="eastAsia" w:cs="Times New Roman"/>
                <w:color w:val="auto"/>
                <w:sz w:val="24"/>
                <w:lang w:val="en-US" w:eastAsia="zh-CN"/>
              </w:rPr>
              <w:t>两</w:t>
            </w:r>
            <w:r>
              <w:rPr>
                <w:rFonts w:hint="default" w:ascii="Times New Roman" w:hAnsi="Times New Roman" w:cs="Times New Roman"/>
                <w:color w:val="auto"/>
                <w:sz w:val="24"/>
                <w:lang w:val="en-US" w:eastAsia="zh-CN"/>
              </w:rPr>
              <w:t>表可以看出，</w:t>
            </w:r>
            <w:r>
              <w:rPr>
                <w:rFonts w:hint="eastAsia" w:cs="Times New Roman"/>
                <w:color w:val="auto"/>
                <w:sz w:val="24"/>
                <w:lang w:val="en-US" w:eastAsia="zh-CN"/>
              </w:rPr>
              <w:t>无组织排放的VOCs（以非甲烷总烃计）厂界浓度最大值为1.19</w:t>
            </w:r>
            <w:r>
              <w:rPr>
                <w:rFonts w:hint="default" w:ascii="Times New Roman" w:hAnsi="Times New Roman" w:cs="Times New Roman"/>
                <w:color w:val="auto"/>
                <w:sz w:val="24"/>
                <w:szCs w:val="24"/>
                <w:lang w:val="en-US" w:eastAsia="zh-CN"/>
              </w:rPr>
              <w:t>mg/m</w:t>
            </w:r>
            <w:r>
              <w:rPr>
                <w:rFonts w:hint="default" w:ascii="Times New Roman" w:hAnsi="Times New Roman" w:cs="Times New Roman"/>
                <w:color w:val="auto"/>
                <w:sz w:val="24"/>
                <w:szCs w:val="24"/>
                <w:vertAlign w:val="superscript"/>
                <w:lang w:val="en-US" w:eastAsia="zh-CN"/>
              </w:rPr>
              <w:t>3</w:t>
            </w:r>
            <w:r>
              <w:rPr>
                <w:rFonts w:hint="default" w:ascii="Times New Roman" w:hAnsi="Times New Roman" w:cs="Times New Roman"/>
                <w:color w:val="auto"/>
                <w:sz w:val="24"/>
                <w:szCs w:val="24"/>
                <w:lang w:val="en-US" w:eastAsia="zh-CN"/>
              </w:rPr>
              <w:t>，满足《挥发性有机物排放标准 第7部分：其他行业》</w:t>
            </w:r>
            <w:r>
              <w:rPr>
                <w:rFonts w:hint="default" w:ascii="Times New Roman" w:hAnsi="Times New Roman" w:eastAsia="宋体" w:cs="Times New Roman"/>
                <w:color w:val="auto"/>
                <w:kern w:val="0"/>
                <w:sz w:val="24"/>
                <w:szCs w:val="24"/>
                <w:lang w:val="en-US" w:eastAsia="zh-CN" w:bidi="ar"/>
              </w:rPr>
              <w:t>（DB37/2801.7-2019）表</w:t>
            </w:r>
            <w:r>
              <w:rPr>
                <w:rFonts w:hint="eastAsia" w:cs="Times New Roman"/>
                <w:color w:val="auto"/>
                <w:kern w:val="0"/>
                <w:sz w:val="24"/>
                <w:szCs w:val="24"/>
                <w:lang w:val="en-US" w:eastAsia="zh-CN" w:bidi="ar"/>
              </w:rPr>
              <w:t>2</w:t>
            </w:r>
            <w:r>
              <w:rPr>
                <w:rFonts w:hint="default" w:ascii="Times New Roman" w:hAnsi="Times New Roman" w:eastAsia="宋体" w:cs="Times New Roman"/>
                <w:color w:val="auto"/>
                <w:kern w:val="0"/>
                <w:sz w:val="24"/>
                <w:szCs w:val="24"/>
                <w:lang w:val="en-US" w:eastAsia="zh-CN" w:bidi="ar"/>
              </w:rPr>
              <w:t>中</w:t>
            </w:r>
            <w:r>
              <w:rPr>
                <w:rFonts w:hint="eastAsia" w:cs="Times New Roman"/>
                <w:color w:val="auto"/>
                <w:kern w:val="0"/>
                <w:sz w:val="24"/>
                <w:szCs w:val="24"/>
                <w:lang w:val="en-US" w:eastAsia="zh-CN" w:bidi="ar"/>
              </w:rPr>
              <w:t>厂界监控点浓度限值</w:t>
            </w:r>
            <w:r>
              <w:rPr>
                <w:rFonts w:hint="eastAsia" w:cs="Times New Roman"/>
                <w:color w:val="auto"/>
                <w:sz w:val="24"/>
                <w:szCs w:val="24"/>
                <w:lang w:val="en-US" w:eastAsia="zh-CN"/>
              </w:rPr>
              <w:t>（即</w:t>
            </w:r>
            <w:r>
              <w:rPr>
                <w:rFonts w:hint="eastAsia" w:ascii="Times New Roman" w:hAnsi="Times New Roman" w:cs="Times New Roman"/>
                <w:color w:val="auto"/>
                <w:kern w:val="0"/>
                <w:sz w:val="24"/>
                <w:szCs w:val="24"/>
                <w:lang w:val="en-US" w:eastAsia="zh-CN" w:bidi="ar"/>
              </w:rPr>
              <w:t>排放浓度＜</w:t>
            </w:r>
            <w:r>
              <w:rPr>
                <w:rFonts w:hint="eastAsia" w:cs="Times New Roman"/>
                <w:color w:val="auto"/>
                <w:sz w:val="24"/>
                <w:szCs w:val="24"/>
                <w:lang w:val="en-US" w:eastAsia="zh-CN"/>
              </w:rPr>
              <w:t>2.0</w:t>
            </w:r>
            <w:r>
              <w:rPr>
                <w:rFonts w:hint="default" w:ascii="Times New Roman" w:hAnsi="Times New Roman" w:cs="Times New Roman"/>
                <w:color w:val="auto"/>
                <w:sz w:val="24"/>
                <w:szCs w:val="24"/>
                <w:lang w:val="en-US" w:eastAsia="zh-CN"/>
              </w:rPr>
              <w:t>mg/m</w:t>
            </w:r>
            <w:r>
              <w:rPr>
                <w:rFonts w:hint="default" w:ascii="Times New Roman" w:hAnsi="Times New Roman" w:cs="Times New Roman"/>
                <w:color w:val="auto"/>
                <w:sz w:val="24"/>
                <w:szCs w:val="24"/>
                <w:vertAlign w:val="superscript"/>
                <w:lang w:val="en-US" w:eastAsia="zh-CN"/>
              </w:rPr>
              <w:t>3</w:t>
            </w:r>
            <w:r>
              <w:rPr>
                <w:rFonts w:hint="eastAsia" w:cs="Times New Roman"/>
                <w:color w:val="auto"/>
                <w:sz w:val="24"/>
                <w:szCs w:val="24"/>
                <w:lang w:val="en-US" w:eastAsia="zh-CN"/>
              </w:rPr>
              <w:t>）；</w:t>
            </w:r>
            <w:r>
              <w:rPr>
                <w:rFonts w:hint="eastAsia" w:cs="Times New Roman"/>
                <w:color w:val="auto"/>
                <w:sz w:val="24"/>
                <w:lang w:val="en-US" w:eastAsia="zh-CN"/>
              </w:rPr>
              <w:t>无组织排放的氯化氢厂界浓度最大值为0.16</w:t>
            </w:r>
            <w:r>
              <w:rPr>
                <w:rFonts w:hint="default" w:ascii="Times New Roman" w:hAnsi="Times New Roman" w:cs="Times New Roman"/>
                <w:color w:val="auto"/>
                <w:sz w:val="24"/>
                <w:szCs w:val="24"/>
                <w:lang w:val="en-US" w:eastAsia="zh-CN"/>
              </w:rPr>
              <w:t>mg/m</w:t>
            </w:r>
            <w:r>
              <w:rPr>
                <w:rFonts w:hint="default" w:ascii="Times New Roman" w:hAnsi="Times New Roman" w:cs="Times New Roman"/>
                <w:color w:val="auto"/>
                <w:sz w:val="24"/>
                <w:szCs w:val="24"/>
                <w:vertAlign w:val="superscript"/>
                <w:lang w:val="en-US" w:eastAsia="zh-CN"/>
              </w:rPr>
              <w:t>3</w:t>
            </w:r>
            <w:r>
              <w:rPr>
                <w:rFonts w:hint="default" w:ascii="Times New Roman" w:hAnsi="Times New Roman" w:cs="Times New Roman"/>
                <w:color w:val="auto"/>
                <w:sz w:val="24"/>
                <w:szCs w:val="24"/>
                <w:lang w:val="en-US" w:eastAsia="zh-CN"/>
              </w:rPr>
              <w:t>，</w:t>
            </w:r>
            <w:r>
              <w:rPr>
                <w:rFonts w:hint="eastAsia" w:cs="Times New Roman"/>
                <w:color w:val="auto"/>
                <w:sz w:val="24"/>
                <w:szCs w:val="24"/>
                <w:lang w:val="en-US" w:eastAsia="zh-CN"/>
              </w:rPr>
              <w:t>满足《大气污染物综合排放标准》（GB16297-1996）表2中氯化氢周界外浓度排放限值（即</w:t>
            </w:r>
            <w:r>
              <w:rPr>
                <w:rFonts w:hint="eastAsia" w:ascii="Times New Roman" w:hAnsi="Times New Roman" w:cs="Times New Roman"/>
                <w:color w:val="auto"/>
                <w:kern w:val="0"/>
                <w:sz w:val="24"/>
                <w:szCs w:val="24"/>
                <w:lang w:val="en-US" w:eastAsia="zh-CN" w:bidi="ar"/>
              </w:rPr>
              <w:t>排放浓度＜</w:t>
            </w:r>
            <w:r>
              <w:rPr>
                <w:rFonts w:hint="eastAsia" w:cs="Times New Roman"/>
                <w:color w:val="auto"/>
                <w:sz w:val="24"/>
                <w:szCs w:val="24"/>
                <w:lang w:val="en-US" w:eastAsia="zh-CN"/>
              </w:rPr>
              <w:t>0.2</w:t>
            </w:r>
            <w:r>
              <w:rPr>
                <w:rFonts w:hint="default" w:ascii="Times New Roman" w:hAnsi="Times New Roman" w:cs="Times New Roman"/>
                <w:color w:val="auto"/>
                <w:sz w:val="24"/>
                <w:szCs w:val="24"/>
                <w:lang w:val="en-US" w:eastAsia="zh-CN"/>
              </w:rPr>
              <w:t>mg/m</w:t>
            </w:r>
            <w:r>
              <w:rPr>
                <w:rFonts w:hint="default" w:ascii="Times New Roman" w:hAnsi="Times New Roman" w:cs="Times New Roman"/>
                <w:color w:val="auto"/>
                <w:sz w:val="24"/>
                <w:szCs w:val="24"/>
                <w:vertAlign w:val="superscript"/>
                <w:lang w:val="en-US" w:eastAsia="zh-CN"/>
              </w:rPr>
              <w:t>3</w:t>
            </w:r>
            <w:r>
              <w:rPr>
                <w:rFonts w:hint="eastAsia" w:cs="Times New Roman"/>
                <w:color w:val="auto"/>
                <w:sz w:val="24"/>
                <w:szCs w:val="24"/>
                <w:lang w:val="en-US" w:eastAsia="zh-CN"/>
              </w:rPr>
              <w:t>）；</w:t>
            </w:r>
            <w:r>
              <w:rPr>
                <w:rFonts w:hint="eastAsia" w:cs="Times New Roman"/>
                <w:color w:val="auto"/>
                <w:sz w:val="24"/>
                <w:lang w:val="en-US" w:eastAsia="zh-CN"/>
              </w:rPr>
              <w:t>无组织排放的硫酸雾厂界浓度最大值为0.127</w:t>
            </w:r>
            <w:r>
              <w:rPr>
                <w:rFonts w:hint="default" w:ascii="Times New Roman" w:hAnsi="Times New Roman" w:cs="Times New Roman"/>
                <w:color w:val="auto"/>
                <w:sz w:val="24"/>
                <w:szCs w:val="24"/>
                <w:lang w:val="en-US" w:eastAsia="zh-CN"/>
              </w:rPr>
              <w:t>mg/m</w:t>
            </w:r>
            <w:r>
              <w:rPr>
                <w:rFonts w:hint="default" w:ascii="Times New Roman" w:hAnsi="Times New Roman" w:cs="Times New Roman"/>
                <w:color w:val="auto"/>
                <w:sz w:val="24"/>
                <w:szCs w:val="24"/>
                <w:vertAlign w:val="superscript"/>
                <w:lang w:val="en-US" w:eastAsia="zh-CN"/>
              </w:rPr>
              <w:t>3</w:t>
            </w:r>
            <w:r>
              <w:rPr>
                <w:rFonts w:hint="default" w:ascii="Times New Roman" w:hAnsi="Times New Roman" w:cs="Times New Roman"/>
                <w:color w:val="auto"/>
                <w:sz w:val="24"/>
                <w:szCs w:val="24"/>
                <w:lang w:val="en-US" w:eastAsia="zh-CN"/>
              </w:rPr>
              <w:t>，</w:t>
            </w:r>
            <w:r>
              <w:rPr>
                <w:rFonts w:hint="eastAsia" w:cs="Times New Roman"/>
                <w:color w:val="auto"/>
                <w:sz w:val="24"/>
                <w:szCs w:val="24"/>
                <w:lang w:val="en-US" w:eastAsia="zh-CN"/>
              </w:rPr>
              <w:t>满足《大气污染物综合排放标准》（GB16297-1996）表2中硫酸</w:t>
            </w:r>
            <w:r>
              <w:rPr>
                <w:rFonts w:hint="eastAsia" w:cs="Times New Roman"/>
                <w:color w:val="auto"/>
                <w:sz w:val="24"/>
                <w:lang w:val="en-US" w:eastAsia="zh-CN"/>
              </w:rPr>
              <w:t>雾周界外浓度排放限值（</w:t>
            </w:r>
            <w:r>
              <w:rPr>
                <w:rFonts w:hint="eastAsia" w:cs="Times New Roman"/>
                <w:color w:val="auto"/>
                <w:sz w:val="24"/>
                <w:szCs w:val="24"/>
                <w:lang w:val="en-US" w:eastAsia="zh-CN"/>
              </w:rPr>
              <w:t>即</w:t>
            </w:r>
            <w:r>
              <w:rPr>
                <w:rFonts w:hint="eastAsia" w:ascii="Times New Roman" w:hAnsi="Times New Roman" w:cs="Times New Roman"/>
                <w:color w:val="auto"/>
                <w:kern w:val="0"/>
                <w:sz w:val="24"/>
                <w:szCs w:val="24"/>
                <w:lang w:val="en-US" w:eastAsia="zh-CN" w:bidi="ar"/>
              </w:rPr>
              <w:t>排放浓度＜</w:t>
            </w:r>
            <w:r>
              <w:rPr>
                <w:rFonts w:hint="eastAsia" w:cs="Times New Roman"/>
                <w:color w:val="auto"/>
                <w:sz w:val="24"/>
                <w:szCs w:val="24"/>
                <w:lang w:val="en-US" w:eastAsia="zh-CN"/>
              </w:rPr>
              <w:t>1.2</w:t>
            </w:r>
            <w:r>
              <w:rPr>
                <w:rFonts w:hint="default" w:ascii="Times New Roman" w:hAnsi="Times New Roman" w:cs="Times New Roman"/>
                <w:color w:val="auto"/>
                <w:sz w:val="24"/>
                <w:szCs w:val="24"/>
                <w:lang w:val="en-US" w:eastAsia="zh-CN"/>
              </w:rPr>
              <w:t>mg/m</w:t>
            </w:r>
            <w:r>
              <w:rPr>
                <w:rFonts w:hint="default" w:ascii="Times New Roman" w:hAnsi="Times New Roman" w:cs="Times New Roman"/>
                <w:color w:val="auto"/>
                <w:sz w:val="24"/>
                <w:szCs w:val="24"/>
                <w:vertAlign w:val="superscript"/>
                <w:lang w:val="en-US" w:eastAsia="zh-CN"/>
              </w:rPr>
              <w:t>3</w:t>
            </w:r>
            <w:r>
              <w:rPr>
                <w:rFonts w:hint="eastAsia" w:cs="Times New Roman"/>
                <w:color w:val="auto"/>
                <w:sz w:val="24"/>
                <w:szCs w:val="24"/>
                <w:lang w:val="en-US" w:eastAsia="zh-CN"/>
              </w:rPr>
              <w:t>）。</w:t>
            </w:r>
          </w:p>
          <w:p w14:paraId="46509904">
            <w:pPr>
              <w:keepNext w:val="0"/>
              <w:keepLines w:val="0"/>
              <w:pageBreakBefore w:val="0"/>
              <w:widowControl w:val="0"/>
              <w:numPr>
                <w:ilvl w:val="0"/>
                <w:numId w:val="21"/>
              </w:numPr>
              <w:kinsoku/>
              <w:wordWrap/>
              <w:overflowPunct/>
              <w:topLinePunct w:val="0"/>
              <w:autoSpaceDE/>
              <w:autoSpaceDN/>
              <w:bidi w:val="0"/>
              <w:adjustRightInd w:val="0"/>
              <w:snapToGrid w:val="0"/>
              <w:spacing w:line="360" w:lineRule="auto"/>
              <w:ind w:left="0" w:leftChars="0" w:firstLine="425" w:firstLineChars="0"/>
              <w:textAlignment w:val="auto"/>
              <w:rPr>
                <w:rFonts w:hint="default" w:ascii="Times New Roman" w:hAnsi="Times New Roman" w:cs="Times New Roman"/>
                <w:color w:val="auto"/>
                <w:sz w:val="24"/>
                <w:lang w:val="en-US" w:eastAsia="zh-CN"/>
              </w:rPr>
            </w:pPr>
            <w:r>
              <w:rPr>
                <w:rFonts w:hint="eastAsia" w:ascii="Times New Roman" w:hAnsi="Times New Roman" w:cs="Times New Roman"/>
                <w:color w:val="auto"/>
                <w:sz w:val="24"/>
                <w:lang w:val="en-US" w:eastAsia="zh-CN"/>
              </w:rPr>
              <w:t>废水</w:t>
            </w:r>
          </w:p>
          <w:p w14:paraId="01B1BD6A">
            <w:pPr>
              <w:widowControl/>
              <w:adjustRightInd w:val="0"/>
              <w:snapToGrid w:val="0"/>
              <w:spacing w:line="360" w:lineRule="auto"/>
              <w:ind w:firstLine="480" w:firstLineChars="200"/>
              <w:jc w:val="left"/>
              <w:rPr>
                <w:rFonts w:hint="eastAsia"/>
                <w:color w:val="auto"/>
                <w:sz w:val="24"/>
              </w:rPr>
            </w:pPr>
            <w:r>
              <w:rPr>
                <w:rFonts w:hint="eastAsia"/>
                <w:color w:val="auto"/>
                <w:sz w:val="24"/>
              </w:rPr>
              <w:t>项目废水主要为生活污水。</w:t>
            </w:r>
          </w:p>
          <w:p w14:paraId="5B8A5505">
            <w:pPr>
              <w:widowControl/>
              <w:adjustRightInd w:val="0"/>
              <w:snapToGrid w:val="0"/>
              <w:spacing w:line="360" w:lineRule="auto"/>
              <w:ind w:firstLine="480" w:firstLineChars="200"/>
              <w:jc w:val="left"/>
              <w:rPr>
                <w:rFonts w:hint="eastAsia"/>
                <w:color w:val="auto"/>
                <w:sz w:val="24"/>
              </w:rPr>
            </w:pPr>
            <w:r>
              <w:rPr>
                <w:rFonts w:hint="eastAsia"/>
                <w:color w:val="auto"/>
                <w:sz w:val="24"/>
              </w:rPr>
              <w:t>本项目劳动定员为5人，生活污水以每人0.05t/d计，水使用量为75t/a，生活污水产生系数为80%，则生活污水产生量为60t/a。生活污水经化粪池</w:t>
            </w:r>
            <w:r>
              <w:rPr>
                <w:rFonts w:hint="eastAsia"/>
                <w:color w:val="auto"/>
                <w:sz w:val="24"/>
                <w:lang w:val="en-US" w:eastAsia="zh-CN"/>
              </w:rPr>
              <w:t>暂存</w:t>
            </w:r>
            <w:r>
              <w:rPr>
                <w:rFonts w:hint="eastAsia"/>
                <w:color w:val="auto"/>
                <w:sz w:val="24"/>
              </w:rPr>
              <w:t>后，由环卫部门定期清运，不外排。</w:t>
            </w:r>
          </w:p>
          <w:p w14:paraId="00723131">
            <w:pPr>
              <w:keepNext w:val="0"/>
              <w:keepLines w:val="0"/>
              <w:pageBreakBefore w:val="0"/>
              <w:widowControl w:val="0"/>
              <w:numPr>
                <w:ilvl w:val="0"/>
                <w:numId w:val="21"/>
              </w:numPr>
              <w:kinsoku/>
              <w:wordWrap/>
              <w:overflowPunct/>
              <w:topLinePunct w:val="0"/>
              <w:autoSpaceDE/>
              <w:autoSpaceDN/>
              <w:bidi w:val="0"/>
              <w:adjustRightInd w:val="0"/>
              <w:snapToGrid w:val="0"/>
              <w:spacing w:line="360" w:lineRule="auto"/>
              <w:ind w:left="0" w:leftChars="0" w:firstLine="425" w:firstLineChars="0"/>
              <w:textAlignment w:val="auto"/>
              <w:rPr>
                <w:rFonts w:hint="default" w:ascii="Times New Roman" w:hAnsi="Times New Roman" w:cs="Times New Roman"/>
                <w:color w:val="auto"/>
                <w:sz w:val="24"/>
                <w:lang w:val="en-US" w:eastAsia="zh-CN"/>
              </w:rPr>
            </w:pPr>
            <w:r>
              <w:rPr>
                <w:rFonts w:hint="eastAsia" w:cs="Times New Roman"/>
                <w:color w:val="auto"/>
                <w:sz w:val="24"/>
                <w:lang w:val="en-US" w:eastAsia="zh-CN"/>
              </w:rPr>
              <w:t>噪声</w:t>
            </w:r>
          </w:p>
          <w:p w14:paraId="40608E6A">
            <w:pPr>
              <w:widowControl/>
              <w:adjustRightInd w:val="0"/>
              <w:snapToGrid w:val="0"/>
              <w:spacing w:line="360" w:lineRule="auto"/>
              <w:ind w:firstLine="480" w:firstLineChars="200"/>
              <w:jc w:val="left"/>
              <w:rPr>
                <w:rFonts w:hint="eastAsia"/>
                <w:color w:val="auto"/>
                <w:sz w:val="24"/>
                <w:lang w:val="en-US" w:eastAsia="zh-CN"/>
              </w:rPr>
            </w:pPr>
            <w:r>
              <w:rPr>
                <w:rFonts w:hint="eastAsia"/>
                <w:color w:val="auto"/>
                <w:sz w:val="24"/>
                <w:lang w:val="en-US" w:eastAsia="zh-CN"/>
              </w:rPr>
              <w:t>本项目噪声主要为进出厂区内运输车辆、风机运转时产生的噪声，其噪声级一般在75-85dB（A）之间。</w:t>
            </w:r>
          </w:p>
          <w:p w14:paraId="36723D3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eastAsia="宋体"/>
                <w:color w:val="auto"/>
                <w:sz w:val="24"/>
                <w:lang w:val="en-US" w:eastAsia="zh-CN"/>
              </w:rPr>
            </w:pPr>
            <w:r>
              <w:rPr>
                <w:rFonts w:hint="default" w:eastAsia="宋体"/>
                <w:color w:val="auto"/>
                <w:sz w:val="24"/>
                <w:lang w:val="en-US" w:eastAsia="zh-CN"/>
              </w:rPr>
              <w:t>为了有效降低噪声，工程主要采取购置低噪设备，对高噪声设备采取消声、减振等措施降低噪声影响。</w:t>
            </w:r>
          </w:p>
          <w:p w14:paraId="7781A82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lang w:val="en-US" w:eastAsia="zh-CN"/>
              </w:rPr>
            </w:pPr>
            <w:r>
              <w:rPr>
                <w:rFonts w:hint="eastAsia" w:ascii="Times New Roman" w:hAnsi="Times New Roman" w:cs="Times New Roman"/>
                <w:color w:val="auto"/>
                <w:sz w:val="24"/>
                <w:lang w:val="en-US" w:eastAsia="zh-CN"/>
              </w:rPr>
              <w:t>根据《淄博利赛环保科技有限公司</w:t>
            </w:r>
            <w:r>
              <w:rPr>
                <w:rFonts w:hint="eastAsia" w:cs="Times New Roman"/>
                <w:color w:val="auto"/>
                <w:sz w:val="24"/>
                <w:lang w:val="en-US" w:eastAsia="zh-CN"/>
              </w:rPr>
              <w:t>检测报告</w:t>
            </w:r>
            <w:r>
              <w:rPr>
                <w:rFonts w:hint="eastAsia" w:ascii="Times New Roman" w:hAnsi="Times New Roman" w:cs="Times New Roman"/>
                <w:color w:val="auto"/>
                <w:sz w:val="24"/>
                <w:lang w:val="en-US" w:eastAsia="zh-CN"/>
              </w:rPr>
              <w:t>》（报告编号</w:t>
            </w:r>
            <w:r>
              <w:rPr>
                <w:rFonts w:hint="eastAsia" w:cs="Times New Roman"/>
                <w:color w:val="auto"/>
                <w:sz w:val="24"/>
                <w:lang w:val="en-US" w:eastAsia="zh-CN"/>
              </w:rPr>
              <w:t>：</w:t>
            </w:r>
            <w:r>
              <w:rPr>
                <w:rFonts w:hint="eastAsia" w:ascii="Times New Roman" w:hAnsi="Times New Roman" w:cs="Times New Roman"/>
                <w:color w:val="auto"/>
                <w:sz w:val="24"/>
                <w:lang w:val="en-US" w:eastAsia="zh-CN"/>
              </w:rPr>
              <w:t>DLJC202506101</w:t>
            </w:r>
            <w:r>
              <w:rPr>
                <w:rFonts w:hint="eastAsia" w:cs="Times New Roman"/>
                <w:color w:val="auto"/>
                <w:sz w:val="24"/>
                <w:lang w:val="en-US" w:eastAsia="zh-CN"/>
              </w:rPr>
              <w:t>、</w:t>
            </w:r>
            <w:r>
              <w:rPr>
                <w:rFonts w:hint="eastAsia" w:ascii="Times New Roman" w:hAnsi="Times New Roman" w:cs="Times New Roman"/>
                <w:color w:val="auto"/>
                <w:sz w:val="24"/>
                <w:lang w:val="en-US" w:eastAsia="zh-CN"/>
              </w:rPr>
              <w:t>DLJC20251293</w:t>
            </w:r>
            <w:r>
              <w:rPr>
                <w:rFonts w:hint="default" w:ascii="Times New Roman" w:hAnsi="Times New Roman" w:cs="Times New Roman"/>
                <w:color w:val="auto"/>
                <w:sz w:val="24"/>
                <w:lang w:val="en-US" w:eastAsia="zh-CN"/>
              </w:rPr>
              <w:t>）</w:t>
            </w:r>
            <w:r>
              <w:rPr>
                <w:rFonts w:hint="eastAsia" w:cs="Times New Roman"/>
                <w:color w:val="auto"/>
                <w:sz w:val="24"/>
                <w:lang w:val="en-US" w:eastAsia="zh-CN"/>
              </w:rPr>
              <w:t>（详见附件十一）</w:t>
            </w:r>
            <w:r>
              <w:rPr>
                <w:rFonts w:hint="eastAsia" w:ascii="Times New Roman" w:hAnsi="Times New Roman" w:cs="Times New Roman"/>
                <w:color w:val="auto"/>
                <w:sz w:val="24"/>
                <w:lang w:val="en-US" w:eastAsia="zh-CN"/>
              </w:rPr>
              <w:t>，</w:t>
            </w:r>
            <w:r>
              <w:rPr>
                <w:rFonts w:hint="eastAsia" w:cs="Times New Roman"/>
                <w:color w:val="auto"/>
                <w:sz w:val="24"/>
                <w:lang w:val="en-US" w:eastAsia="zh-CN"/>
              </w:rPr>
              <w:t>厂界噪声检测结果见下表：</w:t>
            </w:r>
          </w:p>
          <w:p w14:paraId="71D887F7">
            <w:pPr>
              <w:keepNext w:val="0"/>
              <w:keepLines w:val="0"/>
              <w:pageBreakBefore w:val="0"/>
              <w:widowControl w:val="0"/>
              <w:numPr>
                <w:ilvl w:val="0"/>
                <w:numId w:val="14"/>
              </w:numPr>
              <w:kinsoku/>
              <w:wordWrap/>
              <w:overflowPunct/>
              <w:topLinePunct w:val="0"/>
              <w:autoSpaceDE w:val="0"/>
              <w:autoSpaceDN w:val="0"/>
              <w:bidi w:val="0"/>
              <w:adjustRightInd w:val="0"/>
              <w:snapToGrid/>
              <w:spacing w:line="360" w:lineRule="auto"/>
              <w:ind w:left="0" w:leftChars="0" w:firstLine="0" w:firstLineChars="0"/>
              <w:jc w:val="center"/>
              <w:textAlignment w:val="auto"/>
              <w:rPr>
                <w:rFonts w:hint="eastAsia" w:cs="Times New Roman"/>
                <w:b/>
                <w:bCs/>
                <w:color w:val="auto"/>
                <w:kern w:val="0"/>
                <w:sz w:val="24"/>
                <w:szCs w:val="24"/>
                <w:lang w:val="en-US" w:eastAsia="zh-CN" w:bidi="ar"/>
              </w:rPr>
            </w:pPr>
            <w:r>
              <w:rPr>
                <w:rFonts w:hint="eastAsia" w:cs="Times New Roman"/>
                <w:b/>
                <w:bCs/>
                <w:color w:val="auto"/>
                <w:kern w:val="0"/>
                <w:sz w:val="24"/>
                <w:szCs w:val="24"/>
                <w:lang w:val="en-US" w:eastAsia="zh-CN" w:bidi="ar"/>
              </w:rPr>
              <w:t>厂界噪声检测结果表（一）</w:t>
            </w:r>
          </w:p>
          <w:tbl>
            <w:tblPr>
              <w:tblStyle w:val="89"/>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3739"/>
              <w:gridCol w:w="990"/>
              <w:gridCol w:w="1430"/>
              <w:gridCol w:w="5"/>
              <w:gridCol w:w="1423"/>
              <w:gridCol w:w="856"/>
            </w:tblGrid>
            <w:tr w14:paraId="5289325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2214" w:type="pct"/>
                  <w:vAlign w:val="top"/>
                </w:tcPr>
                <w:p w14:paraId="29A32764">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Times New Roman" w:hAnsi="Times New Roman" w:eastAsia="宋体" w:cs="Times New Roman"/>
                      <w:color w:val="auto"/>
                      <w:spacing w:val="3"/>
                      <w:sz w:val="21"/>
                      <w:szCs w:val="21"/>
                      <w:lang w:eastAsia="zh-CN"/>
                    </w:rPr>
                  </w:pPr>
                  <w:r>
                    <w:rPr>
                      <w:rFonts w:hint="default" w:ascii="Times New Roman" w:hAnsi="Times New Roman" w:cs="Times New Roman"/>
                      <w:color w:val="auto"/>
                      <w:spacing w:val="3"/>
                      <w:sz w:val="21"/>
                      <w:szCs w:val="21"/>
                    </w:rPr>
                    <w:t>测间最大风速</w:t>
                  </w:r>
                  <w:r>
                    <w:rPr>
                      <w:rFonts w:hint="eastAsia" w:ascii="Times New Roman" w:hAnsi="Times New Roman" w:cs="Times New Roman"/>
                      <w:color w:val="auto"/>
                      <w:spacing w:val="3"/>
                      <w:sz w:val="21"/>
                      <w:szCs w:val="21"/>
                      <w:lang w:eastAsia="zh-CN"/>
                    </w:rPr>
                    <w:t>（</w:t>
                  </w:r>
                  <w:r>
                    <w:rPr>
                      <w:rFonts w:hint="default" w:ascii="Times New Roman" w:hAnsi="Times New Roman" w:cs="Times New Roman"/>
                      <w:color w:val="auto"/>
                      <w:spacing w:val="3"/>
                      <w:sz w:val="21"/>
                      <w:szCs w:val="21"/>
                    </w:rPr>
                    <w:t>m/s</w:t>
                  </w:r>
                  <w:r>
                    <w:rPr>
                      <w:rFonts w:hint="eastAsia" w:ascii="Times New Roman" w:hAnsi="Times New Roman" w:cs="Times New Roman"/>
                      <w:color w:val="auto"/>
                      <w:spacing w:val="3"/>
                      <w:sz w:val="21"/>
                      <w:szCs w:val="21"/>
                      <w:lang w:eastAsia="zh-CN"/>
                    </w:rPr>
                    <w:t>）</w:t>
                  </w:r>
                </w:p>
              </w:tc>
              <w:tc>
                <w:tcPr>
                  <w:tcW w:w="586" w:type="pct"/>
                  <w:vAlign w:val="top"/>
                </w:tcPr>
                <w:p w14:paraId="31828BDD">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Times New Roman" w:hAnsi="Times New Roman" w:cs="Times New Roman"/>
                      <w:color w:val="auto"/>
                      <w:spacing w:val="3"/>
                      <w:sz w:val="21"/>
                      <w:szCs w:val="21"/>
                      <w:lang w:eastAsia="zh-CN"/>
                    </w:rPr>
                  </w:pPr>
                  <w:r>
                    <w:rPr>
                      <w:rFonts w:hint="default" w:ascii="Times New Roman" w:hAnsi="Times New Roman" w:cs="Times New Roman"/>
                      <w:color w:val="auto"/>
                      <w:spacing w:val="3"/>
                      <w:sz w:val="21"/>
                      <w:szCs w:val="21"/>
                    </w:rPr>
                    <w:t>2.5/2.7</w:t>
                  </w:r>
                </w:p>
              </w:tc>
              <w:tc>
                <w:tcPr>
                  <w:tcW w:w="1693" w:type="pct"/>
                  <w:gridSpan w:val="3"/>
                  <w:vAlign w:val="top"/>
                </w:tcPr>
                <w:p w14:paraId="4CC3FCA2">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3"/>
                      <w:sz w:val="21"/>
                      <w:szCs w:val="21"/>
                    </w:rPr>
                  </w:pPr>
                  <w:r>
                    <w:rPr>
                      <w:rFonts w:hint="default" w:ascii="Times New Roman" w:hAnsi="Times New Roman" w:cs="Times New Roman"/>
                      <w:color w:val="auto"/>
                      <w:spacing w:val="3"/>
                      <w:sz w:val="21"/>
                      <w:szCs w:val="21"/>
                    </w:rPr>
                    <w:t>天气情况</w:t>
                  </w:r>
                </w:p>
              </w:tc>
              <w:tc>
                <w:tcPr>
                  <w:tcW w:w="505" w:type="pct"/>
                  <w:vAlign w:val="top"/>
                </w:tcPr>
                <w:p w14:paraId="4243633B">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3"/>
                      <w:sz w:val="21"/>
                      <w:szCs w:val="21"/>
                    </w:rPr>
                  </w:pPr>
                  <w:r>
                    <w:rPr>
                      <w:rFonts w:hint="default" w:ascii="Times New Roman" w:hAnsi="Times New Roman" w:cs="Times New Roman"/>
                      <w:color w:val="auto"/>
                      <w:spacing w:val="3"/>
                      <w:sz w:val="21"/>
                      <w:szCs w:val="21"/>
                    </w:rPr>
                    <w:t>晴/晴</w:t>
                  </w:r>
                </w:p>
              </w:tc>
            </w:tr>
            <w:tr w14:paraId="035B290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2214" w:type="pct"/>
                  <w:vMerge w:val="restart"/>
                  <w:tcBorders>
                    <w:bottom w:val="nil"/>
                    <w:tl2br w:val="single" w:color="000000" w:sz="4" w:space="0"/>
                  </w:tcBorders>
                  <w:vAlign w:val="top"/>
                </w:tcPr>
                <w:p w14:paraId="38F105F0">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right"/>
                    <w:textAlignment w:val="auto"/>
                    <w:rPr>
                      <w:rFonts w:hint="default" w:ascii="Times New Roman" w:hAnsi="Times New Roman" w:cs="Times New Roman"/>
                      <w:color w:val="auto"/>
                      <w:spacing w:val="3"/>
                      <w:sz w:val="21"/>
                      <w:szCs w:val="21"/>
                    </w:rPr>
                  </w:pPr>
                  <w:r>
                    <w:rPr>
                      <w:rFonts w:hint="default" w:ascii="Times New Roman" w:hAnsi="Times New Roman" w:cs="Times New Roman"/>
                      <w:color w:val="auto"/>
                      <w:spacing w:val="3"/>
                      <w:sz w:val="21"/>
                      <w:szCs w:val="21"/>
                    </w:rPr>
                    <w:t>检测日期</w:t>
                  </w:r>
                </w:p>
                <w:p w14:paraId="61109FAF">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right"/>
                    <w:textAlignment w:val="auto"/>
                    <w:rPr>
                      <w:rFonts w:hint="default" w:ascii="Times New Roman" w:hAnsi="Times New Roman" w:cs="Times New Roman"/>
                      <w:color w:val="auto"/>
                      <w:spacing w:val="3"/>
                      <w:sz w:val="21"/>
                      <w:szCs w:val="21"/>
                    </w:rPr>
                  </w:pPr>
                </w:p>
                <w:p w14:paraId="28BE244F">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left"/>
                    <w:textAlignment w:val="auto"/>
                    <w:rPr>
                      <w:rFonts w:hint="default" w:ascii="Times New Roman" w:hAnsi="Times New Roman" w:cs="Times New Roman"/>
                      <w:color w:val="auto"/>
                      <w:spacing w:val="3"/>
                      <w:sz w:val="21"/>
                      <w:szCs w:val="21"/>
                    </w:rPr>
                  </w:pPr>
                  <w:r>
                    <w:rPr>
                      <w:rFonts w:hint="default" w:ascii="Times New Roman" w:hAnsi="Times New Roman" w:cs="Times New Roman"/>
                      <w:color w:val="auto"/>
                      <w:spacing w:val="3"/>
                      <w:sz w:val="21"/>
                      <w:szCs w:val="21"/>
                    </w:rPr>
                    <w:t>检测点位</w:t>
                  </w:r>
                </w:p>
              </w:tc>
              <w:tc>
                <w:tcPr>
                  <w:tcW w:w="2785" w:type="pct"/>
                  <w:gridSpan w:val="5"/>
                  <w:vAlign w:val="top"/>
                </w:tcPr>
                <w:p w14:paraId="1CD16E07">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3"/>
                      <w:sz w:val="21"/>
                      <w:szCs w:val="21"/>
                    </w:rPr>
                  </w:pPr>
                  <w:r>
                    <w:rPr>
                      <w:rFonts w:hint="default" w:ascii="Times New Roman" w:hAnsi="Times New Roman" w:cs="Times New Roman"/>
                      <w:color w:val="auto"/>
                      <w:spacing w:val="3"/>
                      <w:sz w:val="21"/>
                      <w:szCs w:val="21"/>
                    </w:rPr>
                    <w:t>2023年06月17日</w:t>
                  </w:r>
                </w:p>
              </w:tc>
            </w:tr>
            <w:tr w14:paraId="12561BD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2214" w:type="pct"/>
                  <w:vMerge w:val="continue"/>
                  <w:tcBorders>
                    <w:tl2br w:val="single" w:color="000000" w:sz="4" w:space="0"/>
                  </w:tcBorders>
                  <w:vAlign w:val="top"/>
                </w:tcPr>
                <w:p w14:paraId="04A82E50">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3"/>
                      <w:sz w:val="21"/>
                      <w:szCs w:val="21"/>
                    </w:rPr>
                  </w:pPr>
                </w:p>
              </w:tc>
              <w:tc>
                <w:tcPr>
                  <w:tcW w:w="1436" w:type="pct"/>
                  <w:gridSpan w:val="3"/>
                  <w:tcBorders>
                    <w:right w:val="single" w:color="auto" w:sz="4" w:space="0"/>
                  </w:tcBorders>
                  <w:shd w:val="clear" w:color="auto" w:fill="auto"/>
                  <w:vAlign w:val="top"/>
                </w:tcPr>
                <w:p w14:paraId="755D1AD0">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3"/>
                      <w:sz w:val="21"/>
                      <w:szCs w:val="21"/>
                      <w:lang w:val="en-US" w:eastAsia="en-US"/>
                    </w:rPr>
                  </w:pPr>
                  <w:r>
                    <w:rPr>
                      <w:rFonts w:hint="default" w:ascii="Times New Roman" w:hAnsi="Times New Roman" w:cs="Times New Roman"/>
                      <w:color w:val="auto"/>
                      <w:spacing w:val="3"/>
                      <w:sz w:val="21"/>
                      <w:szCs w:val="21"/>
                    </w:rPr>
                    <w:t>2025年06月25日</w:t>
                  </w:r>
                </w:p>
              </w:tc>
              <w:tc>
                <w:tcPr>
                  <w:tcW w:w="1349" w:type="pct"/>
                  <w:gridSpan w:val="2"/>
                  <w:tcBorders>
                    <w:left w:val="single" w:color="auto" w:sz="4" w:space="0"/>
                  </w:tcBorders>
                  <w:shd w:val="clear" w:color="auto" w:fill="auto"/>
                  <w:vAlign w:val="top"/>
                </w:tcPr>
                <w:p w14:paraId="49F39F7D">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3"/>
                      <w:sz w:val="21"/>
                      <w:szCs w:val="21"/>
                      <w:lang w:val="en-US" w:eastAsia="en-US"/>
                    </w:rPr>
                  </w:pPr>
                  <w:r>
                    <w:rPr>
                      <w:rFonts w:hint="default" w:ascii="Times New Roman" w:hAnsi="Times New Roman" w:cs="Times New Roman"/>
                      <w:color w:val="auto"/>
                      <w:spacing w:val="3"/>
                      <w:sz w:val="21"/>
                      <w:szCs w:val="21"/>
                    </w:rPr>
                    <w:t>2025年06月27日</w:t>
                  </w:r>
                </w:p>
              </w:tc>
            </w:tr>
            <w:tr w14:paraId="79230F9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2214" w:type="pct"/>
                  <w:vMerge w:val="continue"/>
                  <w:tcBorders>
                    <w:top w:val="nil"/>
                    <w:tl2br w:val="single" w:color="000000" w:sz="4" w:space="0"/>
                  </w:tcBorders>
                  <w:vAlign w:val="top"/>
                </w:tcPr>
                <w:p w14:paraId="5077FEC0">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3"/>
                      <w:sz w:val="21"/>
                      <w:szCs w:val="21"/>
                    </w:rPr>
                  </w:pPr>
                </w:p>
              </w:tc>
              <w:tc>
                <w:tcPr>
                  <w:tcW w:w="1433" w:type="pct"/>
                  <w:gridSpan w:val="2"/>
                  <w:tcBorders>
                    <w:right w:val="single" w:color="auto" w:sz="4" w:space="0"/>
                  </w:tcBorders>
                  <w:shd w:val="clear" w:color="auto" w:fill="auto"/>
                  <w:vAlign w:val="top"/>
                </w:tcPr>
                <w:p w14:paraId="5C7247CF">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Times New Roman" w:hAnsi="Times New Roman" w:cs="Times New Roman"/>
                      <w:color w:val="auto"/>
                      <w:spacing w:val="3"/>
                      <w:sz w:val="21"/>
                      <w:szCs w:val="21"/>
                      <w:lang w:val="en-US" w:eastAsia="zh-CN"/>
                    </w:rPr>
                  </w:pPr>
                  <w:r>
                    <w:rPr>
                      <w:rFonts w:hint="default" w:ascii="Times New Roman" w:hAnsi="Times New Roman" w:cs="Times New Roman"/>
                      <w:color w:val="auto"/>
                      <w:spacing w:val="3"/>
                      <w:sz w:val="21"/>
                      <w:szCs w:val="21"/>
                    </w:rPr>
                    <w:t>昼间dB(A)</w:t>
                  </w:r>
                </w:p>
              </w:tc>
              <w:tc>
                <w:tcPr>
                  <w:tcW w:w="1352" w:type="pct"/>
                  <w:gridSpan w:val="3"/>
                  <w:tcBorders>
                    <w:left w:val="single" w:color="auto" w:sz="4" w:space="0"/>
                  </w:tcBorders>
                  <w:shd w:val="clear" w:color="auto" w:fill="auto"/>
                  <w:vAlign w:val="top"/>
                </w:tcPr>
                <w:p w14:paraId="61276D04">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Times New Roman" w:hAnsi="Times New Roman" w:cs="Times New Roman"/>
                      <w:color w:val="auto"/>
                      <w:spacing w:val="3"/>
                      <w:sz w:val="21"/>
                      <w:szCs w:val="21"/>
                      <w:lang w:val="en-US" w:eastAsia="zh-CN"/>
                    </w:rPr>
                  </w:pPr>
                  <w:r>
                    <w:rPr>
                      <w:rFonts w:hint="default" w:ascii="Times New Roman" w:hAnsi="Times New Roman" w:cs="Times New Roman"/>
                      <w:color w:val="auto"/>
                      <w:spacing w:val="3"/>
                      <w:sz w:val="21"/>
                      <w:szCs w:val="21"/>
                    </w:rPr>
                    <w:t>夜间dB(A)</w:t>
                  </w:r>
                </w:p>
              </w:tc>
            </w:tr>
            <w:tr w14:paraId="2B438F5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2214" w:type="pct"/>
                  <w:shd w:val="clear" w:color="auto" w:fill="auto"/>
                  <w:vAlign w:val="top"/>
                </w:tcPr>
                <w:p w14:paraId="729E81D7">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3"/>
                      <w:sz w:val="21"/>
                      <w:szCs w:val="21"/>
                      <w:lang w:val="en-US" w:eastAsia="en-US"/>
                    </w:rPr>
                  </w:pPr>
                  <w:r>
                    <w:rPr>
                      <w:rFonts w:hint="default" w:ascii="Times New Roman" w:hAnsi="Times New Roman" w:cs="Times New Roman"/>
                      <w:color w:val="auto"/>
                      <w:spacing w:val="3"/>
                      <w:sz w:val="21"/>
                      <w:szCs w:val="21"/>
                    </w:rPr>
                    <w:t>▲1#东厂界外1m</w:t>
                  </w:r>
                </w:p>
              </w:tc>
              <w:tc>
                <w:tcPr>
                  <w:tcW w:w="1433" w:type="pct"/>
                  <w:gridSpan w:val="2"/>
                  <w:shd w:val="clear" w:color="auto" w:fill="auto"/>
                  <w:vAlign w:val="top"/>
                </w:tcPr>
                <w:p w14:paraId="1FC9F00A">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Times New Roman" w:hAnsi="Times New Roman" w:cs="Times New Roman"/>
                      <w:color w:val="auto"/>
                      <w:spacing w:val="3"/>
                      <w:sz w:val="21"/>
                      <w:szCs w:val="21"/>
                      <w:lang w:val="en-US" w:eastAsia="zh-CN"/>
                    </w:rPr>
                  </w:pPr>
                  <w:r>
                    <w:rPr>
                      <w:rFonts w:hint="default" w:ascii="Times New Roman" w:hAnsi="Times New Roman" w:cs="Times New Roman"/>
                      <w:color w:val="auto"/>
                      <w:spacing w:val="3"/>
                      <w:sz w:val="21"/>
                      <w:szCs w:val="21"/>
                    </w:rPr>
                    <w:t>54.3</w:t>
                  </w:r>
                </w:p>
              </w:tc>
              <w:tc>
                <w:tcPr>
                  <w:tcW w:w="1352" w:type="pct"/>
                  <w:gridSpan w:val="3"/>
                  <w:shd w:val="clear" w:color="auto" w:fill="auto"/>
                  <w:vAlign w:val="top"/>
                </w:tcPr>
                <w:p w14:paraId="335BD32F">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3"/>
                      <w:sz w:val="21"/>
                      <w:szCs w:val="21"/>
                      <w:lang w:val="en-US" w:eastAsia="zh-CN"/>
                    </w:rPr>
                  </w:pPr>
                  <w:r>
                    <w:rPr>
                      <w:rFonts w:hint="default" w:ascii="Times New Roman" w:hAnsi="Times New Roman" w:cs="Times New Roman"/>
                      <w:color w:val="auto"/>
                      <w:spacing w:val="3"/>
                      <w:sz w:val="21"/>
                      <w:szCs w:val="21"/>
                    </w:rPr>
                    <w:t>41.1</w:t>
                  </w:r>
                </w:p>
              </w:tc>
            </w:tr>
            <w:tr w14:paraId="6C57681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2214" w:type="pct"/>
                  <w:shd w:val="clear" w:color="auto" w:fill="auto"/>
                  <w:vAlign w:val="top"/>
                </w:tcPr>
                <w:p w14:paraId="7F17729B">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3"/>
                      <w:sz w:val="21"/>
                      <w:szCs w:val="21"/>
                      <w:lang w:val="en-US" w:eastAsia="en-US"/>
                    </w:rPr>
                  </w:pPr>
                  <w:r>
                    <w:rPr>
                      <w:rFonts w:hint="default" w:ascii="Times New Roman" w:hAnsi="Times New Roman" w:cs="Times New Roman"/>
                      <w:color w:val="auto"/>
                      <w:spacing w:val="3"/>
                      <w:sz w:val="21"/>
                      <w:szCs w:val="21"/>
                    </w:rPr>
                    <w:t>▲2#南厂界外1m</w:t>
                  </w:r>
                </w:p>
              </w:tc>
              <w:tc>
                <w:tcPr>
                  <w:tcW w:w="1433" w:type="pct"/>
                  <w:gridSpan w:val="2"/>
                  <w:shd w:val="clear" w:color="auto" w:fill="auto"/>
                  <w:vAlign w:val="top"/>
                </w:tcPr>
                <w:p w14:paraId="2D9F9145">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3"/>
                      <w:sz w:val="21"/>
                      <w:szCs w:val="21"/>
                      <w:lang w:val="en-US" w:eastAsia="zh-CN"/>
                    </w:rPr>
                  </w:pPr>
                  <w:r>
                    <w:rPr>
                      <w:rFonts w:hint="default" w:ascii="Times New Roman" w:hAnsi="Times New Roman" w:cs="Times New Roman"/>
                      <w:color w:val="auto"/>
                      <w:spacing w:val="3"/>
                      <w:sz w:val="21"/>
                      <w:szCs w:val="21"/>
                    </w:rPr>
                    <w:t>51.7</w:t>
                  </w:r>
                </w:p>
              </w:tc>
              <w:tc>
                <w:tcPr>
                  <w:tcW w:w="1352" w:type="pct"/>
                  <w:gridSpan w:val="3"/>
                  <w:shd w:val="clear" w:color="auto" w:fill="auto"/>
                  <w:vAlign w:val="top"/>
                </w:tcPr>
                <w:p w14:paraId="12292096">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3"/>
                      <w:sz w:val="21"/>
                      <w:szCs w:val="21"/>
                      <w:lang w:val="en-US" w:eastAsia="zh-CN"/>
                    </w:rPr>
                  </w:pPr>
                  <w:r>
                    <w:rPr>
                      <w:rFonts w:hint="default" w:ascii="Times New Roman" w:hAnsi="Times New Roman" w:cs="Times New Roman"/>
                      <w:color w:val="auto"/>
                      <w:spacing w:val="3"/>
                      <w:sz w:val="21"/>
                      <w:szCs w:val="21"/>
                    </w:rPr>
                    <w:t>42.1</w:t>
                  </w:r>
                </w:p>
              </w:tc>
            </w:tr>
            <w:tr w14:paraId="42A6F43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2214" w:type="pct"/>
                  <w:shd w:val="clear" w:color="auto" w:fill="auto"/>
                  <w:vAlign w:val="top"/>
                </w:tcPr>
                <w:p w14:paraId="3C1B296D">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3"/>
                      <w:sz w:val="21"/>
                      <w:szCs w:val="21"/>
                      <w:lang w:val="en-US" w:eastAsia="en-US"/>
                    </w:rPr>
                  </w:pPr>
                  <w:r>
                    <w:rPr>
                      <w:rFonts w:hint="default" w:ascii="Times New Roman" w:hAnsi="Times New Roman" w:cs="Times New Roman"/>
                      <w:color w:val="auto"/>
                      <w:spacing w:val="3"/>
                      <w:sz w:val="21"/>
                      <w:szCs w:val="21"/>
                    </w:rPr>
                    <w:t>▲3#西厂界外1m</w:t>
                  </w:r>
                </w:p>
              </w:tc>
              <w:tc>
                <w:tcPr>
                  <w:tcW w:w="1433" w:type="pct"/>
                  <w:gridSpan w:val="2"/>
                  <w:shd w:val="clear" w:color="auto" w:fill="auto"/>
                  <w:vAlign w:val="top"/>
                </w:tcPr>
                <w:p w14:paraId="0D62AEEA">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3"/>
                      <w:sz w:val="21"/>
                      <w:szCs w:val="21"/>
                      <w:lang w:val="en-US" w:eastAsia="en-US"/>
                    </w:rPr>
                  </w:pPr>
                  <w:r>
                    <w:rPr>
                      <w:rFonts w:hint="default" w:ascii="Times New Roman" w:hAnsi="Times New Roman" w:cs="Times New Roman"/>
                      <w:color w:val="auto"/>
                      <w:spacing w:val="3"/>
                      <w:sz w:val="21"/>
                      <w:szCs w:val="21"/>
                    </w:rPr>
                    <w:t>/</w:t>
                  </w:r>
                </w:p>
              </w:tc>
              <w:tc>
                <w:tcPr>
                  <w:tcW w:w="1352" w:type="pct"/>
                  <w:gridSpan w:val="3"/>
                  <w:shd w:val="clear" w:color="auto" w:fill="auto"/>
                  <w:vAlign w:val="top"/>
                </w:tcPr>
                <w:p w14:paraId="0EE8089D">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3"/>
                      <w:sz w:val="21"/>
                      <w:szCs w:val="21"/>
                      <w:lang w:val="en-US" w:eastAsia="en-US"/>
                    </w:rPr>
                  </w:pPr>
                  <w:r>
                    <w:rPr>
                      <w:rFonts w:hint="default" w:ascii="Times New Roman" w:hAnsi="Times New Roman" w:cs="Times New Roman"/>
                      <w:color w:val="auto"/>
                      <w:spacing w:val="3"/>
                      <w:sz w:val="21"/>
                      <w:szCs w:val="21"/>
                    </w:rPr>
                    <w:t>/</w:t>
                  </w:r>
                </w:p>
              </w:tc>
            </w:tr>
            <w:tr w14:paraId="26BD288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2214" w:type="pct"/>
                  <w:shd w:val="clear" w:color="auto" w:fill="auto"/>
                  <w:vAlign w:val="top"/>
                </w:tcPr>
                <w:p w14:paraId="79218CA2">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3"/>
                      <w:sz w:val="21"/>
                      <w:szCs w:val="21"/>
                      <w:lang w:val="en-US" w:eastAsia="en-US"/>
                    </w:rPr>
                  </w:pPr>
                  <w:r>
                    <w:rPr>
                      <w:rFonts w:hint="default" w:ascii="Times New Roman" w:hAnsi="Times New Roman" w:cs="Times New Roman"/>
                      <w:color w:val="auto"/>
                      <w:spacing w:val="3"/>
                      <w:sz w:val="21"/>
                      <w:szCs w:val="21"/>
                    </w:rPr>
                    <w:t>▲4#北厂界外1m</w:t>
                  </w:r>
                </w:p>
              </w:tc>
              <w:tc>
                <w:tcPr>
                  <w:tcW w:w="1433" w:type="pct"/>
                  <w:gridSpan w:val="2"/>
                  <w:shd w:val="clear" w:color="auto" w:fill="auto"/>
                  <w:vAlign w:val="top"/>
                </w:tcPr>
                <w:p w14:paraId="3CCEEB59">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3"/>
                      <w:sz w:val="21"/>
                      <w:szCs w:val="21"/>
                      <w:lang w:val="en-US" w:eastAsia="zh-CN"/>
                    </w:rPr>
                  </w:pPr>
                  <w:r>
                    <w:rPr>
                      <w:rFonts w:hint="default" w:ascii="Times New Roman" w:hAnsi="Times New Roman" w:cs="Times New Roman"/>
                      <w:color w:val="auto"/>
                      <w:spacing w:val="3"/>
                      <w:sz w:val="21"/>
                      <w:szCs w:val="21"/>
                    </w:rPr>
                    <w:t>53.0</w:t>
                  </w:r>
                </w:p>
              </w:tc>
              <w:tc>
                <w:tcPr>
                  <w:tcW w:w="1352" w:type="pct"/>
                  <w:gridSpan w:val="3"/>
                  <w:shd w:val="clear" w:color="auto" w:fill="auto"/>
                  <w:vAlign w:val="top"/>
                </w:tcPr>
                <w:p w14:paraId="1442CDEE">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3"/>
                      <w:sz w:val="21"/>
                      <w:szCs w:val="21"/>
                      <w:lang w:val="en-US" w:eastAsia="zh-CN"/>
                    </w:rPr>
                  </w:pPr>
                  <w:r>
                    <w:rPr>
                      <w:rFonts w:hint="default" w:ascii="Times New Roman" w:hAnsi="Times New Roman" w:cs="Times New Roman"/>
                      <w:color w:val="auto"/>
                      <w:spacing w:val="3"/>
                      <w:sz w:val="21"/>
                      <w:szCs w:val="21"/>
                    </w:rPr>
                    <w:t>41.2</w:t>
                  </w:r>
                </w:p>
              </w:tc>
            </w:tr>
            <w:tr w14:paraId="3A7C1E5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5000" w:type="pct"/>
                  <w:gridSpan w:val="6"/>
                  <w:vAlign w:val="top"/>
                </w:tcPr>
                <w:p w14:paraId="61EB9BA9">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3"/>
                      <w:sz w:val="21"/>
                      <w:szCs w:val="21"/>
                    </w:rPr>
                  </w:pPr>
                  <w:r>
                    <w:rPr>
                      <w:rFonts w:hint="default" w:ascii="Times New Roman" w:hAnsi="Times New Roman" w:cs="Times New Roman"/>
                      <w:color w:val="auto"/>
                      <w:spacing w:val="3"/>
                      <w:sz w:val="21"/>
                      <w:szCs w:val="21"/>
                    </w:rPr>
                    <w:t>备注：2025.06.25昼间：仪器测量前校正值93.9dB(A)仪器测量后校正值93.8dB(A);</w:t>
                  </w:r>
                </w:p>
                <w:p w14:paraId="19EACCF6">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3"/>
                      <w:sz w:val="21"/>
                      <w:szCs w:val="21"/>
                    </w:rPr>
                  </w:pPr>
                  <w:r>
                    <w:rPr>
                      <w:rFonts w:hint="default" w:ascii="Times New Roman" w:hAnsi="Times New Roman" w:cs="Times New Roman"/>
                      <w:color w:val="auto"/>
                      <w:spacing w:val="3"/>
                      <w:sz w:val="21"/>
                      <w:szCs w:val="21"/>
                    </w:rPr>
                    <w:t>2025.06.27夜间：仪器测量前校正值93.8dB(A) 仪器测量后校正值93.9dB(A);</w:t>
                  </w:r>
                </w:p>
                <w:p w14:paraId="1D09B319">
                  <w:pPr>
                    <w:pStyle w:val="90"/>
                    <w:keepNext w:val="0"/>
                    <w:keepLines w:val="0"/>
                    <w:pageBreakBefore w:val="0"/>
                    <w:widowControl w:val="0"/>
                    <w:kinsoku/>
                    <w:wordWrap/>
                    <w:overflowPunct/>
                    <w:topLinePunct w:val="0"/>
                    <w:autoSpaceDE/>
                    <w:autoSpaceDN/>
                    <w:bidi w:val="0"/>
                    <w:adjustRightInd/>
                    <w:snapToGrid/>
                    <w:spacing w:line="240" w:lineRule="auto"/>
                    <w:ind w:left="0" w:right="0" w:firstLine="648" w:firstLineChars="300"/>
                    <w:jc w:val="both"/>
                    <w:textAlignment w:val="auto"/>
                    <w:rPr>
                      <w:rFonts w:hint="default" w:ascii="Times New Roman" w:hAnsi="Times New Roman" w:cs="Times New Roman"/>
                      <w:color w:val="auto"/>
                      <w:spacing w:val="3"/>
                      <w:sz w:val="21"/>
                      <w:szCs w:val="21"/>
                    </w:rPr>
                  </w:pPr>
                  <w:r>
                    <w:rPr>
                      <w:rFonts w:hint="default" w:ascii="Times New Roman" w:hAnsi="Times New Roman" w:cs="Times New Roman"/>
                      <w:color w:val="auto"/>
                      <w:spacing w:val="3"/>
                      <w:sz w:val="21"/>
                      <w:szCs w:val="21"/>
                    </w:rPr>
                    <w:t>噪声校准器标准值：94.0 dB(A)</w:t>
                  </w:r>
                </w:p>
                <w:p w14:paraId="690D9329">
                  <w:pPr>
                    <w:pStyle w:val="90"/>
                    <w:keepNext w:val="0"/>
                    <w:keepLines w:val="0"/>
                    <w:pageBreakBefore w:val="0"/>
                    <w:widowControl w:val="0"/>
                    <w:kinsoku/>
                    <w:wordWrap/>
                    <w:overflowPunct/>
                    <w:topLinePunct w:val="0"/>
                    <w:autoSpaceDE/>
                    <w:autoSpaceDN/>
                    <w:bidi w:val="0"/>
                    <w:adjustRightInd/>
                    <w:snapToGrid/>
                    <w:spacing w:line="240" w:lineRule="auto"/>
                    <w:ind w:right="0" w:firstLine="648" w:firstLineChars="300"/>
                    <w:jc w:val="both"/>
                    <w:textAlignment w:val="auto"/>
                    <w:rPr>
                      <w:color w:val="auto"/>
                    </w:rPr>
                  </w:pPr>
                  <w:r>
                    <w:rPr>
                      <w:rFonts w:hint="default" w:ascii="Times New Roman" w:hAnsi="Times New Roman" w:cs="Times New Roman"/>
                      <w:color w:val="auto"/>
                      <w:spacing w:val="3"/>
                      <w:sz w:val="21"/>
                      <w:szCs w:val="21"/>
                    </w:rPr>
                    <w:t>厂界西侧不具备检测条件；</w:t>
                  </w:r>
                </w:p>
              </w:tc>
            </w:tr>
          </w:tbl>
          <w:p w14:paraId="0C748D9B">
            <w:pPr>
              <w:keepNext w:val="0"/>
              <w:keepLines w:val="0"/>
              <w:pageBreakBefore w:val="0"/>
              <w:widowControl w:val="0"/>
              <w:numPr>
                <w:ilvl w:val="0"/>
                <w:numId w:val="14"/>
              </w:numPr>
              <w:kinsoku/>
              <w:wordWrap/>
              <w:overflowPunct/>
              <w:topLinePunct w:val="0"/>
              <w:autoSpaceDE w:val="0"/>
              <w:autoSpaceDN w:val="0"/>
              <w:bidi w:val="0"/>
              <w:adjustRightInd w:val="0"/>
              <w:snapToGrid/>
              <w:spacing w:line="360" w:lineRule="auto"/>
              <w:ind w:left="0" w:leftChars="0" w:firstLine="0" w:firstLineChars="0"/>
              <w:jc w:val="center"/>
              <w:textAlignment w:val="auto"/>
              <w:rPr>
                <w:rFonts w:hint="eastAsia" w:cs="Times New Roman"/>
                <w:b/>
                <w:bCs/>
                <w:color w:val="auto"/>
                <w:kern w:val="0"/>
                <w:sz w:val="24"/>
                <w:szCs w:val="24"/>
                <w:lang w:val="en-US" w:eastAsia="zh-CN" w:bidi="ar"/>
              </w:rPr>
            </w:pPr>
            <w:r>
              <w:rPr>
                <w:rFonts w:hint="eastAsia" w:cs="Times New Roman"/>
                <w:b/>
                <w:bCs/>
                <w:color w:val="auto"/>
                <w:kern w:val="0"/>
                <w:sz w:val="24"/>
                <w:szCs w:val="24"/>
                <w:lang w:val="en-US" w:eastAsia="zh-CN" w:bidi="ar"/>
              </w:rPr>
              <w:t>厂界噪声检测结果表（二）</w:t>
            </w:r>
          </w:p>
          <w:tbl>
            <w:tblPr>
              <w:tblStyle w:val="89"/>
              <w:tblW w:w="4999"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2746"/>
              <w:gridCol w:w="1897"/>
              <w:gridCol w:w="1023"/>
              <w:gridCol w:w="1076"/>
              <w:gridCol w:w="1702"/>
            </w:tblGrid>
            <w:tr w14:paraId="149ECAD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626" w:type="pct"/>
                  <w:vAlign w:val="top"/>
                </w:tcPr>
                <w:p w14:paraId="2859A643">
                  <w:pPr>
                    <w:pStyle w:val="90"/>
                    <w:keepNext w:val="0"/>
                    <w:keepLines w:val="0"/>
                    <w:pageBreakBefore w:val="0"/>
                    <w:widowControl w:val="0"/>
                    <w:kinsoku/>
                    <w:wordWrap/>
                    <w:overflowPunct/>
                    <w:topLinePunct w:val="0"/>
                    <w:autoSpaceDE/>
                    <w:autoSpaceDN/>
                    <w:bidi w:val="0"/>
                    <w:adjustRightInd/>
                    <w:snapToGrid/>
                    <w:spacing w:line="240" w:lineRule="auto"/>
                    <w:ind w:right="0" w:firstLine="0" w:firstLineChars="0"/>
                    <w:jc w:val="center"/>
                    <w:textAlignment w:val="auto"/>
                    <w:rPr>
                      <w:rFonts w:hint="default" w:ascii="Times New Roman" w:hAnsi="Times New Roman" w:cs="Times New Roman"/>
                      <w:color w:val="auto"/>
                      <w:spacing w:val="3"/>
                      <w:sz w:val="21"/>
                      <w:szCs w:val="21"/>
                    </w:rPr>
                  </w:pPr>
                  <w:r>
                    <w:rPr>
                      <w:rFonts w:hint="default" w:ascii="Times New Roman" w:hAnsi="Times New Roman" w:cs="Times New Roman"/>
                      <w:color w:val="auto"/>
                      <w:spacing w:val="3"/>
                      <w:sz w:val="21"/>
                      <w:szCs w:val="21"/>
                    </w:rPr>
                    <w:t>测间最大风速(m/s)</w:t>
                  </w:r>
                </w:p>
              </w:tc>
              <w:tc>
                <w:tcPr>
                  <w:tcW w:w="1123" w:type="pct"/>
                  <w:vAlign w:val="top"/>
                </w:tcPr>
                <w:p w14:paraId="4B927254">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pacing w:val="3"/>
                      <w:sz w:val="21"/>
                      <w:szCs w:val="21"/>
                    </w:rPr>
                  </w:pPr>
                  <w:r>
                    <w:rPr>
                      <w:rFonts w:hint="default" w:ascii="Times New Roman" w:hAnsi="Times New Roman" w:cs="Times New Roman"/>
                      <w:color w:val="auto"/>
                      <w:spacing w:val="3"/>
                      <w:sz w:val="21"/>
                      <w:szCs w:val="21"/>
                    </w:rPr>
                    <w:t>2.3/2.0</w:t>
                  </w:r>
                </w:p>
              </w:tc>
              <w:tc>
                <w:tcPr>
                  <w:tcW w:w="1243" w:type="pct"/>
                  <w:gridSpan w:val="2"/>
                  <w:vAlign w:val="top"/>
                </w:tcPr>
                <w:p w14:paraId="6BD5A2F9">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pacing w:val="3"/>
                      <w:sz w:val="21"/>
                      <w:szCs w:val="21"/>
                    </w:rPr>
                  </w:pPr>
                  <w:r>
                    <w:rPr>
                      <w:rFonts w:hint="default" w:ascii="Times New Roman" w:hAnsi="Times New Roman" w:cs="Times New Roman"/>
                      <w:color w:val="auto"/>
                      <w:spacing w:val="3"/>
                      <w:sz w:val="21"/>
                      <w:szCs w:val="21"/>
                    </w:rPr>
                    <w:t>天气情况</w:t>
                  </w:r>
                </w:p>
              </w:tc>
              <w:tc>
                <w:tcPr>
                  <w:tcW w:w="1006" w:type="pct"/>
                  <w:vAlign w:val="top"/>
                </w:tcPr>
                <w:p w14:paraId="15ED0C69">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pacing w:val="3"/>
                      <w:sz w:val="21"/>
                      <w:szCs w:val="21"/>
                    </w:rPr>
                  </w:pPr>
                  <w:r>
                    <w:rPr>
                      <w:rFonts w:hint="default" w:ascii="Times New Roman" w:hAnsi="Times New Roman" w:cs="Times New Roman"/>
                      <w:color w:val="auto"/>
                      <w:spacing w:val="3"/>
                      <w:sz w:val="21"/>
                      <w:szCs w:val="21"/>
                    </w:rPr>
                    <w:t>晴/晴</w:t>
                  </w:r>
                </w:p>
              </w:tc>
            </w:tr>
            <w:tr w14:paraId="5565A0F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626" w:type="pct"/>
                  <w:vMerge w:val="restart"/>
                  <w:tcBorders>
                    <w:bottom w:val="nil"/>
                    <w:tl2br w:val="single" w:color="000000" w:sz="4" w:space="0"/>
                  </w:tcBorders>
                  <w:vAlign w:val="top"/>
                </w:tcPr>
                <w:p w14:paraId="24A93116">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right"/>
                    <w:textAlignment w:val="auto"/>
                    <w:rPr>
                      <w:rFonts w:hint="default" w:ascii="Times New Roman" w:hAnsi="Times New Roman" w:cs="Times New Roman"/>
                      <w:color w:val="auto"/>
                      <w:spacing w:val="3"/>
                      <w:sz w:val="21"/>
                      <w:szCs w:val="21"/>
                    </w:rPr>
                  </w:pPr>
                  <w:r>
                    <w:rPr>
                      <w:rFonts w:hint="default" w:ascii="Times New Roman" w:hAnsi="Times New Roman" w:cs="Times New Roman"/>
                      <w:color w:val="auto"/>
                      <w:spacing w:val="3"/>
                      <w:sz w:val="21"/>
                      <w:szCs w:val="21"/>
                    </w:rPr>
                    <w:t>检测日期</w:t>
                  </w:r>
                </w:p>
                <w:p w14:paraId="5145DF83">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left"/>
                    <w:textAlignment w:val="auto"/>
                    <w:rPr>
                      <w:rFonts w:hint="default" w:ascii="Times New Roman" w:hAnsi="Times New Roman" w:cs="Times New Roman"/>
                      <w:color w:val="auto"/>
                      <w:spacing w:val="3"/>
                      <w:sz w:val="21"/>
                      <w:szCs w:val="21"/>
                    </w:rPr>
                  </w:pPr>
                  <w:r>
                    <w:rPr>
                      <w:rFonts w:hint="default" w:ascii="Times New Roman" w:hAnsi="Times New Roman" w:cs="Times New Roman"/>
                      <w:color w:val="auto"/>
                      <w:spacing w:val="3"/>
                      <w:sz w:val="21"/>
                      <w:szCs w:val="21"/>
                    </w:rPr>
                    <w:t>检测点位</w:t>
                  </w:r>
                </w:p>
              </w:tc>
              <w:tc>
                <w:tcPr>
                  <w:tcW w:w="1729" w:type="pct"/>
                  <w:gridSpan w:val="2"/>
                  <w:vAlign w:val="top"/>
                </w:tcPr>
                <w:p w14:paraId="49B5EDF2">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pacing w:val="3"/>
                      <w:sz w:val="21"/>
                      <w:szCs w:val="21"/>
                    </w:rPr>
                  </w:pPr>
                  <w:r>
                    <w:rPr>
                      <w:rFonts w:hint="default" w:ascii="Times New Roman" w:hAnsi="Times New Roman" w:cs="Times New Roman"/>
                      <w:color w:val="auto"/>
                      <w:spacing w:val="3"/>
                      <w:sz w:val="21"/>
                      <w:szCs w:val="21"/>
                    </w:rPr>
                    <w:t>2025年12月08日</w:t>
                  </w:r>
                </w:p>
              </w:tc>
              <w:tc>
                <w:tcPr>
                  <w:tcW w:w="1643" w:type="pct"/>
                  <w:gridSpan w:val="2"/>
                  <w:vAlign w:val="top"/>
                </w:tcPr>
                <w:p w14:paraId="13F0C721">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pacing w:val="3"/>
                      <w:sz w:val="21"/>
                      <w:szCs w:val="21"/>
                    </w:rPr>
                  </w:pPr>
                  <w:r>
                    <w:rPr>
                      <w:rFonts w:hint="default" w:ascii="Times New Roman" w:hAnsi="Times New Roman" w:cs="Times New Roman"/>
                      <w:color w:val="auto"/>
                      <w:spacing w:val="3"/>
                      <w:sz w:val="21"/>
                      <w:szCs w:val="21"/>
                    </w:rPr>
                    <w:t>2025年12月09日</w:t>
                  </w:r>
                </w:p>
              </w:tc>
            </w:tr>
            <w:tr w14:paraId="7A9B916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626" w:type="pct"/>
                  <w:vMerge w:val="continue"/>
                  <w:tcBorders>
                    <w:top w:val="nil"/>
                    <w:tl2br w:val="single" w:color="000000" w:sz="4" w:space="0"/>
                  </w:tcBorders>
                  <w:vAlign w:val="top"/>
                </w:tcPr>
                <w:p w14:paraId="4647AA46">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pacing w:val="3"/>
                      <w:sz w:val="21"/>
                      <w:szCs w:val="21"/>
                    </w:rPr>
                  </w:pPr>
                </w:p>
              </w:tc>
              <w:tc>
                <w:tcPr>
                  <w:tcW w:w="1729" w:type="pct"/>
                  <w:gridSpan w:val="2"/>
                  <w:vAlign w:val="top"/>
                </w:tcPr>
                <w:p w14:paraId="2BF0CD94">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pacing w:val="3"/>
                      <w:sz w:val="21"/>
                      <w:szCs w:val="21"/>
                    </w:rPr>
                  </w:pPr>
                  <w:r>
                    <w:rPr>
                      <w:rFonts w:hint="default" w:ascii="Times New Roman" w:hAnsi="Times New Roman" w:cs="Times New Roman"/>
                      <w:color w:val="auto"/>
                      <w:spacing w:val="3"/>
                      <w:sz w:val="21"/>
                      <w:szCs w:val="21"/>
                    </w:rPr>
                    <w:t>昼间dB(A)</w:t>
                  </w:r>
                </w:p>
              </w:tc>
              <w:tc>
                <w:tcPr>
                  <w:tcW w:w="1643" w:type="pct"/>
                  <w:gridSpan w:val="2"/>
                  <w:vAlign w:val="top"/>
                </w:tcPr>
                <w:p w14:paraId="561CE474">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pacing w:val="3"/>
                      <w:sz w:val="21"/>
                      <w:szCs w:val="21"/>
                    </w:rPr>
                  </w:pPr>
                  <w:r>
                    <w:rPr>
                      <w:rFonts w:hint="default" w:ascii="Times New Roman" w:hAnsi="Times New Roman" w:cs="Times New Roman"/>
                      <w:color w:val="auto"/>
                      <w:spacing w:val="3"/>
                      <w:sz w:val="21"/>
                      <w:szCs w:val="21"/>
                    </w:rPr>
                    <w:t>夜间dB(A)</w:t>
                  </w:r>
                </w:p>
              </w:tc>
            </w:tr>
            <w:tr w14:paraId="512B923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626" w:type="pct"/>
                  <w:vAlign w:val="top"/>
                </w:tcPr>
                <w:p w14:paraId="421D0B75">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pacing w:val="3"/>
                      <w:sz w:val="21"/>
                      <w:szCs w:val="21"/>
                    </w:rPr>
                  </w:pPr>
                  <w:r>
                    <w:rPr>
                      <w:rFonts w:hint="default" w:ascii="Times New Roman" w:hAnsi="Times New Roman" w:cs="Times New Roman"/>
                      <w:color w:val="auto"/>
                      <w:spacing w:val="3"/>
                      <w:sz w:val="21"/>
                      <w:szCs w:val="21"/>
                    </w:rPr>
                    <w:t>▲1#东厂界外1m</w:t>
                  </w:r>
                </w:p>
              </w:tc>
              <w:tc>
                <w:tcPr>
                  <w:tcW w:w="1729" w:type="pct"/>
                  <w:gridSpan w:val="2"/>
                  <w:vAlign w:val="top"/>
                </w:tcPr>
                <w:p w14:paraId="7D2DA64F">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pacing w:val="3"/>
                      <w:sz w:val="21"/>
                      <w:szCs w:val="21"/>
                    </w:rPr>
                  </w:pPr>
                  <w:r>
                    <w:rPr>
                      <w:rFonts w:hint="default" w:ascii="Times New Roman" w:hAnsi="Times New Roman" w:cs="Times New Roman"/>
                      <w:color w:val="auto"/>
                      <w:spacing w:val="3"/>
                      <w:sz w:val="21"/>
                      <w:szCs w:val="21"/>
                    </w:rPr>
                    <w:t>55.2</w:t>
                  </w:r>
                </w:p>
              </w:tc>
              <w:tc>
                <w:tcPr>
                  <w:tcW w:w="1643" w:type="pct"/>
                  <w:gridSpan w:val="2"/>
                  <w:vAlign w:val="top"/>
                </w:tcPr>
                <w:p w14:paraId="6D047749">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pacing w:val="3"/>
                      <w:sz w:val="21"/>
                      <w:szCs w:val="21"/>
                    </w:rPr>
                  </w:pPr>
                  <w:r>
                    <w:rPr>
                      <w:rFonts w:hint="default" w:ascii="Times New Roman" w:hAnsi="Times New Roman" w:cs="Times New Roman"/>
                      <w:color w:val="auto"/>
                      <w:spacing w:val="3"/>
                      <w:sz w:val="21"/>
                      <w:szCs w:val="21"/>
                    </w:rPr>
                    <w:t>44.7</w:t>
                  </w:r>
                </w:p>
              </w:tc>
            </w:tr>
            <w:tr w14:paraId="400D45C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626" w:type="pct"/>
                  <w:vAlign w:val="top"/>
                </w:tcPr>
                <w:p w14:paraId="2957FB6E">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pacing w:val="3"/>
                      <w:sz w:val="21"/>
                      <w:szCs w:val="21"/>
                    </w:rPr>
                  </w:pPr>
                  <w:r>
                    <w:rPr>
                      <w:rFonts w:hint="default" w:ascii="Times New Roman" w:hAnsi="Times New Roman" w:cs="Times New Roman"/>
                      <w:color w:val="auto"/>
                      <w:spacing w:val="3"/>
                      <w:sz w:val="21"/>
                      <w:szCs w:val="21"/>
                    </w:rPr>
                    <w:t>▲2#南厂界外1m</w:t>
                  </w:r>
                </w:p>
              </w:tc>
              <w:tc>
                <w:tcPr>
                  <w:tcW w:w="1729" w:type="pct"/>
                  <w:gridSpan w:val="2"/>
                  <w:vAlign w:val="top"/>
                </w:tcPr>
                <w:p w14:paraId="16EB1D09">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pacing w:val="3"/>
                      <w:sz w:val="21"/>
                      <w:szCs w:val="21"/>
                    </w:rPr>
                  </w:pPr>
                  <w:r>
                    <w:rPr>
                      <w:rFonts w:hint="default" w:ascii="Times New Roman" w:hAnsi="Times New Roman" w:cs="Times New Roman"/>
                      <w:color w:val="auto"/>
                      <w:spacing w:val="3"/>
                      <w:sz w:val="21"/>
                      <w:szCs w:val="21"/>
                    </w:rPr>
                    <w:t>54.1</w:t>
                  </w:r>
                </w:p>
              </w:tc>
              <w:tc>
                <w:tcPr>
                  <w:tcW w:w="1643" w:type="pct"/>
                  <w:gridSpan w:val="2"/>
                  <w:vAlign w:val="top"/>
                </w:tcPr>
                <w:p w14:paraId="70996B74">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pacing w:val="3"/>
                      <w:sz w:val="21"/>
                      <w:szCs w:val="21"/>
                    </w:rPr>
                  </w:pPr>
                  <w:r>
                    <w:rPr>
                      <w:rFonts w:hint="default" w:ascii="Times New Roman" w:hAnsi="Times New Roman" w:cs="Times New Roman"/>
                      <w:color w:val="auto"/>
                      <w:spacing w:val="3"/>
                      <w:sz w:val="21"/>
                      <w:szCs w:val="21"/>
                    </w:rPr>
                    <w:t>42.9</w:t>
                  </w:r>
                </w:p>
              </w:tc>
            </w:tr>
            <w:tr w14:paraId="4148C2E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626" w:type="pct"/>
                  <w:vAlign w:val="top"/>
                </w:tcPr>
                <w:p w14:paraId="2B124856">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pacing w:val="3"/>
                      <w:sz w:val="21"/>
                      <w:szCs w:val="21"/>
                    </w:rPr>
                  </w:pPr>
                  <w:r>
                    <w:rPr>
                      <w:rFonts w:hint="default" w:ascii="Times New Roman" w:hAnsi="Times New Roman" w:cs="Times New Roman"/>
                      <w:color w:val="auto"/>
                      <w:spacing w:val="3"/>
                      <w:sz w:val="21"/>
                      <w:szCs w:val="21"/>
                    </w:rPr>
                    <w:t>▲3#西厂界外1m</w:t>
                  </w:r>
                </w:p>
              </w:tc>
              <w:tc>
                <w:tcPr>
                  <w:tcW w:w="1729" w:type="pct"/>
                  <w:gridSpan w:val="2"/>
                  <w:vAlign w:val="top"/>
                </w:tcPr>
                <w:p w14:paraId="49B31862">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pacing w:val="3"/>
                      <w:sz w:val="21"/>
                      <w:szCs w:val="21"/>
                    </w:rPr>
                  </w:pPr>
                  <w:r>
                    <w:rPr>
                      <w:rFonts w:hint="default" w:ascii="Times New Roman" w:hAnsi="Times New Roman" w:cs="Times New Roman"/>
                      <w:color w:val="auto"/>
                      <w:spacing w:val="3"/>
                      <w:sz w:val="21"/>
                      <w:szCs w:val="21"/>
                    </w:rPr>
                    <w:t>/</w:t>
                  </w:r>
                </w:p>
              </w:tc>
              <w:tc>
                <w:tcPr>
                  <w:tcW w:w="1643" w:type="pct"/>
                  <w:gridSpan w:val="2"/>
                  <w:vAlign w:val="top"/>
                </w:tcPr>
                <w:p w14:paraId="259D34D7">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pacing w:val="3"/>
                      <w:sz w:val="21"/>
                      <w:szCs w:val="21"/>
                    </w:rPr>
                  </w:pPr>
                  <w:r>
                    <w:rPr>
                      <w:rFonts w:hint="default" w:ascii="Times New Roman" w:hAnsi="Times New Roman" w:cs="Times New Roman"/>
                      <w:color w:val="auto"/>
                      <w:spacing w:val="3"/>
                      <w:sz w:val="21"/>
                      <w:szCs w:val="21"/>
                    </w:rPr>
                    <w:t>/</w:t>
                  </w:r>
                </w:p>
              </w:tc>
            </w:tr>
            <w:tr w14:paraId="73592F8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1626" w:type="pct"/>
                  <w:vAlign w:val="top"/>
                </w:tcPr>
                <w:p w14:paraId="35D525AB">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pacing w:val="3"/>
                      <w:sz w:val="21"/>
                      <w:szCs w:val="21"/>
                    </w:rPr>
                  </w:pPr>
                  <w:r>
                    <w:rPr>
                      <w:rFonts w:hint="default" w:ascii="Times New Roman" w:hAnsi="Times New Roman" w:cs="Times New Roman"/>
                      <w:color w:val="auto"/>
                      <w:spacing w:val="3"/>
                      <w:sz w:val="21"/>
                      <w:szCs w:val="21"/>
                    </w:rPr>
                    <w:t>▲4#北厂界外1m</w:t>
                  </w:r>
                </w:p>
              </w:tc>
              <w:tc>
                <w:tcPr>
                  <w:tcW w:w="1729" w:type="pct"/>
                  <w:gridSpan w:val="2"/>
                  <w:vAlign w:val="top"/>
                </w:tcPr>
                <w:p w14:paraId="0FE0E686">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pacing w:val="3"/>
                      <w:sz w:val="21"/>
                      <w:szCs w:val="21"/>
                    </w:rPr>
                  </w:pPr>
                  <w:r>
                    <w:rPr>
                      <w:rFonts w:hint="default" w:ascii="Times New Roman" w:hAnsi="Times New Roman" w:cs="Times New Roman"/>
                      <w:color w:val="auto"/>
                      <w:spacing w:val="3"/>
                      <w:sz w:val="21"/>
                      <w:szCs w:val="21"/>
                    </w:rPr>
                    <w:t>54.7</w:t>
                  </w:r>
                </w:p>
              </w:tc>
              <w:tc>
                <w:tcPr>
                  <w:tcW w:w="1643" w:type="pct"/>
                  <w:gridSpan w:val="2"/>
                  <w:vAlign w:val="top"/>
                </w:tcPr>
                <w:p w14:paraId="236FDB1D">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pacing w:val="3"/>
                      <w:sz w:val="21"/>
                      <w:szCs w:val="21"/>
                    </w:rPr>
                  </w:pPr>
                  <w:r>
                    <w:rPr>
                      <w:rFonts w:hint="default" w:ascii="Times New Roman" w:hAnsi="Times New Roman" w:cs="Times New Roman"/>
                      <w:color w:val="auto"/>
                      <w:spacing w:val="3"/>
                      <w:sz w:val="21"/>
                      <w:szCs w:val="21"/>
                    </w:rPr>
                    <w:t>42.7</w:t>
                  </w:r>
                </w:p>
              </w:tc>
            </w:tr>
            <w:tr w14:paraId="68A646F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52" w:hRule="atLeast"/>
              </w:trPr>
              <w:tc>
                <w:tcPr>
                  <w:tcW w:w="5000" w:type="pct"/>
                  <w:gridSpan w:val="5"/>
                  <w:vAlign w:val="top"/>
                </w:tcPr>
                <w:p w14:paraId="7EBD0B44">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both"/>
                    <w:textAlignment w:val="auto"/>
                    <w:rPr>
                      <w:rFonts w:hint="default" w:ascii="Times New Roman" w:hAnsi="Times New Roman" w:cs="Times New Roman"/>
                      <w:color w:val="auto"/>
                      <w:spacing w:val="3"/>
                      <w:sz w:val="21"/>
                      <w:szCs w:val="21"/>
                    </w:rPr>
                  </w:pPr>
                  <w:r>
                    <w:rPr>
                      <w:rFonts w:hint="default" w:ascii="Times New Roman" w:hAnsi="Times New Roman" w:cs="Times New Roman"/>
                      <w:color w:val="auto"/>
                      <w:spacing w:val="3"/>
                      <w:sz w:val="21"/>
                      <w:szCs w:val="21"/>
                    </w:rPr>
                    <w:t>备注：2025.12.08昼间：仪器测量前校正值93.6dB(A)仪器测量后校正值93.7dB(A);</w:t>
                  </w:r>
                </w:p>
                <w:p w14:paraId="6CE9D13D">
                  <w:pPr>
                    <w:pStyle w:val="90"/>
                    <w:keepNext w:val="0"/>
                    <w:keepLines w:val="0"/>
                    <w:pageBreakBefore w:val="0"/>
                    <w:widowControl w:val="0"/>
                    <w:kinsoku/>
                    <w:wordWrap/>
                    <w:overflowPunct/>
                    <w:topLinePunct w:val="0"/>
                    <w:autoSpaceDE/>
                    <w:autoSpaceDN/>
                    <w:bidi w:val="0"/>
                    <w:adjustRightInd/>
                    <w:snapToGrid/>
                    <w:spacing w:line="240" w:lineRule="auto"/>
                    <w:ind w:left="0" w:right="0" w:firstLine="648" w:firstLineChars="300"/>
                    <w:jc w:val="both"/>
                    <w:textAlignment w:val="auto"/>
                    <w:rPr>
                      <w:rFonts w:hint="default" w:ascii="Times New Roman" w:hAnsi="Times New Roman" w:cs="Times New Roman"/>
                      <w:color w:val="auto"/>
                      <w:spacing w:val="3"/>
                      <w:sz w:val="21"/>
                      <w:szCs w:val="21"/>
                    </w:rPr>
                  </w:pPr>
                  <w:r>
                    <w:rPr>
                      <w:rFonts w:hint="default" w:ascii="Times New Roman" w:hAnsi="Times New Roman" w:cs="Times New Roman"/>
                      <w:color w:val="auto"/>
                      <w:spacing w:val="3"/>
                      <w:sz w:val="21"/>
                      <w:szCs w:val="21"/>
                    </w:rPr>
                    <w:t>2025.12.09夜间：仪器测量前校正值93.8dB(A)  仪器测量后校正值93.6dB(A);</w:t>
                  </w:r>
                </w:p>
                <w:p w14:paraId="73269D09">
                  <w:pPr>
                    <w:pStyle w:val="90"/>
                    <w:keepNext w:val="0"/>
                    <w:keepLines w:val="0"/>
                    <w:pageBreakBefore w:val="0"/>
                    <w:widowControl w:val="0"/>
                    <w:kinsoku/>
                    <w:wordWrap/>
                    <w:overflowPunct/>
                    <w:topLinePunct w:val="0"/>
                    <w:autoSpaceDE/>
                    <w:autoSpaceDN/>
                    <w:bidi w:val="0"/>
                    <w:adjustRightInd/>
                    <w:snapToGrid/>
                    <w:spacing w:line="240" w:lineRule="auto"/>
                    <w:ind w:left="0" w:right="0" w:firstLine="648" w:firstLineChars="300"/>
                    <w:jc w:val="both"/>
                    <w:textAlignment w:val="auto"/>
                    <w:rPr>
                      <w:rFonts w:hint="default" w:ascii="Times New Roman" w:hAnsi="Times New Roman" w:cs="Times New Roman"/>
                      <w:color w:val="auto"/>
                      <w:spacing w:val="3"/>
                      <w:sz w:val="21"/>
                      <w:szCs w:val="21"/>
                    </w:rPr>
                  </w:pPr>
                  <w:r>
                    <w:rPr>
                      <w:rFonts w:hint="default" w:ascii="Times New Roman" w:hAnsi="Times New Roman" w:cs="Times New Roman"/>
                      <w:color w:val="auto"/>
                      <w:spacing w:val="3"/>
                      <w:sz w:val="21"/>
                      <w:szCs w:val="21"/>
                    </w:rPr>
                    <w:t>噪声校准器标准值：94.0 dB(A)</w:t>
                  </w:r>
                </w:p>
                <w:p w14:paraId="6007BDE8">
                  <w:pPr>
                    <w:pStyle w:val="90"/>
                    <w:keepNext w:val="0"/>
                    <w:keepLines w:val="0"/>
                    <w:pageBreakBefore w:val="0"/>
                    <w:widowControl w:val="0"/>
                    <w:kinsoku/>
                    <w:wordWrap/>
                    <w:overflowPunct/>
                    <w:topLinePunct w:val="0"/>
                    <w:autoSpaceDE/>
                    <w:autoSpaceDN/>
                    <w:bidi w:val="0"/>
                    <w:adjustRightInd/>
                    <w:snapToGrid/>
                    <w:spacing w:line="240" w:lineRule="auto"/>
                    <w:ind w:left="0" w:right="0" w:firstLine="648" w:firstLineChars="300"/>
                    <w:jc w:val="both"/>
                    <w:textAlignment w:val="auto"/>
                    <w:rPr>
                      <w:rFonts w:hint="default" w:ascii="Times New Roman" w:hAnsi="Times New Roman" w:cs="Times New Roman"/>
                      <w:color w:val="auto"/>
                      <w:spacing w:val="3"/>
                      <w:sz w:val="21"/>
                      <w:szCs w:val="21"/>
                    </w:rPr>
                  </w:pPr>
                  <w:r>
                    <w:rPr>
                      <w:rFonts w:hint="default" w:ascii="Times New Roman" w:hAnsi="Times New Roman" w:cs="Times New Roman"/>
                      <w:color w:val="auto"/>
                      <w:spacing w:val="3"/>
                      <w:sz w:val="21"/>
                      <w:szCs w:val="21"/>
                    </w:rPr>
                    <w:t>厂界西侧不具备检测条件；</w:t>
                  </w:r>
                </w:p>
              </w:tc>
            </w:tr>
          </w:tbl>
          <w:p w14:paraId="5776743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lang w:val="en-US" w:eastAsia="zh-CN"/>
              </w:rPr>
            </w:pPr>
            <w:r>
              <w:rPr>
                <w:rFonts w:hint="eastAsia" w:cs="Times New Roman"/>
                <w:color w:val="auto"/>
                <w:sz w:val="24"/>
                <w:lang w:val="en-US" w:eastAsia="zh-CN"/>
              </w:rPr>
              <w:t>从上表可以看出，厂界昼间噪声最大值为55.2</w:t>
            </w:r>
            <w:r>
              <w:rPr>
                <w:rFonts w:hint="default" w:cs="Times New Roman"/>
                <w:color w:val="auto"/>
                <w:sz w:val="24"/>
                <w:lang w:val="en-US" w:eastAsia="zh-CN"/>
              </w:rPr>
              <w:t>B</w:t>
            </w:r>
            <w:r>
              <w:rPr>
                <w:rFonts w:hint="eastAsia" w:cs="Times New Roman"/>
                <w:color w:val="auto"/>
                <w:sz w:val="24"/>
                <w:lang w:val="en-US" w:eastAsia="zh-CN"/>
              </w:rPr>
              <w:t>（</w:t>
            </w:r>
            <w:r>
              <w:rPr>
                <w:rFonts w:hint="default" w:cs="Times New Roman"/>
                <w:color w:val="auto"/>
                <w:sz w:val="24"/>
                <w:lang w:val="en-US" w:eastAsia="zh-CN"/>
              </w:rPr>
              <w:t>A</w:t>
            </w:r>
            <w:r>
              <w:rPr>
                <w:rFonts w:hint="eastAsia" w:cs="Times New Roman"/>
                <w:color w:val="auto"/>
                <w:sz w:val="24"/>
                <w:lang w:val="en-US" w:eastAsia="zh-CN"/>
              </w:rPr>
              <w:t>），夜间噪声最大值为44.7</w:t>
            </w:r>
            <w:r>
              <w:rPr>
                <w:rFonts w:hint="default" w:cs="Times New Roman"/>
                <w:color w:val="auto"/>
                <w:sz w:val="24"/>
                <w:lang w:val="en-US" w:eastAsia="zh-CN"/>
              </w:rPr>
              <w:t>dB</w:t>
            </w:r>
            <w:r>
              <w:rPr>
                <w:rFonts w:hint="eastAsia" w:cs="Times New Roman"/>
                <w:color w:val="auto"/>
                <w:sz w:val="24"/>
                <w:lang w:val="en-US" w:eastAsia="zh-CN"/>
              </w:rPr>
              <w:t>（</w:t>
            </w:r>
            <w:r>
              <w:rPr>
                <w:rFonts w:hint="default" w:cs="Times New Roman"/>
                <w:color w:val="auto"/>
                <w:sz w:val="24"/>
                <w:lang w:val="en-US" w:eastAsia="zh-CN"/>
              </w:rPr>
              <w:t>A</w:t>
            </w:r>
            <w:r>
              <w:rPr>
                <w:rFonts w:hint="eastAsia" w:cs="Times New Roman"/>
                <w:color w:val="auto"/>
                <w:sz w:val="24"/>
                <w:lang w:val="en-US" w:eastAsia="zh-CN"/>
              </w:rPr>
              <w:t>）。满足《</w:t>
            </w:r>
            <w:r>
              <w:rPr>
                <w:rFonts w:hint="eastAsia" w:ascii="Times New Roman" w:hAnsi="Times New Roman" w:eastAsia="宋体" w:cs="Times New Roman"/>
                <w:color w:val="auto"/>
                <w:sz w:val="24"/>
                <w:lang w:val="en-US" w:eastAsia="zh-CN"/>
              </w:rPr>
              <w:t>工业企业厂界环境噪声排放标准</w:t>
            </w:r>
            <w:r>
              <w:rPr>
                <w:rFonts w:hint="eastAsia" w:cs="Times New Roman"/>
                <w:color w:val="auto"/>
                <w:sz w:val="24"/>
                <w:lang w:val="en-US" w:eastAsia="zh-CN"/>
              </w:rPr>
              <w:t>》（GB 12348-2008）中2类区排放标准（昼间≤60</w:t>
            </w:r>
            <w:r>
              <w:rPr>
                <w:rFonts w:hint="default" w:cs="Times New Roman"/>
                <w:color w:val="auto"/>
                <w:sz w:val="24"/>
                <w:lang w:val="en-US" w:eastAsia="zh-CN"/>
              </w:rPr>
              <w:t>dB</w:t>
            </w:r>
            <w:r>
              <w:rPr>
                <w:rFonts w:hint="eastAsia" w:cs="Times New Roman"/>
                <w:color w:val="auto"/>
                <w:sz w:val="24"/>
                <w:lang w:val="en-US" w:eastAsia="zh-CN"/>
              </w:rPr>
              <w:t>（</w:t>
            </w:r>
            <w:r>
              <w:rPr>
                <w:rFonts w:hint="default" w:cs="Times New Roman"/>
                <w:color w:val="auto"/>
                <w:sz w:val="24"/>
                <w:lang w:val="en-US" w:eastAsia="zh-CN"/>
              </w:rPr>
              <w:t>A</w:t>
            </w:r>
            <w:r>
              <w:rPr>
                <w:rFonts w:hint="eastAsia" w:cs="Times New Roman"/>
                <w:color w:val="auto"/>
                <w:sz w:val="24"/>
                <w:lang w:val="en-US" w:eastAsia="zh-CN"/>
              </w:rPr>
              <w:t>），夜间≤50</w:t>
            </w:r>
            <w:r>
              <w:rPr>
                <w:rFonts w:hint="default" w:cs="Times New Roman"/>
                <w:color w:val="auto"/>
                <w:sz w:val="24"/>
                <w:lang w:val="en-US" w:eastAsia="zh-CN"/>
              </w:rPr>
              <w:t>dB</w:t>
            </w:r>
            <w:r>
              <w:rPr>
                <w:rFonts w:hint="eastAsia" w:cs="Times New Roman"/>
                <w:color w:val="auto"/>
                <w:sz w:val="24"/>
                <w:lang w:val="en-US" w:eastAsia="zh-CN"/>
              </w:rPr>
              <w:t>（</w:t>
            </w:r>
            <w:r>
              <w:rPr>
                <w:rFonts w:hint="default" w:cs="Times New Roman"/>
                <w:color w:val="auto"/>
                <w:sz w:val="24"/>
                <w:lang w:val="en-US" w:eastAsia="zh-CN"/>
              </w:rPr>
              <w:t>A</w:t>
            </w:r>
            <w:r>
              <w:rPr>
                <w:rFonts w:hint="eastAsia" w:cs="Times New Roman"/>
                <w:color w:val="auto"/>
                <w:sz w:val="24"/>
                <w:lang w:val="en-US" w:eastAsia="zh-CN"/>
              </w:rPr>
              <w:t>））。</w:t>
            </w:r>
          </w:p>
          <w:p w14:paraId="729AFFD8">
            <w:pPr>
              <w:keepNext w:val="0"/>
              <w:keepLines w:val="0"/>
              <w:pageBreakBefore w:val="0"/>
              <w:widowControl w:val="0"/>
              <w:numPr>
                <w:ilvl w:val="0"/>
                <w:numId w:val="21"/>
              </w:numPr>
              <w:kinsoku/>
              <w:wordWrap/>
              <w:overflowPunct/>
              <w:topLinePunct w:val="0"/>
              <w:autoSpaceDE/>
              <w:autoSpaceDN/>
              <w:bidi w:val="0"/>
              <w:adjustRightInd w:val="0"/>
              <w:snapToGrid w:val="0"/>
              <w:spacing w:line="360" w:lineRule="auto"/>
              <w:ind w:left="0" w:leftChars="0" w:firstLine="425" w:firstLineChars="0"/>
              <w:textAlignment w:val="auto"/>
              <w:rPr>
                <w:rFonts w:hint="default" w:ascii="Times New Roman" w:hAnsi="Times New Roman" w:cs="Times New Roman"/>
                <w:color w:val="auto"/>
                <w:sz w:val="24"/>
                <w:lang w:val="en-US" w:eastAsia="zh-CN"/>
              </w:rPr>
            </w:pPr>
            <w:r>
              <w:rPr>
                <w:rFonts w:hint="eastAsia" w:cs="Times New Roman"/>
                <w:color w:val="auto"/>
                <w:sz w:val="24"/>
                <w:lang w:val="en-US" w:eastAsia="zh-CN"/>
              </w:rPr>
              <w:t>固废</w:t>
            </w:r>
          </w:p>
          <w:p w14:paraId="433FF57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cs="Times New Roman"/>
                <w:color w:val="auto"/>
                <w:sz w:val="24"/>
                <w:lang w:val="en-US" w:eastAsia="zh-CN"/>
              </w:rPr>
            </w:pPr>
            <w:r>
              <w:rPr>
                <w:rFonts w:hint="eastAsia" w:cs="Times New Roman"/>
                <w:color w:val="auto"/>
                <w:sz w:val="24"/>
                <w:lang w:val="en-US" w:eastAsia="zh-CN"/>
              </w:rPr>
              <w:t>现有项目固废主要为废抹布手套、废活性炭，以及生活垃圾。</w:t>
            </w:r>
          </w:p>
          <w:p w14:paraId="0B45910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cs="Times New Roman"/>
                <w:color w:val="auto"/>
                <w:sz w:val="24"/>
                <w:lang w:val="en-US" w:eastAsia="zh-CN"/>
              </w:rPr>
            </w:pPr>
            <w:r>
              <w:rPr>
                <w:rFonts w:hint="eastAsia" w:cs="Times New Roman"/>
                <w:color w:val="auto"/>
                <w:sz w:val="24"/>
                <w:lang w:val="en-US" w:eastAsia="zh-CN"/>
              </w:rPr>
              <w:t>根据企业运行情况，现有项目运行过程中，会用抹布擦拭地面、手套擦拭包装物表面，废抹布、手套产生量为0.01t/a，属于危险废物，危废编号为HW49，废物代码为900-041-49含有或沾染毒性、感染性危险废物的废弃包装物、容器、过滤吸附介质，在贮存库内暂存后，委托相关资质单位处理。</w:t>
            </w:r>
          </w:p>
          <w:p w14:paraId="04468F3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cs="Times New Roman"/>
                <w:color w:val="auto"/>
                <w:sz w:val="24"/>
                <w:lang w:val="en-US" w:eastAsia="zh-CN"/>
              </w:rPr>
            </w:pPr>
            <w:r>
              <w:rPr>
                <w:rFonts w:hint="eastAsia" w:cs="Times New Roman"/>
                <w:color w:val="auto"/>
                <w:sz w:val="24"/>
                <w:lang w:val="en-US" w:eastAsia="zh-CN"/>
              </w:rPr>
              <w:t>项目项目采用活性炭吸附工艺处理仓库内有机废气，根据企业运行情况，活性炭一年一换，每次更换量为80kg，属于危险废物，危废编号为HW49，废物代码为900-039-49VOCs（以非甲烷总烃计）治理过程产生的废活性炭，在贮存库内暂存后，委托相关资质单位处理。</w:t>
            </w:r>
          </w:p>
          <w:p w14:paraId="4FBC903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cs="Times New Roman"/>
                <w:color w:val="auto"/>
                <w:sz w:val="24"/>
                <w:lang w:val="en-US" w:eastAsia="zh-CN"/>
              </w:rPr>
            </w:pPr>
            <w:r>
              <w:rPr>
                <w:rFonts w:hint="eastAsia" w:cs="Times New Roman"/>
                <w:color w:val="auto"/>
                <w:sz w:val="24"/>
                <w:lang w:val="en-US" w:eastAsia="zh-CN"/>
              </w:rPr>
              <w:t>全厂职工定员5人，生活垃圾产生系数以0.5kg/（人.天）计，产生量为0.75t/a，集中收集至垃圾桶，由环卫部门定期清运。</w:t>
            </w:r>
          </w:p>
          <w:p w14:paraId="37036156">
            <w:pPr>
              <w:keepNext w:val="0"/>
              <w:keepLines w:val="0"/>
              <w:pageBreakBefore w:val="0"/>
              <w:widowControl w:val="0"/>
              <w:numPr>
                <w:ilvl w:val="0"/>
                <w:numId w:val="19"/>
              </w:numPr>
              <w:kinsoku/>
              <w:wordWrap/>
              <w:overflowPunct/>
              <w:topLinePunct w:val="0"/>
              <w:autoSpaceDE/>
              <w:autoSpaceDN/>
              <w:bidi w:val="0"/>
              <w:adjustRightInd w:val="0"/>
              <w:snapToGrid/>
              <w:spacing w:line="360" w:lineRule="auto"/>
              <w:ind w:firstLine="482" w:firstLineChars="200"/>
              <w:textAlignment w:val="auto"/>
              <w:rPr>
                <w:rFonts w:hint="default" w:ascii="Times New Roman" w:hAnsi="Times New Roman" w:cs="Times New Roman"/>
                <w:b/>
                <w:bCs w:val="0"/>
                <w:color w:val="auto"/>
                <w:sz w:val="24"/>
                <w:lang w:val="en-US" w:eastAsia="zh-CN"/>
              </w:rPr>
            </w:pPr>
            <w:r>
              <w:rPr>
                <w:rFonts w:hint="eastAsia" w:ascii="Times New Roman" w:hAnsi="Times New Roman" w:cs="Times New Roman"/>
                <w:b/>
                <w:bCs w:val="0"/>
                <w:color w:val="auto"/>
                <w:sz w:val="24"/>
                <w:lang w:val="en-US" w:eastAsia="zh-CN"/>
              </w:rPr>
              <w:t>现有工程污染物</w:t>
            </w:r>
            <w:r>
              <w:rPr>
                <w:rFonts w:hint="eastAsia" w:cs="Times New Roman"/>
                <w:b/>
                <w:bCs w:val="0"/>
                <w:color w:val="auto"/>
                <w:sz w:val="24"/>
                <w:lang w:val="en-US" w:eastAsia="zh-CN"/>
              </w:rPr>
              <w:t>排放总量</w:t>
            </w:r>
            <w:r>
              <w:rPr>
                <w:rFonts w:hint="eastAsia" w:ascii="Times New Roman" w:hAnsi="Times New Roman" w:cs="Times New Roman"/>
                <w:b/>
                <w:bCs w:val="0"/>
                <w:color w:val="auto"/>
                <w:sz w:val="24"/>
                <w:lang w:val="en-US" w:eastAsia="zh-CN"/>
              </w:rPr>
              <w:t>情况</w:t>
            </w:r>
          </w:p>
          <w:p w14:paraId="12ABA7C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cs="Times New Roman"/>
                <w:color w:val="auto"/>
                <w:sz w:val="24"/>
                <w:lang w:val="en-US" w:eastAsia="zh-CN"/>
              </w:rPr>
            </w:pPr>
            <w:r>
              <w:rPr>
                <w:rFonts w:hint="eastAsia" w:cs="Times New Roman"/>
                <w:color w:val="auto"/>
                <w:sz w:val="24"/>
                <w:lang w:val="en-US" w:eastAsia="zh-CN"/>
              </w:rPr>
              <w:t>现有项目三废统计见下表。</w:t>
            </w:r>
          </w:p>
          <w:p w14:paraId="675ACE6C">
            <w:pPr>
              <w:keepNext w:val="0"/>
              <w:keepLines w:val="0"/>
              <w:pageBreakBefore w:val="0"/>
              <w:widowControl w:val="0"/>
              <w:numPr>
                <w:ilvl w:val="0"/>
                <w:numId w:val="14"/>
              </w:numPr>
              <w:kinsoku/>
              <w:wordWrap/>
              <w:overflowPunct/>
              <w:topLinePunct w:val="0"/>
              <w:autoSpaceDE w:val="0"/>
              <w:autoSpaceDN w:val="0"/>
              <w:bidi w:val="0"/>
              <w:adjustRightInd w:val="0"/>
              <w:snapToGrid/>
              <w:spacing w:line="360" w:lineRule="auto"/>
              <w:ind w:left="0" w:leftChars="0" w:firstLine="0" w:firstLineChars="0"/>
              <w:jc w:val="center"/>
              <w:textAlignment w:val="auto"/>
              <w:rPr>
                <w:rFonts w:hint="eastAsia" w:cs="Times New Roman"/>
                <w:b/>
                <w:bCs/>
                <w:color w:val="auto"/>
                <w:kern w:val="0"/>
                <w:sz w:val="24"/>
                <w:szCs w:val="24"/>
                <w:lang w:val="en-US" w:eastAsia="zh-CN" w:bidi="ar"/>
              </w:rPr>
            </w:pPr>
            <w:r>
              <w:rPr>
                <w:rFonts w:hint="eastAsia" w:cs="Times New Roman"/>
                <w:b/>
                <w:bCs/>
                <w:color w:val="auto"/>
                <w:kern w:val="0"/>
                <w:sz w:val="24"/>
                <w:szCs w:val="24"/>
                <w:lang w:val="en-US" w:eastAsia="zh-CN" w:bidi="ar"/>
              </w:rPr>
              <w:t>现有项目三废统计情况一览表</w:t>
            </w:r>
          </w:p>
          <w:tbl>
            <w:tblPr>
              <w:tblStyle w:val="2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14"/>
              <w:gridCol w:w="2815"/>
              <w:gridCol w:w="2817"/>
            </w:tblGrid>
            <w:tr w14:paraId="2512B4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 w:hRule="atLeast"/>
              </w:trPr>
              <w:tc>
                <w:tcPr>
                  <w:tcW w:w="1665" w:type="pct"/>
                  <w:tcBorders>
                    <w:top w:val="single" w:color="auto" w:sz="4" w:space="0"/>
                    <w:left w:val="single" w:color="auto" w:sz="4" w:space="0"/>
                    <w:bottom w:val="single" w:color="auto" w:sz="4" w:space="0"/>
                    <w:right w:val="single" w:color="auto" w:sz="4" w:space="0"/>
                  </w:tcBorders>
                  <w:vAlign w:val="center"/>
                </w:tcPr>
                <w:p w14:paraId="1C337D96">
                  <w:pPr>
                    <w:keepNext w:val="0"/>
                    <w:keepLines w:val="0"/>
                    <w:pageBreakBefore w:val="0"/>
                    <w:widowControl w:val="0"/>
                    <w:kinsoku/>
                    <w:wordWrap/>
                    <w:overflowPunct/>
                    <w:topLinePunct w:val="0"/>
                    <w:autoSpaceDE/>
                    <w:autoSpaceDN/>
                    <w:bidi w:val="0"/>
                    <w:adjustRightInd/>
                    <w:snapToGrid/>
                    <w:spacing w:line="340" w:lineRule="exact"/>
                    <w:ind w:firstLine="0" w:firstLineChars="0"/>
                    <w:jc w:val="center"/>
                    <w:textAlignment w:val="auto"/>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类别</w:t>
                  </w:r>
                </w:p>
              </w:tc>
              <w:tc>
                <w:tcPr>
                  <w:tcW w:w="1666" w:type="pct"/>
                  <w:tcBorders>
                    <w:top w:val="single" w:color="auto" w:sz="4" w:space="0"/>
                    <w:left w:val="single" w:color="auto" w:sz="4" w:space="0"/>
                    <w:bottom w:val="single" w:color="auto" w:sz="4" w:space="0"/>
                    <w:right w:val="single" w:color="auto" w:sz="4" w:space="0"/>
                  </w:tcBorders>
                  <w:vAlign w:val="center"/>
                </w:tcPr>
                <w:p w14:paraId="21F4BC82">
                  <w:pPr>
                    <w:keepNext w:val="0"/>
                    <w:keepLines w:val="0"/>
                    <w:pageBreakBefore w:val="0"/>
                    <w:widowControl w:val="0"/>
                    <w:kinsoku/>
                    <w:wordWrap/>
                    <w:overflowPunct/>
                    <w:topLinePunct w:val="0"/>
                    <w:autoSpaceDE/>
                    <w:autoSpaceDN/>
                    <w:bidi w:val="0"/>
                    <w:adjustRightInd/>
                    <w:snapToGrid/>
                    <w:spacing w:line="340" w:lineRule="exact"/>
                    <w:ind w:firstLine="0" w:firstLineChars="0"/>
                    <w:jc w:val="center"/>
                    <w:textAlignment w:val="auto"/>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污染因子</w:t>
                  </w:r>
                </w:p>
              </w:tc>
              <w:tc>
                <w:tcPr>
                  <w:tcW w:w="1667" w:type="pct"/>
                  <w:tcBorders>
                    <w:top w:val="single" w:color="auto" w:sz="4" w:space="0"/>
                    <w:left w:val="single" w:color="auto" w:sz="4" w:space="0"/>
                    <w:bottom w:val="single" w:color="auto" w:sz="4" w:space="0"/>
                    <w:right w:val="single" w:color="auto" w:sz="4" w:space="0"/>
                  </w:tcBorders>
                  <w:vAlign w:val="center"/>
                </w:tcPr>
                <w:p w14:paraId="27C5C2EC">
                  <w:pPr>
                    <w:keepNext w:val="0"/>
                    <w:keepLines w:val="0"/>
                    <w:pageBreakBefore w:val="0"/>
                    <w:widowControl w:val="0"/>
                    <w:kinsoku/>
                    <w:wordWrap/>
                    <w:overflowPunct/>
                    <w:topLinePunct w:val="0"/>
                    <w:autoSpaceDE/>
                    <w:autoSpaceDN/>
                    <w:bidi w:val="0"/>
                    <w:adjustRightInd/>
                    <w:snapToGrid/>
                    <w:spacing w:line="340" w:lineRule="exact"/>
                    <w:ind w:firstLine="0" w:firstLineChars="0"/>
                    <w:jc w:val="center"/>
                    <w:textAlignment w:val="auto"/>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排放量</w:t>
                  </w:r>
                  <w:r>
                    <w:rPr>
                      <w:rFonts w:hint="eastAsia" w:cs="Times New Roman"/>
                      <w:color w:val="auto"/>
                      <w:sz w:val="21"/>
                      <w:szCs w:val="21"/>
                      <w:lang w:val="en-US" w:eastAsia="zh-CN"/>
                    </w:rPr>
                    <w:t>（t/a）</w:t>
                  </w:r>
                </w:p>
              </w:tc>
            </w:tr>
            <w:tr w14:paraId="778E69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5" w:type="pct"/>
                  <w:vMerge w:val="restart"/>
                  <w:tcBorders>
                    <w:top w:val="single" w:color="auto" w:sz="4" w:space="0"/>
                    <w:left w:val="single" w:color="auto" w:sz="4" w:space="0"/>
                    <w:right w:val="single" w:color="auto" w:sz="4" w:space="0"/>
                  </w:tcBorders>
                  <w:vAlign w:val="center"/>
                </w:tcPr>
                <w:p w14:paraId="6F7AC6C3">
                  <w:pPr>
                    <w:keepNext w:val="0"/>
                    <w:keepLines w:val="0"/>
                    <w:pageBreakBefore w:val="0"/>
                    <w:widowControl w:val="0"/>
                    <w:kinsoku/>
                    <w:wordWrap/>
                    <w:overflowPunct/>
                    <w:topLinePunct w:val="0"/>
                    <w:autoSpaceDE/>
                    <w:autoSpaceDN/>
                    <w:bidi w:val="0"/>
                    <w:adjustRightInd/>
                    <w:snapToGrid/>
                    <w:spacing w:line="340" w:lineRule="exact"/>
                    <w:ind w:firstLine="0" w:firstLineChars="0"/>
                    <w:jc w:val="center"/>
                    <w:textAlignment w:val="auto"/>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废气</w:t>
                  </w:r>
                </w:p>
              </w:tc>
              <w:tc>
                <w:tcPr>
                  <w:tcW w:w="1666" w:type="pct"/>
                  <w:tcBorders>
                    <w:top w:val="single" w:color="auto" w:sz="4" w:space="0"/>
                    <w:left w:val="single" w:color="auto" w:sz="4" w:space="0"/>
                    <w:bottom w:val="single" w:color="auto" w:sz="4" w:space="0"/>
                    <w:right w:val="single" w:color="auto" w:sz="4" w:space="0"/>
                  </w:tcBorders>
                  <w:vAlign w:val="center"/>
                </w:tcPr>
                <w:p w14:paraId="7E1F4A0D">
                  <w:pPr>
                    <w:keepNext w:val="0"/>
                    <w:keepLines w:val="0"/>
                    <w:pageBreakBefore w:val="0"/>
                    <w:widowControl w:val="0"/>
                    <w:kinsoku/>
                    <w:wordWrap/>
                    <w:overflowPunct/>
                    <w:topLinePunct w:val="0"/>
                    <w:autoSpaceDE/>
                    <w:autoSpaceDN/>
                    <w:bidi w:val="0"/>
                    <w:adjustRightInd/>
                    <w:snapToGrid/>
                    <w:spacing w:line="340" w:lineRule="exact"/>
                    <w:ind w:firstLine="0" w:firstLineChars="0"/>
                    <w:jc w:val="center"/>
                    <w:textAlignment w:val="auto"/>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VOCs（以非甲烷总烃计）</w:t>
                  </w:r>
                </w:p>
              </w:tc>
              <w:tc>
                <w:tcPr>
                  <w:tcW w:w="1667" w:type="pct"/>
                  <w:tcBorders>
                    <w:top w:val="single" w:color="auto" w:sz="4" w:space="0"/>
                    <w:left w:val="single" w:color="auto" w:sz="4" w:space="0"/>
                    <w:bottom w:val="single" w:color="auto" w:sz="4" w:space="0"/>
                    <w:right w:val="single" w:color="auto" w:sz="4" w:space="0"/>
                  </w:tcBorders>
                  <w:vAlign w:val="center"/>
                </w:tcPr>
                <w:p w14:paraId="43F3FC32">
                  <w:pPr>
                    <w:keepNext w:val="0"/>
                    <w:keepLines w:val="0"/>
                    <w:pageBreakBefore w:val="0"/>
                    <w:widowControl w:val="0"/>
                    <w:kinsoku/>
                    <w:wordWrap/>
                    <w:overflowPunct/>
                    <w:topLinePunct w:val="0"/>
                    <w:autoSpaceDE/>
                    <w:autoSpaceDN/>
                    <w:bidi w:val="0"/>
                    <w:adjustRightInd/>
                    <w:snapToGrid/>
                    <w:spacing w:line="340" w:lineRule="exact"/>
                    <w:ind w:firstLine="0" w:firstLineChars="0"/>
                    <w:jc w:val="center"/>
                    <w:textAlignment w:val="auto"/>
                    <w:rPr>
                      <w:rFonts w:hint="default" w:cs="Times New Roman"/>
                      <w:color w:val="auto"/>
                      <w:sz w:val="21"/>
                      <w:szCs w:val="21"/>
                      <w:lang w:val="en-US" w:eastAsia="zh-CN"/>
                    </w:rPr>
                  </w:pPr>
                  <w:r>
                    <w:rPr>
                      <w:rFonts w:hint="eastAsia" w:cs="Times New Roman"/>
                      <w:color w:val="auto"/>
                      <w:sz w:val="21"/>
                      <w:szCs w:val="21"/>
                      <w:lang w:val="en-US" w:eastAsia="zh-CN"/>
                    </w:rPr>
                    <w:t>0.0586</w:t>
                  </w:r>
                </w:p>
              </w:tc>
            </w:tr>
            <w:tr w14:paraId="17D270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5" w:type="pct"/>
                  <w:vMerge w:val="continue"/>
                  <w:tcBorders>
                    <w:left w:val="single" w:color="auto" w:sz="4" w:space="0"/>
                    <w:right w:val="single" w:color="auto" w:sz="4" w:space="0"/>
                  </w:tcBorders>
                  <w:vAlign w:val="center"/>
                </w:tcPr>
                <w:p w14:paraId="465117E8">
                  <w:pPr>
                    <w:keepNext w:val="0"/>
                    <w:keepLines w:val="0"/>
                    <w:pageBreakBefore w:val="0"/>
                    <w:widowControl w:val="0"/>
                    <w:kinsoku/>
                    <w:wordWrap/>
                    <w:overflowPunct/>
                    <w:topLinePunct w:val="0"/>
                    <w:autoSpaceDE/>
                    <w:autoSpaceDN/>
                    <w:bidi w:val="0"/>
                    <w:adjustRightInd/>
                    <w:snapToGrid/>
                    <w:spacing w:line="340" w:lineRule="exact"/>
                    <w:ind w:firstLine="0" w:firstLineChars="0"/>
                    <w:jc w:val="center"/>
                    <w:textAlignment w:val="auto"/>
                    <w:rPr>
                      <w:rFonts w:hint="eastAsia" w:ascii="Times New Roman" w:hAnsi="Times New Roman" w:cs="Times New Roman"/>
                      <w:color w:val="auto"/>
                      <w:sz w:val="21"/>
                      <w:szCs w:val="21"/>
                      <w:lang w:val="en-US" w:eastAsia="zh-CN"/>
                    </w:rPr>
                  </w:pPr>
                </w:p>
              </w:tc>
              <w:tc>
                <w:tcPr>
                  <w:tcW w:w="1666" w:type="pct"/>
                  <w:tcBorders>
                    <w:top w:val="single" w:color="auto" w:sz="4" w:space="0"/>
                    <w:left w:val="single" w:color="auto" w:sz="4" w:space="0"/>
                    <w:bottom w:val="single" w:color="auto" w:sz="4" w:space="0"/>
                    <w:right w:val="single" w:color="auto" w:sz="4" w:space="0"/>
                  </w:tcBorders>
                  <w:vAlign w:val="center"/>
                </w:tcPr>
                <w:p w14:paraId="73518E33">
                  <w:pPr>
                    <w:keepNext w:val="0"/>
                    <w:keepLines w:val="0"/>
                    <w:pageBreakBefore w:val="0"/>
                    <w:widowControl w:val="0"/>
                    <w:kinsoku/>
                    <w:wordWrap/>
                    <w:overflowPunct/>
                    <w:topLinePunct w:val="0"/>
                    <w:autoSpaceDE/>
                    <w:autoSpaceDN/>
                    <w:bidi w:val="0"/>
                    <w:adjustRightInd/>
                    <w:snapToGrid/>
                    <w:spacing w:line="340" w:lineRule="exact"/>
                    <w:ind w:firstLine="0" w:firstLineChars="0"/>
                    <w:jc w:val="center"/>
                    <w:textAlignment w:val="auto"/>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硫酸雾</w:t>
                  </w:r>
                </w:p>
              </w:tc>
              <w:tc>
                <w:tcPr>
                  <w:tcW w:w="1667" w:type="pct"/>
                  <w:tcBorders>
                    <w:top w:val="single" w:color="auto" w:sz="4" w:space="0"/>
                    <w:left w:val="single" w:color="auto" w:sz="4" w:space="0"/>
                    <w:bottom w:val="single" w:color="auto" w:sz="4" w:space="0"/>
                    <w:right w:val="single" w:color="auto" w:sz="4" w:space="0"/>
                  </w:tcBorders>
                  <w:vAlign w:val="center"/>
                </w:tcPr>
                <w:p w14:paraId="77D3D860">
                  <w:pPr>
                    <w:keepNext w:val="0"/>
                    <w:keepLines w:val="0"/>
                    <w:pageBreakBefore w:val="0"/>
                    <w:widowControl w:val="0"/>
                    <w:kinsoku/>
                    <w:wordWrap/>
                    <w:overflowPunct/>
                    <w:topLinePunct w:val="0"/>
                    <w:autoSpaceDE/>
                    <w:autoSpaceDN/>
                    <w:bidi w:val="0"/>
                    <w:adjustRightInd/>
                    <w:snapToGrid/>
                    <w:spacing w:line="340" w:lineRule="exact"/>
                    <w:ind w:firstLine="0" w:firstLineChars="0"/>
                    <w:jc w:val="center"/>
                    <w:textAlignment w:val="auto"/>
                    <w:rPr>
                      <w:rFonts w:hint="default" w:cs="Times New Roman"/>
                      <w:color w:val="auto"/>
                      <w:sz w:val="21"/>
                      <w:szCs w:val="21"/>
                      <w:lang w:val="en-US" w:eastAsia="zh-CN"/>
                    </w:rPr>
                  </w:pPr>
                  <w:r>
                    <w:rPr>
                      <w:rFonts w:hint="eastAsia" w:cs="Times New Roman"/>
                      <w:color w:val="auto"/>
                      <w:sz w:val="21"/>
                      <w:szCs w:val="21"/>
                      <w:lang w:val="en-US" w:eastAsia="zh-CN"/>
                    </w:rPr>
                    <w:t>0.0823</w:t>
                  </w:r>
                </w:p>
              </w:tc>
            </w:tr>
            <w:tr w14:paraId="168EA4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5" w:type="pct"/>
                  <w:vMerge w:val="continue"/>
                  <w:tcBorders>
                    <w:left w:val="single" w:color="auto" w:sz="4" w:space="0"/>
                    <w:bottom w:val="single" w:color="auto" w:sz="4" w:space="0"/>
                    <w:right w:val="single" w:color="auto" w:sz="4" w:space="0"/>
                  </w:tcBorders>
                  <w:vAlign w:val="center"/>
                </w:tcPr>
                <w:p w14:paraId="751A1B32">
                  <w:pPr>
                    <w:keepNext w:val="0"/>
                    <w:keepLines w:val="0"/>
                    <w:pageBreakBefore w:val="0"/>
                    <w:widowControl w:val="0"/>
                    <w:kinsoku/>
                    <w:wordWrap/>
                    <w:overflowPunct/>
                    <w:topLinePunct w:val="0"/>
                    <w:autoSpaceDE/>
                    <w:autoSpaceDN/>
                    <w:bidi w:val="0"/>
                    <w:adjustRightInd/>
                    <w:snapToGrid/>
                    <w:spacing w:line="340" w:lineRule="exact"/>
                    <w:ind w:firstLine="0" w:firstLineChars="0"/>
                    <w:jc w:val="center"/>
                    <w:textAlignment w:val="auto"/>
                    <w:rPr>
                      <w:rFonts w:hint="eastAsia" w:ascii="Times New Roman" w:hAnsi="Times New Roman" w:cs="Times New Roman"/>
                      <w:color w:val="auto"/>
                      <w:sz w:val="21"/>
                      <w:szCs w:val="21"/>
                      <w:lang w:val="en-US" w:eastAsia="zh-CN"/>
                    </w:rPr>
                  </w:pPr>
                </w:p>
              </w:tc>
              <w:tc>
                <w:tcPr>
                  <w:tcW w:w="1666" w:type="pct"/>
                  <w:tcBorders>
                    <w:top w:val="single" w:color="auto" w:sz="4" w:space="0"/>
                    <w:left w:val="single" w:color="auto" w:sz="4" w:space="0"/>
                    <w:bottom w:val="single" w:color="auto" w:sz="4" w:space="0"/>
                    <w:right w:val="single" w:color="auto" w:sz="4" w:space="0"/>
                  </w:tcBorders>
                  <w:vAlign w:val="center"/>
                </w:tcPr>
                <w:p w14:paraId="4A68D728">
                  <w:pPr>
                    <w:keepNext w:val="0"/>
                    <w:keepLines w:val="0"/>
                    <w:pageBreakBefore w:val="0"/>
                    <w:widowControl w:val="0"/>
                    <w:kinsoku/>
                    <w:wordWrap/>
                    <w:overflowPunct/>
                    <w:topLinePunct w:val="0"/>
                    <w:autoSpaceDE/>
                    <w:autoSpaceDN/>
                    <w:bidi w:val="0"/>
                    <w:adjustRightInd/>
                    <w:snapToGrid/>
                    <w:spacing w:line="340" w:lineRule="exact"/>
                    <w:ind w:firstLine="0" w:firstLineChars="0"/>
                    <w:jc w:val="center"/>
                    <w:textAlignment w:val="auto"/>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氯化氢</w:t>
                  </w:r>
                </w:p>
              </w:tc>
              <w:tc>
                <w:tcPr>
                  <w:tcW w:w="1667" w:type="pct"/>
                  <w:tcBorders>
                    <w:top w:val="single" w:color="auto" w:sz="4" w:space="0"/>
                    <w:left w:val="single" w:color="auto" w:sz="4" w:space="0"/>
                    <w:bottom w:val="single" w:color="auto" w:sz="4" w:space="0"/>
                    <w:right w:val="single" w:color="auto" w:sz="4" w:space="0"/>
                  </w:tcBorders>
                  <w:vAlign w:val="center"/>
                </w:tcPr>
                <w:p w14:paraId="15FCBF38">
                  <w:pPr>
                    <w:keepNext w:val="0"/>
                    <w:keepLines w:val="0"/>
                    <w:pageBreakBefore w:val="0"/>
                    <w:widowControl w:val="0"/>
                    <w:kinsoku/>
                    <w:wordWrap/>
                    <w:overflowPunct/>
                    <w:topLinePunct w:val="0"/>
                    <w:autoSpaceDE/>
                    <w:autoSpaceDN/>
                    <w:bidi w:val="0"/>
                    <w:adjustRightInd/>
                    <w:snapToGrid/>
                    <w:spacing w:line="340" w:lineRule="exact"/>
                    <w:ind w:firstLine="0" w:firstLineChars="0"/>
                    <w:jc w:val="center"/>
                    <w:textAlignment w:val="auto"/>
                    <w:rPr>
                      <w:rFonts w:hint="default" w:cs="Times New Roman"/>
                      <w:color w:val="auto"/>
                      <w:sz w:val="21"/>
                      <w:szCs w:val="21"/>
                      <w:lang w:val="en-US" w:eastAsia="zh-CN"/>
                    </w:rPr>
                  </w:pPr>
                  <w:r>
                    <w:rPr>
                      <w:rFonts w:hint="eastAsia" w:cs="Times New Roman"/>
                      <w:color w:val="auto"/>
                      <w:sz w:val="21"/>
                      <w:szCs w:val="21"/>
                      <w:lang w:val="en-US" w:eastAsia="zh-CN"/>
                    </w:rPr>
                    <w:t>0.1638</w:t>
                  </w:r>
                </w:p>
              </w:tc>
            </w:tr>
            <w:tr w14:paraId="49E699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5" w:type="pct"/>
                  <w:vMerge w:val="restart"/>
                  <w:tcBorders>
                    <w:top w:val="single" w:color="auto" w:sz="4" w:space="0"/>
                    <w:left w:val="single" w:color="auto" w:sz="4" w:space="0"/>
                    <w:right w:val="single" w:color="auto" w:sz="4" w:space="0"/>
                  </w:tcBorders>
                  <w:vAlign w:val="center"/>
                </w:tcPr>
                <w:p w14:paraId="66CF38FE">
                  <w:pPr>
                    <w:keepNext w:val="0"/>
                    <w:keepLines w:val="0"/>
                    <w:pageBreakBefore w:val="0"/>
                    <w:widowControl w:val="0"/>
                    <w:kinsoku/>
                    <w:wordWrap/>
                    <w:overflowPunct/>
                    <w:topLinePunct w:val="0"/>
                    <w:autoSpaceDE/>
                    <w:autoSpaceDN/>
                    <w:bidi w:val="0"/>
                    <w:adjustRightInd/>
                    <w:snapToGrid/>
                    <w:spacing w:line="340" w:lineRule="exact"/>
                    <w:ind w:firstLine="0" w:firstLineChars="0"/>
                    <w:jc w:val="center"/>
                    <w:textAlignment w:val="auto"/>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固废</w:t>
                  </w:r>
                </w:p>
              </w:tc>
              <w:tc>
                <w:tcPr>
                  <w:tcW w:w="1666" w:type="pct"/>
                  <w:tcBorders>
                    <w:top w:val="single" w:color="auto" w:sz="4" w:space="0"/>
                    <w:left w:val="single" w:color="auto" w:sz="4" w:space="0"/>
                    <w:bottom w:val="single" w:color="auto" w:sz="4" w:space="0"/>
                    <w:right w:val="single" w:color="auto" w:sz="4" w:space="0"/>
                  </w:tcBorders>
                  <w:vAlign w:val="center"/>
                </w:tcPr>
                <w:p w14:paraId="2E1AE4EB">
                  <w:pPr>
                    <w:keepNext w:val="0"/>
                    <w:keepLines w:val="0"/>
                    <w:pageBreakBefore w:val="0"/>
                    <w:widowControl w:val="0"/>
                    <w:kinsoku/>
                    <w:wordWrap/>
                    <w:overflowPunct/>
                    <w:topLinePunct w:val="0"/>
                    <w:autoSpaceDE/>
                    <w:autoSpaceDN/>
                    <w:bidi w:val="0"/>
                    <w:adjustRightInd/>
                    <w:snapToGrid/>
                    <w:spacing w:line="340" w:lineRule="exact"/>
                    <w:ind w:firstLine="0" w:firstLineChars="0"/>
                    <w:jc w:val="center"/>
                    <w:textAlignment w:val="auto"/>
                    <w:rPr>
                      <w:rFonts w:hint="default" w:cs="Times New Roman"/>
                      <w:color w:val="auto"/>
                      <w:sz w:val="21"/>
                      <w:szCs w:val="21"/>
                      <w:lang w:val="en-US" w:eastAsia="zh-CN"/>
                    </w:rPr>
                  </w:pPr>
                  <w:r>
                    <w:rPr>
                      <w:rFonts w:hint="eastAsia" w:cs="Times New Roman"/>
                      <w:color w:val="auto"/>
                      <w:sz w:val="21"/>
                      <w:szCs w:val="21"/>
                      <w:lang w:val="en-US" w:eastAsia="zh-CN"/>
                    </w:rPr>
                    <w:t>废抹布手套</w:t>
                  </w:r>
                </w:p>
              </w:tc>
              <w:tc>
                <w:tcPr>
                  <w:tcW w:w="1667" w:type="pct"/>
                  <w:tcBorders>
                    <w:top w:val="single" w:color="auto" w:sz="4" w:space="0"/>
                    <w:left w:val="single" w:color="auto" w:sz="4" w:space="0"/>
                    <w:bottom w:val="single" w:color="auto" w:sz="4" w:space="0"/>
                    <w:right w:val="single" w:color="auto" w:sz="4" w:space="0"/>
                  </w:tcBorders>
                  <w:vAlign w:val="center"/>
                </w:tcPr>
                <w:p w14:paraId="16093D9A">
                  <w:pPr>
                    <w:keepNext w:val="0"/>
                    <w:keepLines w:val="0"/>
                    <w:pageBreakBefore w:val="0"/>
                    <w:widowControl w:val="0"/>
                    <w:kinsoku/>
                    <w:wordWrap/>
                    <w:overflowPunct/>
                    <w:topLinePunct w:val="0"/>
                    <w:autoSpaceDE/>
                    <w:autoSpaceDN/>
                    <w:bidi w:val="0"/>
                    <w:adjustRightInd/>
                    <w:snapToGrid/>
                    <w:spacing w:line="340" w:lineRule="exact"/>
                    <w:ind w:firstLine="0" w:firstLineChars="0"/>
                    <w:jc w:val="center"/>
                    <w:textAlignment w:val="auto"/>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0.01</w:t>
                  </w:r>
                </w:p>
              </w:tc>
            </w:tr>
            <w:tr w14:paraId="65F82C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5" w:type="pct"/>
                  <w:vMerge w:val="continue"/>
                  <w:tcBorders>
                    <w:left w:val="single" w:color="auto" w:sz="4" w:space="0"/>
                    <w:right w:val="single" w:color="auto" w:sz="4" w:space="0"/>
                  </w:tcBorders>
                  <w:vAlign w:val="center"/>
                </w:tcPr>
                <w:p w14:paraId="2C26D756">
                  <w:pPr>
                    <w:keepNext w:val="0"/>
                    <w:keepLines w:val="0"/>
                    <w:pageBreakBefore w:val="0"/>
                    <w:widowControl w:val="0"/>
                    <w:kinsoku/>
                    <w:wordWrap/>
                    <w:overflowPunct/>
                    <w:topLinePunct w:val="0"/>
                    <w:autoSpaceDE/>
                    <w:autoSpaceDN/>
                    <w:bidi w:val="0"/>
                    <w:adjustRightInd/>
                    <w:snapToGrid/>
                    <w:spacing w:line="340" w:lineRule="exact"/>
                    <w:ind w:firstLine="0" w:firstLineChars="0"/>
                    <w:jc w:val="center"/>
                    <w:textAlignment w:val="auto"/>
                    <w:rPr>
                      <w:rFonts w:hint="eastAsia" w:ascii="Times New Roman" w:hAnsi="Times New Roman" w:cs="Times New Roman"/>
                      <w:color w:val="auto"/>
                      <w:sz w:val="21"/>
                      <w:szCs w:val="21"/>
                      <w:lang w:val="en-US" w:eastAsia="zh-CN"/>
                    </w:rPr>
                  </w:pPr>
                </w:p>
              </w:tc>
              <w:tc>
                <w:tcPr>
                  <w:tcW w:w="1666" w:type="pct"/>
                  <w:tcBorders>
                    <w:top w:val="single" w:color="auto" w:sz="4" w:space="0"/>
                    <w:left w:val="single" w:color="auto" w:sz="4" w:space="0"/>
                    <w:bottom w:val="single" w:color="auto" w:sz="4" w:space="0"/>
                    <w:right w:val="single" w:color="auto" w:sz="4" w:space="0"/>
                  </w:tcBorders>
                  <w:vAlign w:val="center"/>
                </w:tcPr>
                <w:p w14:paraId="1C4317C1">
                  <w:pPr>
                    <w:keepNext w:val="0"/>
                    <w:keepLines w:val="0"/>
                    <w:pageBreakBefore w:val="0"/>
                    <w:widowControl w:val="0"/>
                    <w:kinsoku/>
                    <w:wordWrap/>
                    <w:overflowPunct/>
                    <w:topLinePunct w:val="0"/>
                    <w:autoSpaceDE/>
                    <w:autoSpaceDN/>
                    <w:bidi w:val="0"/>
                    <w:adjustRightInd/>
                    <w:snapToGrid/>
                    <w:spacing w:line="340" w:lineRule="exact"/>
                    <w:ind w:firstLine="0" w:firstLineChars="0"/>
                    <w:jc w:val="center"/>
                    <w:textAlignment w:val="auto"/>
                    <w:rPr>
                      <w:rFonts w:hint="default" w:cs="Times New Roman"/>
                      <w:color w:val="auto"/>
                      <w:sz w:val="21"/>
                      <w:szCs w:val="21"/>
                      <w:lang w:val="en-US" w:eastAsia="zh-CN"/>
                    </w:rPr>
                  </w:pPr>
                  <w:r>
                    <w:rPr>
                      <w:rFonts w:hint="eastAsia" w:cs="Times New Roman"/>
                      <w:color w:val="auto"/>
                      <w:sz w:val="21"/>
                      <w:szCs w:val="21"/>
                      <w:lang w:val="en-US" w:eastAsia="zh-CN"/>
                    </w:rPr>
                    <w:t>废活性炭</w:t>
                  </w:r>
                </w:p>
              </w:tc>
              <w:tc>
                <w:tcPr>
                  <w:tcW w:w="1667" w:type="pct"/>
                  <w:tcBorders>
                    <w:top w:val="single" w:color="auto" w:sz="4" w:space="0"/>
                    <w:left w:val="single" w:color="auto" w:sz="4" w:space="0"/>
                    <w:bottom w:val="single" w:color="auto" w:sz="4" w:space="0"/>
                    <w:right w:val="single" w:color="auto" w:sz="4" w:space="0"/>
                  </w:tcBorders>
                  <w:vAlign w:val="center"/>
                </w:tcPr>
                <w:p w14:paraId="0A998E29">
                  <w:pPr>
                    <w:keepNext w:val="0"/>
                    <w:keepLines w:val="0"/>
                    <w:pageBreakBefore w:val="0"/>
                    <w:widowControl w:val="0"/>
                    <w:kinsoku/>
                    <w:wordWrap/>
                    <w:overflowPunct/>
                    <w:topLinePunct w:val="0"/>
                    <w:autoSpaceDE/>
                    <w:autoSpaceDN/>
                    <w:bidi w:val="0"/>
                    <w:adjustRightInd/>
                    <w:snapToGrid/>
                    <w:spacing w:line="340" w:lineRule="exact"/>
                    <w:ind w:firstLine="0" w:firstLineChars="0"/>
                    <w:jc w:val="center"/>
                    <w:textAlignment w:val="auto"/>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0.08</w:t>
                  </w:r>
                </w:p>
              </w:tc>
            </w:tr>
            <w:tr w14:paraId="02FB0F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5" w:type="pct"/>
                  <w:vMerge w:val="continue"/>
                  <w:tcBorders>
                    <w:left w:val="single" w:color="auto" w:sz="4" w:space="0"/>
                    <w:bottom w:val="single" w:color="auto" w:sz="4" w:space="0"/>
                    <w:right w:val="single" w:color="auto" w:sz="4" w:space="0"/>
                  </w:tcBorders>
                  <w:vAlign w:val="center"/>
                </w:tcPr>
                <w:p w14:paraId="16706F85">
                  <w:pPr>
                    <w:keepNext w:val="0"/>
                    <w:keepLines w:val="0"/>
                    <w:pageBreakBefore w:val="0"/>
                    <w:widowControl w:val="0"/>
                    <w:kinsoku/>
                    <w:wordWrap/>
                    <w:overflowPunct/>
                    <w:topLinePunct w:val="0"/>
                    <w:autoSpaceDE/>
                    <w:autoSpaceDN/>
                    <w:bidi w:val="0"/>
                    <w:adjustRightInd/>
                    <w:snapToGrid/>
                    <w:spacing w:line="340" w:lineRule="exact"/>
                    <w:ind w:firstLine="0" w:firstLineChars="0"/>
                    <w:jc w:val="center"/>
                    <w:textAlignment w:val="auto"/>
                    <w:rPr>
                      <w:rFonts w:hint="eastAsia" w:ascii="Times New Roman" w:hAnsi="Times New Roman" w:cs="Times New Roman"/>
                      <w:color w:val="auto"/>
                      <w:sz w:val="21"/>
                      <w:szCs w:val="21"/>
                      <w:lang w:val="en-US" w:eastAsia="zh-CN"/>
                    </w:rPr>
                  </w:pPr>
                </w:p>
              </w:tc>
              <w:tc>
                <w:tcPr>
                  <w:tcW w:w="1666" w:type="pct"/>
                  <w:tcBorders>
                    <w:top w:val="single" w:color="auto" w:sz="4" w:space="0"/>
                    <w:left w:val="single" w:color="auto" w:sz="4" w:space="0"/>
                    <w:bottom w:val="single" w:color="auto" w:sz="4" w:space="0"/>
                    <w:right w:val="single" w:color="auto" w:sz="4" w:space="0"/>
                  </w:tcBorders>
                  <w:vAlign w:val="center"/>
                </w:tcPr>
                <w:p w14:paraId="6198C52B">
                  <w:pPr>
                    <w:keepNext w:val="0"/>
                    <w:keepLines w:val="0"/>
                    <w:pageBreakBefore w:val="0"/>
                    <w:widowControl w:val="0"/>
                    <w:kinsoku/>
                    <w:wordWrap/>
                    <w:overflowPunct/>
                    <w:topLinePunct w:val="0"/>
                    <w:autoSpaceDE/>
                    <w:autoSpaceDN/>
                    <w:bidi w:val="0"/>
                    <w:adjustRightInd/>
                    <w:snapToGrid/>
                    <w:spacing w:line="340" w:lineRule="exact"/>
                    <w:ind w:firstLine="0" w:firstLineChars="0"/>
                    <w:jc w:val="center"/>
                    <w:textAlignment w:val="auto"/>
                    <w:rPr>
                      <w:rFonts w:hint="default" w:cs="Times New Roman"/>
                      <w:color w:val="auto"/>
                      <w:sz w:val="21"/>
                      <w:szCs w:val="21"/>
                      <w:lang w:val="en-US" w:eastAsia="zh-CN"/>
                    </w:rPr>
                  </w:pPr>
                  <w:r>
                    <w:rPr>
                      <w:rFonts w:hint="eastAsia" w:cs="Times New Roman"/>
                      <w:color w:val="auto"/>
                      <w:sz w:val="21"/>
                      <w:szCs w:val="21"/>
                      <w:lang w:val="en-US" w:eastAsia="zh-CN"/>
                    </w:rPr>
                    <w:t>生活垃圾</w:t>
                  </w:r>
                </w:p>
              </w:tc>
              <w:tc>
                <w:tcPr>
                  <w:tcW w:w="1667" w:type="pct"/>
                  <w:tcBorders>
                    <w:top w:val="single" w:color="auto" w:sz="4" w:space="0"/>
                    <w:left w:val="single" w:color="auto" w:sz="4" w:space="0"/>
                    <w:bottom w:val="single" w:color="auto" w:sz="4" w:space="0"/>
                    <w:right w:val="single" w:color="auto" w:sz="4" w:space="0"/>
                  </w:tcBorders>
                  <w:vAlign w:val="center"/>
                </w:tcPr>
                <w:p w14:paraId="41D4DA48">
                  <w:pPr>
                    <w:keepNext w:val="0"/>
                    <w:keepLines w:val="0"/>
                    <w:pageBreakBefore w:val="0"/>
                    <w:widowControl w:val="0"/>
                    <w:kinsoku/>
                    <w:wordWrap/>
                    <w:overflowPunct/>
                    <w:topLinePunct w:val="0"/>
                    <w:autoSpaceDE/>
                    <w:autoSpaceDN/>
                    <w:bidi w:val="0"/>
                    <w:adjustRightInd/>
                    <w:snapToGrid/>
                    <w:spacing w:line="340" w:lineRule="exact"/>
                    <w:ind w:firstLine="0" w:firstLineChars="0"/>
                    <w:jc w:val="center"/>
                    <w:textAlignment w:val="auto"/>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0.75</w:t>
                  </w:r>
                </w:p>
              </w:tc>
            </w:tr>
          </w:tbl>
          <w:p w14:paraId="0FB8FD00">
            <w:pPr>
              <w:keepNext w:val="0"/>
              <w:keepLines w:val="0"/>
              <w:pageBreakBefore w:val="0"/>
              <w:widowControl w:val="0"/>
              <w:numPr>
                <w:ilvl w:val="0"/>
                <w:numId w:val="19"/>
              </w:numP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color w:val="auto"/>
                <w:sz w:val="24"/>
                <w:lang w:val="en-US" w:eastAsia="zh-CN"/>
              </w:rPr>
            </w:pPr>
            <w:r>
              <w:rPr>
                <w:rFonts w:hint="eastAsia" w:ascii="Times New Roman" w:hAnsi="Times New Roman" w:cs="Times New Roman"/>
                <w:bCs/>
                <w:color w:val="auto"/>
                <w:sz w:val="24"/>
                <w:lang w:val="en-US" w:eastAsia="zh-CN"/>
              </w:rPr>
              <w:t>现有工程</w:t>
            </w:r>
            <w:r>
              <w:rPr>
                <w:rFonts w:hint="eastAsia" w:cs="Times New Roman"/>
                <w:bCs/>
                <w:color w:val="auto"/>
                <w:sz w:val="24"/>
                <w:lang w:val="en-US" w:eastAsia="zh-CN"/>
              </w:rPr>
              <w:t>环保问题及整改措施</w:t>
            </w:r>
          </w:p>
          <w:p w14:paraId="32BB55A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cs="Times New Roman"/>
                <w:color w:val="auto"/>
                <w:sz w:val="24"/>
                <w:lang w:val="en-US" w:eastAsia="zh-CN"/>
              </w:rPr>
            </w:pPr>
            <w:r>
              <w:rPr>
                <w:rFonts w:hint="eastAsia" w:cs="Times New Roman"/>
                <w:color w:val="auto"/>
                <w:sz w:val="24"/>
                <w:lang w:val="en-US" w:eastAsia="zh-CN"/>
              </w:rPr>
              <w:t>根据现场踏勘，未发现有环保问题。</w:t>
            </w:r>
          </w:p>
          <w:p w14:paraId="7749CAFC">
            <w:pPr>
              <w:keepNext w:val="0"/>
              <w:keepLines w:val="0"/>
              <w:pageBreakBefore w:val="0"/>
              <w:widowControl w:val="0"/>
              <w:numPr>
                <w:ilvl w:val="0"/>
                <w:numId w:val="19"/>
              </w:numPr>
              <w:kinsoku/>
              <w:wordWrap/>
              <w:overflowPunct/>
              <w:topLinePunct w:val="0"/>
              <w:autoSpaceDE/>
              <w:autoSpaceDN/>
              <w:bidi w:val="0"/>
              <w:adjustRightInd w:val="0"/>
              <w:snapToGrid w:val="0"/>
              <w:spacing w:line="360" w:lineRule="auto"/>
              <w:ind w:firstLine="480" w:firstLineChars="200"/>
              <w:textAlignment w:val="auto"/>
              <w:rPr>
                <w:rFonts w:hint="default" w:cs="Times New Roman"/>
                <w:bCs/>
                <w:color w:val="auto"/>
                <w:sz w:val="24"/>
                <w:lang w:val="en-US" w:eastAsia="zh-CN"/>
              </w:rPr>
            </w:pPr>
            <w:r>
              <w:rPr>
                <w:rFonts w:hint="default" w:cs="Times New Roman"/>
                <w:bCs/>
                <w:color w:val="auto"/>
                <w:sz w:val="24"/>
                <w:lang w:val="en-US" w:eastAsia="zh-CN"/>
              </w:rPr>
              <w:t>现有工程搬迁方案及拆除过程管理要求</w:t>
            </w:r>
          </w:p>
          <w:p w14:paraId="7EECDD5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cs="Times New Roman"/>
                <w:color w:val="auto"/>
                <w:sz w:val="24"/>
                <w:lang w:val="en-US" w:eastAsia="zh-CN"/>
              </w:rPr>
            </w:pPr>
            <w:r>
              <w:rPr>
                <w:rFonts w:hint="default" w:cs="Times New Roman"/>
                <w:color w:val="auto"/>
                <w:sz w:val="24"/>
                <w:lang w:val="en-US" w:eastAsia="zh-CN"/>
              </w:rPr>
              <w:t>根据《关于加强工业企业关停、搬迁及原址场地再开放利用过程中污染防治工作的通知》</w:t>
            </w:r>
            <w:r>
              <w:rPr>
                <w:rFonts w:hint="eastAsia" w:cs="Times New Roman"/>
                <w:color w:val="auto"/>
                <w:sz w:val="24"/>
                <w:lang w:val="en-US" w:eastAsia="zh-CN"/>
              </w:rPr>
              <w:t>（</w:t>
            </w:r>
            <w:r>
              <w:rPr>
                <w:rFonts w:hint="default" w:cs="Times New Roman"/>
                <w:color w:val="auto"/>
                <w:sz w:val="24"/>
                <w:lang w:val="en-US" w:eastAsia="zh-CN"/>
              </w:rPr>
              <w:t>环发【2014]66号</w:t>
            </w:r>
            <w:r>
              <w:rPr>
                <w:rFonts w:hint="eastAsia" w:cs="Times New Roman"/>
                <w:color w:val="auto"/>
                <w:sz w:val="24"/>
                <w:lang w:val="en-US" w:eastAsia="zh-CN"/>
              </w:rPr>
              <w:t>）</w:t>
            </w:r>
            <w:r>
              <w:rPr>
                <w:rFonts w:hint="default" w:cs="Times New Roman"/>
                <w:color w:val="auto"/>
                <w:sz w:val="24"/>
                <w:lang w:val="en-US" w:eastAsia="zh-CN"/>
              </w:rPr>
              <w:t>和《企业拆除活动污染防治技术规定</w:t>
            </w:r>
            <w:r>
              <w:rPr>
                <w:rFonts w:hint="eastAsia" w:cs="Times New Roman"/>
                <w:color w:val="auto"/>
                <w:sz w:val="24"/>
                <w:lang w:val="en-US" w:eastAsia="zh-CN"/>
              </w:rPr>
              <w:t>（</w:t>
            </w:r>
            <w:r>
              <w:rPr>
                <w:rFonts w:hint="default" w:cs="Times New Roman"/>
                <w:color w:val="auto"/>
                <w:sz w:val="24"/>
                <w:lang w:val="en-US" w:eastAsia="zh-CN"/>
              </w:rPr>
              <w:t>试行</w:t>
            </w:r>
            <w:r>
              <w:rPr>
                <w:rFonts w:hint="eastAsia" w:cs="Times New Roman"/>
                <w:color w:val="auto"/>
                <w:sz w:val="24"/>
                <w:lang w:val="en-US" w:eastAsia="zh-CN"/>
              </w:rPr>
              <w:t>）</w:t>
            </w:r>
            <w:r>
              <w:rPr>
                <w:rFonts w:hint="default" w:cs="Times New Roman"/>
                <w:color w:val="auto"/>
                <w:sz w:val="24"/>
                <w:lang w:val="en-US" w:eastAsia="zh-CN"/>
              </w:rPr>
              <w:t>》等相关要求，企业应强化停产后拆除过程的污染防治、组织开展搬迁后场地的环境调查、严控污染场地流转和开发建设审批、加强场地调查评估及治理修复监管、加大信息公开力度。</w:t>
            </w:r>
          </w:p>
          <w:p w14:paraId="307D4C0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cs="Times New Roman"/>
                <w:color w:val="auto"/>
                <w:sz w:val="24"/>
                <w:lang w:val="en-US" w:eastAsia="zh-CN"/>
              </w:rPr>
            </w:pPr>
            <w:r>
              <w:rPr>
                <w:rFonts w:hint="eastAsia" w:cs="Times New Roman"/>
                <w:color w:val="auto"/>
                <w:sz w:val="24"/>
                <w:lang w:val="en-US" w:eastAsia="zh-CN"/>
              </w:rPr>
              <w:t>搬迁</w:t>
            </w:r>
            <w:r>
              <w:rPr>
                <w:rFonts w:hint="default" w:cs="Times New Roman"/>
                <w:color w:val="auto"/>
                <w:sz w:val="24"/>
                <w:lang w:val="en-US" w:eastAsia="zh-CN"/>
              </w:rPr>
              <w:t>项目建成后，</w:t>
            </w:r>
            <w:r>
              <w:rPr>
                <w:rFonts w:hint="eastAsia" w:cs="Times New Roman"/>
                <w:color w:val="auto"/>
                <w:sz w:val="24"/>
                <w:lang w:val="en-US" w:eastAsia="zh-CN"/>
              </w:rPr>
              <w:t>现有</w:t>
            </w:r>
            <w:r>
              <w:rPr>
                <w:rFonts w:hint="default" w:cs="Times New Roman"/>
                <w:color w:val="auto"/>
                <w:sz w:val="24"/>
                <w:lang w:val="en-US" w:eastAsia="zh-CN"/>
              </w:rPr>
              <w:t>工程陆续进行搬迁，将原有仓库场地进行清理，拆除危险废物标识标牌，危险废物存储设施等设备进行清运，清理完成后原厂房由</w:t>
            </w:r>
            <w:r>
              <w:rPr>
                <w:rFonts w:hint="eastAsia" w:cs="Times New Roman"/>
                <w:color w:val="auto"/>
                <w:sz w:val="24"/>
                <w:lang w:val="en-US" w:eastAsia="zh-CN"/>
              </w:rPr>
              <w:t>租赁方</w:t>
            </w:r>
            <w:r>
              <w:rPr>
                <w:rFonts w:hint="default" w:cs="Times New Roman"/>
                <w:color w:val="auto"/>
                <w:sz w:val="24"/>
                <w:lang w:val="en-US" w:eastAsia="zh-CN"/>
              </w:rPr>
              <w:t>收回，具体用途未定。</w:t>
            </w:r>
            <w:r>
              <w:rPr>
                <w:rFonts w:hint="eastAsia" w:cs="Times New Roman"/>
                <w:color w:val="auto"/>
                <w:sz w:val="24"/>
                <w:lang w:val="en-US" w:eastAsia="zh-CN"/>
              </w:rPr>
              <w:t>（原有危废库房的拆除及其占地用于其他项目建设使用均不在本次环评范围内）</w:t>
            </w:r>
            <w:r>
              <w:rPr>
                <w:rFonts w:hint="default" w:cs="Times New Roman"/>
                <w:color w:val="auto"/>
                <w:sz w:val="24"/>
                <w:lang w:val="en-US" w:eastAsia="zh-CN"/>
              </w:rPr>
              <w:t>。</w:t>
            </w:r>
          </w:p>
          <w:p w14:paraId="769E188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cs="Times New Roman"/>
                <w:color w:val="auto"/>
                <w:sz w:val="24"/>
                <w:lang w:val="en-US" w:eastAsia="zh-CN"/>
              </w:rPr>
            </w:pPr>
            <w:r>
              <w:rPr>
                <w:rFonts w:hint="default" w:cs="Times New Roman"/>
                <w:color w:val="auto"/>
                <w:sz w:val="24"/>
                <w:lang w:val="en-US" w:eastAsia="zh-CN"/>
              </w:rPr>
              <w:t>本次环评根据《场地环境调查技术导则》、《中华人民共和国土壤污染防治法》等环保标准、法规，提出在方案的制定过程中注意以下几点</w:t>
            </w:r>
            <w:r>
              <w:rPr>
                <w:rFonts w:hint="eastAsia" w:cs="Times New Roman"/>
                <w:color w:val="auto"/>
                <w:sz w:val="24"/>
                <w:lang w:val="en-US" w:eastAsia="zh-CN"/>
              </w:rPr>
              <w:t>：</w:t>
            </w:r>
          </w:p>
          <w:p w14:paraId="2FEADDE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cs="Times New Roman"/>
                <w:color w:val="auto"/>
                <w:sz w:val="24"/>
                <w:lang w:val="en-US" w:eastAsia="zh-CN"/>
              </w:rPr>
            </w:pPr>
            <w:r>
              <w:rPr>
                <w:rFonts w:hint="eastAsia" w:cs="Times New Roman"/>
                <w:color w:val="auto"/>
                <w:sz w:val="24"/>
                <w:lang w:val="en-US" w:eastAsia="zh-CN"/>
              </w:rPr>
              <w:t>（</w:t>
            </w:r>
            <w:r>
              <w:rPr>
                <w:rFonts w:hint="default" w:cs="Times New Roman"/>
                <w:color w:val="auto"/>
                <w:sz w:val="24"/>
                <w:lang w:val="en-US" w:eastAsia="zh-CN"/>
              </w:rPr>
              <w:t>1</w:t>
            </w:r>
            <w:r>
              <w:rPr>
                <w:rFonts w:hint="eastAsia" w:cs="Times New Roman"/>
                <w:color w:val="auto"/>
                <w:sz w:val="24"/>
                <w:lang w:val="en-US" w:eastAsia="zh-CN"/>
              </w:rPr>
              <w:t>）</w:t>
            </w:r>
            <w:r>
              <w:rPr>
                <w:rFonts w:hint="default" w:cs="Times New Roman"/>
                <w:color w:val="auto"/>
                <w:sz w:val="24"/>
                <w:lang w:val="en-US" w:eastAsia="zh-CN"/>
              </w:rPr>
              <w:t>明确环境污染整治的责任单位。</w:t>
            </w:r>
          </w:p>
          <w:p w14:paraId="6F69838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cs="Times New Roman"/>
                <w:color w:val="auto"/>
                <w:sz w:val="24"/>
                <w:lang w:val="en-US" w:eastAsia="zh-CN"/>
              </w:rPr>
            </w:pPr>
            <w:r>
              <w:rPr>
                <w:rFonts w:hint="eastAsia" w:cs="Times New Roman"/>
                <w:color w:val="auto"/>
                <w:sz w:val="24"/>
                <w:lang w:val="en-US" w:eastAsia="zh-CN"/>
              </w:rPr>
              <w:t>（</w:t>
            </w:r>
            <w:r>
              <w:rPr>
                <w:rFonts w:hint="default" w:cs="Times New Roman"/>
                <w:color w:val="auto"/>
                <w:sz w:val="24"/>
                <w:lang w:val="en-US" w:eastAsia="zh-CN"/>
              </w:rPr>
              <w:t>2</w:t>
            </w:r>
            <w:r>
              <w:rPr>
                <w:rFonts w:hint="eastAsia" w:cs="Times New Roman"/>
                <w:color w:val="auto"/>
                <w:sz w:val="24"/>
                <w:lang w:val="en-US" w:eastAsia="zh-CN"/>
              </w:rPr>
              <w:t>）</w:t>
            </w:r>
            <w:r>
              <w:rPr>
                <w:rFonts w:hint="default" w:cs="Times New Roman"/>
                <w:color w:val="auto"/>
                <w:sz w:val="24"/>
                <w:lang w:val="en-US" w:eastAsia="zh-CN"/>
              </w:rPr>
              <w:t>提出规范各类设施拆除流程要求。</w:t>
            </w:r>
          </w:p>
          <w:p w14:paraId="30569D9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cs="Times New Roman"/>
                <w:color w:val="auto"/>
                <w:sz w:val="24"/>
                <w:lang w:val="en-US" w:eastAsia="zh-CN"/>
              </w:rPr>
            </w:pPr>
            <w:r>
              <w:rPr>
                <w:rFonts w:hint="default" w:cs="Times New Roman"/>
                <w:color w:val="auto"/>
                <w:sz w:val="24"/>
                <w:lang w:val="en-US" w:eastAsia="zh-CN"/>
              </w:rPr>
              <w:t>对地上及地下的建筑物、构筑物、生产装置、管线、污染治理设施、有毒有害化学品储存设施等予以规范清理和拆除。企业在关停搬迁过程中应确保污染防治设施正常运行或使用，妥善处理遗留或搬迁过程中产生的污染物，待生产设备拆除完毕且相关污染物处理处置结束后方可拆除污染治理设施。</w:t>
            </w:r>
          </w:p>
          <w:p w14:paraId="04C8A71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cs="Times New Roman"/>
                <w:color w:val="auto"/>
                <w:sz w:val="24"/>
                <w:lang w:val="en-US" w:eastAsia="zh-CN"/>
              </w:rPr>
            </w:pPr>
            <w:r>
              <w:rPr>
                <w:rFonts w:hint="eastAsia" w:cs="Times New Roman"/>
                <w:color w:val="auto"/>
                <w:sz w:val="24"/>
                <w:lang w:val="en-US" w:eastAsia="zh-CN"/>
              </w:rPr>
              <w:t>（</w:t>
            </w:r>
            <w:r>
              <w:rPr>
                <w:rFonts w:hint="default" w:cs="Times New Roman"/>
                <w:color w:val="auto"/>
                <w:sz w:val="24"/>
                <w:lang w:val="en-US" w:eastAsia="zh-CN"/>
              </w:rPr>
              <w:t>3</w:t>
            </w:r>
            <w:r>
              <w:rPr>
                <w:rFonts w:hint="eastAsia" w:cs="Times New Roman"/>
                <w:color w:val="auto"/>
                <w:sz w:val="24"/>
                <w:lang w:val="en-US" w:eastAsia="zh-CN"/>
              </w:rPr>
              <w:t>）</w:t>
            </w:r>
            <w:r>
              <w:rPr>
                <w:rFonts w:hint="default" w:cs="Times New Roman"/>
                <w:color w:val="auto"/>
                <w:sz w:val="24"/>
                <w:lang w:val="en-US" w:eastAsia="zh-CN"/>
              </w:rPr>
              <w:t>提出遗留环境问题及其治理和修复的方案。</w:t>
            </w:r>
          </w:p>
          <w:p w14:paraId="6A5FCCB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cs="Times New Roman"/>
                <w:color w:val="auto"/>
                <w:sz w:val="24"/>
                <w:lang w:val="en-US" w:eastAsia="zh-CN"/>
              </w:rPr>
            </w:pPr>
            <w:r>
              <w:rPr>
                <w:rFonts w:hint="default" w:cs="Times New Roman"/>
                <w:color w:val="auto"/>
                <w:sz w:val="24"/>
                <w:lang w:val="en-US" w:eastAsia="zh-CN"/>
              </w:rPr>
              <w:t>明确对危险废物的贮存、处置的设施、场所采取污染防治措施。</w:t>
            </w:r>
          </w:p>
          <w:p w14:paraId="117B992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cs="Times New Roman"/>
                <w:color w:val="auto"/>
                <w:sz w:val="24"/>
                <w:lang w:val="en-US" w:eastAsia="zh-CN"/>
              </w:rPr>
            </w:pPr>
            <w:r>
              <w:rPr>
                <w:rFonts w:hint="eastAsia" w:cs="Times New Roman"/>
                <w:color w:val="auto"/>
                <w:sz w:val="24"/>
                <w:lang w:val="en-US" w:eastAsia="zh-CN"/>
              </w:rPr>
              <w:t>现有</w:t>
            </w:r>
            <w:r>
              <w:rPr>
                <w:rFonts w:hint="default" w:cs="Times New Roman"/>
                <w:color w:val="auto"/>
                <w:sz w:val="24"/>
                <w:lang w:val="en-US" w:eastAsia="zh-CN"/>
              </w:rPr>
              <w:t>项目在生产设备在拆除过程中，应特注意以下几点</w:t>
            </w:r>
            <w:r>
              <w:rPr>
                <w:rFonts w:hint="eastAsia" w:cs="Times New Roman"/>
                <w:color w:val="auto"/>
                <w:sz w:val="24"/>
                <w:lang w:val="en-US" w:eastAsia="zh-CN"/>
              </w:rPr>
              <w:t>：</w:t>
            </w:r>
            <w:r>
              <w:rPr>
                <w:rFonts w:hint="default" w:cs="Times New Roman"/>
                <w:color w:val="auto"/>
                <w:sz w:val="24"/>
                <w:lang w:val="en-US" w:eastAsia="zh-CN"/>
              </w:rPr>
              <w:t>1</w:t>
            </w:r>
            <w:r>
              <w:rPr>
                <w:rFonts w:hint="eastAsia" w:cs="Times New Roman"/>
                <w:color w:val="auto"/>
                <w:sz w:val="24"/>
                <w:lang w:val="en-US" w:eastAsia="zh-CN"/>
              </w:rPr>
              <w:t>）</w:t>
            </w:r>
            <w:r>
              <w:rPr>
                <w:rFonts w:hint="default" w:cs="Times New Roman"/>
                <w:color w:val="auto"/>
                <w:sz w:val="24"/>
                <w:lang w:val="en-US" w:eastAsia="zh-CN"/>
              </w:rPr>
              <w:t>设置专人负责设备的清运和废料的堆放</w:t>
            </w:r>
            <w:r>
              <w:rPr>
                <w:rFonts w:hint="eastAsia" w:cs="Times New Roman"/>
                <w:color w:val="auto"/>
                <w:sz w:val="24"/>
                <w:lang w:val="en-US" w:eastAsia="zh-CN"/>
              </w:rPr>
              <w:t>；</w:t>
            </w:r>
            <w:r>
              <w:rPr>
                <w:rFonts w:hint="default" w:cs="Times New Roman"/>
                <w:color w:val="auto"/>
                <w:sz w:val="24"/>
                <w:lang w:val="en-US" w:eastAsia="zh-CN"/>
              </w:rPr>
              <w:t>2</w:t>
            </w:r>
            <w:r>
              <w:rPr>
                <w:rFonts w:hint="eastAsia" w:cs="Times New Roman"/>
                <w:color w:val="auto"/>
                <w:sz w:val="24"/>
                <w:lang w:val="en-US" w:eastAsia="zh-CN"/>
              </w:rPr>
              <w:t>）</w:t>
            </w:r>
            <w:r>
              <w:rPr>
                <w:rFonts w:hint="default" w:cs="Times New Roman"/>
                <w:color w:val="auto"/>
                <w:sz w:val="24"/>
                <w:lang w:val="en-US" w:eastAsia="zh-CN"/>
              </w:rPr>
              <w:t>对于遗留的危废应分类收集后，暂存于</w:t>
            </w:r>
            <w:r>
              <w:rPr>
                <w:rFonts w:hint="eastAsia" w:cs="Times New Roman"/>
                <w:color w:val="auto"/>
                <w:sz w:val="24"/>
                <w:lang w:val="en-US" w:eastAsia="zh-CN"/>
              </w:rPr>
              <w:t>搬迁</w:t>
            </w:r>
            <w:r>
              <w:rPr>
                <w:rFonts w:hint="default" w:cs="Times New Roman"/>
                <w:color w:val="auto"/>
                <w:sz w:val="24"/>
                <w:lang w:val="en-US" w:eastAsia="zh-CN"/>
              </w:rPr>
              <w:t>项目相应的贮存区内，委托有资质单位进行处理。识别和登记拟拆除生产设施设备和污染治理设施中遗留物料、残留污染物，妥善收集并明确后续处理或利用方案，防止泄露、随意堆放、处置等污染土壤</w:t>
            </w:r>
            <w:r>
              <w:rPr>
                <w:rFonts w:hint="eastAsia" w:cs="Times New Roman"/>
                <w:color w:val="auto"/>
                <w:sz w:val="24"/>
                <w:lang w:val="en-US" w:eastAsia="zh-CN"/>
              </w:rPr>
              <w:t>；</w:t>
            </w:r>
            <w:r>
              <w:rPr>
                <w:rFonts w:hint="default" w:cs="Times New Roman"/>
                <w:color w:val="auto"/>
                <w:sz w:val="24"/>
                <w:lang w:val="en-US" w:eastAsia="zh-CN"/>
              </w:rPr>
              <w:t>3</w:t>
            </w:r>
            <w:r>
              <w:rPr>
                <w:rFonts w:hint="eastAsia" w:cs="Times New Roman"/>
                <w:color w:val="auto"/>
                <w:sz w:val="24"/>
                <w:lang w:val="en-US" w:eastAsia="zh-CN"/>
              </w:rPr>
              <w:t>）</w:t>
            </w:r>
            <w:r>
              <w:rPr>
                <w:rFonts w:hint="default" w:cs="Times New Roman"/>
                <w:color w:val="auto"/>
                <w:sz w:val="24"/>
                <w:lang w:val="en-US" w:eastAsia="zh-CN"/>
              </w:rPr>
              <w:t>设备拆除过程中，应采取必要措施保证其中未能排空的物料及污染物有效收集，避免二次污染。</w:t>
            </w:r>
          </w:p>
          <w:p w14:paraId="54BE806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cs="Times New Roman"/>
                <w:color w:val="auto"/>
                <w:sz w:val="24"/>
                <w:lang w:val="en-US" w:eastAsia="zh-CN"/>
              </w:rPr>
            </w:pPr>
            <w:r>
              <w:rPr>
                <w:rFonts w:hint="default" w:cs="Times New Roman"/>
                <w:color w:val="auto"/>
                <w:sz w:val="24"/>
                <w:lang w:val="en-US" w:eastAsia="zh-CN"/>
              </w:rPr>
              <w:t>拆除活动结束后，应对现场内所有区域进行检查、清理，确保所有拆除产物、遗留物料、残留污染物等得到合理处置，不遗留土壤污染隐患，并将拆除活动污染防治资料归档。同时按照《工矿用地土壤环境风险管理办法</w:t>
            </w:r>
            <w:r>
              <w:rPr>
                <w:rFonts w:hint="eastAsia" w:cs="Times New Roman"/>
                <w:color w:val="auto"/>
                <w:sz w:val="24"/>
                <w:lang w:val="en-US" w:eastAsia="zh-CN"/>
              </w:rPr>
              <w:t>（</w:t>
            </w:r>
            <w:r>
              <w:rPr>
                <w:rFonts w:hint="default" w:cs="Times New Roman"/>
                <w:color w:val="auto"/>
                <w:sz w:val="24"/>
                <w:lang w:val="en-US" w:eastAsia="zh-CN"/>
              </w:rPr>
              <w:t>试行</w:t>
            </w:r>
            <w:r>
              <w:rPr>
                <w:rFonts w:hint="eastAsia" w:cs="Times New Roman"/>
                <w:color w:val="auto"/>
                <w:sz w:val="24"/>
                <w:lang w:val="en-US" w:eastAsia="zh-CN"/>
              </w:rPr>
              <w:t>）</w:t>
            </w:r>
            <w:r>
              <w:rPr>
                <w:rFonts w:hint="default" w:cs="Times New Roman"/>
                <w:color w:val="auto"/>
                <w:sz w:val="24"/>
                <w:lang w:val="en-US" w:eastAsia="zh-CN"/>
              </w:rPr>
              <w:t>》、《场地环境调查技术导则》、《污染场地风险评估技术导则》等环保标准规范的要求，</w:t>
            </w:r>
            <w:r>
              <w:rPr>
                <w:rFonts w:hint="eastAsia" w:cs="Times New Roman"/>
                <w:color w:val="auto"/>
                <w:sz w:val="24"/>
                <w:lang w:val="en-US" w:eastAsia="zh-CN"/>
              </w:rPr>
              <w:t>如需要，则</w:t>
            </w:r>
            <w:r>
              <w:rPr>
                <w:rFonts w:hint="default" w:cs="Times New Roman"/>
                <w:color w:val="auto"/>
                <w:sz w:val="24"/>
                <w:lang w:val="en-US" w:eastAsia="zh-CN"/>
              </w:rPr>
              <w:t>开展土壤环境调查工作。若存在土壤污染风险隐患，</w:t>
            </w:r>
            <w:r>
              <w:rPr>
                <w:rFonts w:hint="eastAsia" w:cs="Times New Roman"/>
                <w:color w:val="auto"/>
                <w:sz w:val="24"/>
                <w:lang w:val="en-US" w:eastAsia="zh-CN"/>
              </w:rPr>
              <w:t>则</w:t>
            </w:r>
            <w:r>
              <w:rPr>
                <w:rFonts w:hint="default" w:cs="Times New Roman"/>
                <w:color w:val="auto"/>
                <w:sz w:val="24"/>
                <w:lang w:val="en-US" w:eastAsia="zh-CN"/>
              </w:rPr>
              <w:t>需要进一步开展风险评估与修复工作。</w:t>
            </w:r>
          </w:p>
          <w:p w14:paraId="4B900BA5">
            <w:pPr>
              <w:rPr>
                <w:rFonts w:hint="default" w:cs="Times New Roman"/>
                <w:color w:val="auto"/>
                <w:sz w:val="24"/>
                <w:lang w:val="en-US" w:eastAsia="zh-CN"/>
              </w:rPr>
            </w:pPr>
          </w:p>
          <w:p w14:paraId="31F41A50">
            <w:pPr>
              <w:rPr>
                <w:rFonts w:hint="default" w:cs="Times New Roman"/>
                <w:color w:val="auto"/>
                <w:sz w:val="24"/>
                <w:lang w:val="en-US" w:eastAsia="zh-CN"/>
              </w:rPr>
            </w:pPr>
          </w:p>
          <w:p w14:paraId="2E4E9D86">
            <w:pPr>
              <w:rPr>
                <w:rFonts w:hint="default" w:cs="Times New Roman"/>
                <w:color w:val="auto"/>
                <w:sz w:val="24"/>
                <w:lang w:val="en-US" w:eastAsia="zh-CN"/>
              </w:rPr>
            </w:pPr>
          </w:p>
          <w:p w14:paraId="5023B45E">
            <w:pPr>
              <w:rPr>
                <w:rFonts w:hint="default" w:cs="Times New Roman"/>
                <w:color w:val="auto"/>
                <w:sz w:val="24"/>
                <w:lang w:val="en-US" w:eastAsia="zh-CN"/>
              </w:rPr>
            </w:pPr>
          </w:p>
          <w:p w14:paraId="5DBD5033">
            <w:pPr>
              <w:rPr>
                <w:rFonts w:hint="default" w:cs="Times New Roman"/>
                <w:color w:val="auto"/>
                <w:sz w:val="24"/>
                <w:lang w:val="en-US" w:eastAsia="zh-CN"/>
              </w:rPr>
            </w:pPr>
          </w:p>
          <w:p w14:paraId="3DD9D3C1">
            <w:pPr>
              <w:rPr>
                <w:rFonts w:hint="default" w:cs="Times New Roman"/>
                <w:color w:val="auto"/>
                <w:sz w:val="24"/>
                <w:lang w:val="en-US" w:eastAsia="zh-CN"/>
              </w:rPr>
            </w:pPr>
          </w:p>
          <w:p w14:paraId="06E98F61">
            <w:pPr>
              <w:rPr>
                <w:rFonts w:hint="default" w:cs="Times New Roman"/>
                <w:color w:val="auto"/>
                <w:sz w:val="24"/>
                <w:lang w:val="en-US" w:eastAsia="zh-CN"/>
              </w:rPr>
            </w:pPr>
          </w:p>
          <w:p w14:paraId="6C55D472">
            <w:pPr>
              <w:rPr>
                <w:rFonts w:hint="default" w:cs="Times New Roman"/>
                <w:color w:val="auto"/>
                <w:sz w:val="24"/>
                <w:lang w:val="en-US" w:eastAsia="zh-CN"/>
              </w:rPr>
            </w:pPr>
          </w:p>
          <w:p w14:paraId="5C8BEF66">
            <w:pPr>
              <w:rPr>
                <w:rFonts w:hint="default" w:cs="Times New Roman"/>
                <w:color w:val="auto"/>
                <w:sz w:val="24"/>
                <w:lang w:val="en-US" w:eastAsia="zh-CN"/>
              </w:rPr>
            </w:pPr>
          </w:p>
          <w:p w14:paraId="4D7C138B">
            <w:pPr>
              <w:rPr>
                <w:rFonts w:hint="default" w:cs="Times New Roman"/>
                <w:color w:val="auto"/>
                <w:sz w:val="24"/>
                <w:lang w:val="en-US" w:eastAsia="zh-CN"/>
              </w:rPr>
            </w:pPr>
          </w:p>
          <w:p w14:paraId="3726AFB0">
            <w:pPr>
              <w:rPr>
                <w:rFonts w:hint="default" w:cs="Times New Roman"/>
                <w:color w:val="auto"/>
                <w:sz w:val="24"/>
                <w:lang w:val="en-US" w:eastAsia="zh-CN"/>
              </w:rPr>
            </w:pPr>
          </w:p>
          <w:p w14:paraId="3A3B89E6">
            <w:pPr>
              <w:rPr>
                <w:rFonts w:hint="default" w:cs="Times New Roman"/>
                <w:color w:val="auto"/>
                <w:sz w:val="24"/>
                <w:lang w:val="en-US" w:eastAsia="zh-CN"/>
              </w:rPr>
            </w:pPr>
          </w:p>
          <w:p w14:paraId="58D97EDD">
            <w:pPr>
              <w:rPr>
                <w:rFonts w:hint="default" w:cs="Times New Roman"/>
                <w:color w:val="auto"/>
                <w:sz w:val="24"/>
                <w:lang w:val="en-US" w:eastAsia="zh-CN"/>
              </w:rPr>
            </w:pPr>
          </w:p>
          <w:p w14:paraId="71BBF3EC">
            <w:pPr>
              <w:rPr>
                <w:rFonts w:hint="default" w:cs="Times New Roman"/>
                <w:color w:val="auto"/>
                <w:sz w:val="24"/>
                <w:lang w:val="en-US" w:eastAsia="zh-CN"/>
              </w:rPr>
            </w:pPr>
          </w:p>
          <w:p w14:paraId="4245D47A">
            <w:pPr>
              <w:rPr>
                <w:rFonts w:hint="default" w:cs="Times New Roman"/>
                <w:color w:val="auto"/>
                <w:sz w:val="24"/>
                <w:lang w:val="en-US" w:eastAsia="zh-CN"/>
              </w:rPr>
            </w:pPr>
          </w:p>
          <w:p w14:paraId="49DE2B47">
            <w:pPr>
              <w:rPr>
                <w:rFonts w:hint="default" w:cs="Times New Roman"/>
                <w:color w:val="auto"/>
                <w:sz w:val="24"/>
                <w:lang w:val="en-US" w:eastAsia="zh-CN"/>
              </w:rPr>
            </w:pPr>
          </w:p>
          <w:p w14:paraId="2779CC39">
            <w:pPr>
              <w:rPr>
                <w:rFonts w:hint="default" w:cs="Times New Roman"/>
                <w:color w:val="auto"/>
                <w:sz w:val="24"/>
                <w:lang w:val="en-US" w:eastAsia="zh-CN"/>
              </w:rPr>
            </w:pPr>
          </w:p>
          <w:p w14:paraId="23A21B13">
            <w:pPr>
              <w:rPr>
                <w:rFonts w:hint="default" w:cs="Times New Roman"/>
                <w:color w:val="auto"/>
                <w:sz w:val="24"/>
                <w:lang w:val="en-US" w:eastAsia="zh-CN"/>
              </w:rPr>
            </w:pPr>
          </w:p>
          <w:p w14:paraId="618A2F0D">
            <w:pPr>
              <w:rPr>
                <w:rFonts w:hint="default" w:cs="Times New Roman"/>
                <w:color w:val="auto"/>
                <w:sz w:val="24"/>
                <w:lang w:val="en-US" w:eastAsia="zh-CN"/>
              </w:rPr>
            </w:pPr>
          </w:p>
          <w:p w14:paraId="60E7EAFF">
            <w:pPr>
              <w:rPr>
                <w:rFonts w:hint="default" w:cs="Times New Roman"/>
                <w:color w:val="auto"/>
                <w:sz w:val="24"/>
                <w:lang w:val="en-US" w:eastAsia="zh-CN"/>
              </w:rPr>
            </w:pPr>
          </w:p>
          <w:p w14:paraId="299A6A01">
            <w:pPr>
              <w:rPr>
                <w:rFonts w:hint="default" w:cs="Times New Roman"/>
                <w:color w:val="auto"/>
                <w:sz w:val="24"/>
                <w:lang w:val="en-US" w:eastAsia="zh-CN"/>
              </w:rPr>
            </w:pPr>
          </w:p>
          <w:p w14:paraId="07EAC44E">
            <w:pPr>
              <w:pStyle w:val="26"/>
              <w:rPr>
                <w:rFonts w:hint="default" w:cs="Times New Roman"/>
                <w:color w:val="auto"/>
                <w:sz w:val="24"/>
                <w:lang w:val="en-US" w:eastAsia="zh-CN"/>
              </w:rPr>
            </w:pPr>
          </w:p>
          <w:p w14:paraId="7DF25881">
            <w:pPr>
              <w:rPr>
                <w:rFonts w:hint="default"/>
                <w:color w:val="auto"/>
                <w:lang w:val="en-US" w:eastAsia="zh-CN"/>
              </w:rPr>
            </w:pPr>
          </w:p>
        </w:tc>
      </w:tr>
    </w:tbl>
    <w:p w14:paraId="5E309237">
      <w:pPr>
        <w:pStyle w:val="23"/>
        <w:adjustRightInd w:val="0"/>
        <w:snapToGrid w:val="0"/>
        <w:spacing w:before="0" w:beforeAutospacing="0" w:after="0" w:afterAutospacing="0"/>
        <w:jc w:val="center"/>
        <w:rPr>
          <w:rFonts w:ascii="Times New Roman" w:hAnsi="Times New Roman"/>
          <w:snapToGrid w:val="0"/>
          <w:color w:val="FF0000"/>
          <w:sz w:val="36"/>
          <w:szCs w:val="36"/>
        </w:rPr>
        <w:sectPr>
          <w:pgSz w:w="11905" w:h="16838"/>
          <w:pgMar w:top="1417" w:right="1417" w:bottom="1417" w:left="1417" w:header="851" w:footer="850" w:gutter="0"/>
          <w:pgBorders>
            <w:top w:val="none" w:sz="0" w:space="0"/>
            <w:left w:val="none" w:sz="0" w:space="0"/>
            <w:bottom w:val="none" w:sz="0" w:space="0"/>
            <w:right w:val="none" w:sz="0" w:space="0"/>
          </w:pgBorders>
          <w:pgNumType w:fmt="decimal"/>
          <w:cols w:space="0" w:num="1"/>
          <w:rtlGutter w:val="0"/>
          <w:docGrid w:linePitch="312" w:charSpace="0"/>
        </w:sectPr>
      </w:pPr>
    </w:p>
    <w:p w14:paraId="6440AE0F">
      <w:pPr>
        <w:pStyle w:val="23"/>
        <w:adjustRightInd w:val="0"/>
        <w:snapToGrid w:val="0"/>
        <w:spacing w:before="0" w:beforeAutospacing="0" w:after="0" w:afterAutospacing="0" w:line="15" w:lineRule="auto"/>
        <w:jc w:val="center"/>
        <w:rPr>
          <w:rFonts w:ascii="Times New Roman" w:hAnsi="Times New Roman"/>
          <w:snapToGrid w:val="0"/>
          <w:color w:val="FF0000"/>
          <w:sz w:val="30"/>
          <w:szCs w:val="30"/>
        </w:rPr>
      </w:pPr>
    </w:p>
    <w:p w14:paraId="3ADA7E98">
      <w:pPr>
        <w:pStyle w:val="23"/>
        <w:adjustRightInd w:val="0"/>
        <w:snapToGrid w:val="0"/>
        <w:spacing w:before="0" w:beforeAutospacing="0" w:after="0" w:afterAutospacing="0"/>
        <w:jc w:val="center"/>
        <w:outlineLvl w:val="0"/>
        <w:rPr>
          <w:rFonts w:ascii="Times New Roman" w:hAnsi="Times New Roman"/>
          <w:b/>
          <w:snapToGrid w:val="0"/>
          <w:color w:val="auto"/>
          <w:sz w:val="30"/>
          <w:szCs w:val="30"/>
        </w:rPr>
      </w:pPr>
      <w:r>
        <w:rPr>
          <w:rFonts w:ascii="Times New Roman" w:hAnsi="Times New Roman"/>
          <w:b/>
          <w:snapToGrid w:val="0"/>
          <w:color w:val="auto"/>
          <w:sz w:val="30"/>
          <w:szCs w:val="30"/>
        </w:rPr>
        <w:t>三、区域环境质量现状、环境保护目标及评价标准</w:t>
      </w:r>
    </w:p>
    <w:tbl>
      <w:tblPr>
        <w:tblStyle w:val="27"/>
        <w:tblW w:w="4998"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824"/>
        <w:gridCol w:w="8459"/>
      </w:tblGrid>
      <w:tr w14:paraId="58E13E9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98" w:hRule="atLeast"/>
          <w:jc w:val="center"/>
        </w:trPr>
        <w:tc>
          <w:tcPr>
            <w:tcW w:w="444" w:type="pct"/>
            <w:vAlign w:val="center"/>
          </w:tcPr>
          <w:p w14:paraId="553140CE">
            <w:pPr>
              <w:adjustRightInd w:val="0"/>
              <w:snapToGrid w:val="0"/>
              <w:jc w:val="center"/>
              <w:rPr>
                <w:color w:val="auto"/>
                <w:kern w:val="0"/>
                <w:sz w:val="24"/>
              </w:rPr>
            </w:pPr>
            <w:r>
              <w:rPr>
                <w:color w:val="auto"/>
                <w:kern w:val="0"/>
                <w:sz w:val="24"/>
              </w:rPr>
              <w:t>区域</w:t>
            </w:r>
          </w:p>
          <w:p w14:paraId="35090097">
            <w:pPr>
              <w:adjustRightInd w:val="0"/>
              <w:snapToGrid w:val="0"/>
              <w:jc w:val="center"/>
              <w:rPr>
                <w:color w:val="auto"/>
                <w:kern w:val="0"/>
                <w:sz w:val="24"/>
              </w:rPr>
            </w:pPr>
            <w:r>
              <w:rPr>
                <w:color w:val="auto"/>
                <w:kern w:val="0"/>
                <w:sz w:val="24"/>
              </w:rPr>
              <w:t>环境</w:t>
            </w:r>
          </w:p>
          <w:p w14:paraId="01F18743">
            <w:pPr>
              <w:adjustRightInd w:val="0"/>
              <w:snapToGrid w:val="0"/>
              <w:jc w:val="center"/>
              <w:rPr>
                <w:color w:val="auto"/>
                <w:kern w:val="0"/>
                <w:sz w:val="24"/>
              </w:rPr>
            </w:pPr>
            <w:r>
              <w:rPr>
                <w:color w:val="auto"/>
                <w:kern w:val="0"/>
                <w:sz w:val="24"/>
              </w:rPr>
              <w:t>质量</w:t>
            </w:r>
          </w:p>
          <w:p w14:paraId="26F2616D">
            <w:pPr>
              <w:adjustRightInd w:val="0"/>
              <w:snapToGrid w:val="0"/>
              <w:jc w:val="center"/>
              <w:rPr>
                <w:color w:val="FF0000"/>
                <w:kern w:val="0"/>
                <w:sz w:val="24"/>
              </w:rPr>
            </w:pPr>
            <w:r>
              <w:rPr>
                <w:color w:val="auto"/>
                <w:kern w:val="0"/>
                <w:sz w:val="24"/>
              </w:rPr>
              <w:t>现状</w:t>
            </w:r>
          </w:p>
        </w:tc>
        <w:tc>
          <w:tcPr>
            <w:tcW w:w="4555" w:type="pct"/>
            <w:vAlign w:val="center"/>
          </w:tcPr>
          <w:p w14:paraId="63C3329D">
            <w:pPr>
              <w:numPr>
                <w:ilvl w:val="0"/>
                <w:numId w:val="23"/>
              </w:numPr>
              <w:adjustRightInd w:val="0"/>
              <w:snapToGrid w:val="0"/>
              <w:spacing w:before="120" w:beforeLines="50" w:line="360" w:lineRule="auto"/>
              <w:ind w:left="0" w:leftChars="0" w:firstLine="482" w:firstLineChars="200"/>
              <w:rPr>
                <w:b/>
                <w:bCs/>
                <w:color w:val="auto"/>
                <w:sz w:val="24"/>
              </w:rPr>
            </w:pPr>
            <w:r>
              <w:rPr>
                <w:b/>
                <w:bCs/>
                <w:color w:val="auto"/>
                <w:sz w:val="24"/>
              </w:rPr>
              <w:t>空气质量达标区判定</w:t>
            </w:r>
          </w:p>
          <w:p w14:paraId="7BC2CAD1">
            <w:pPr>
              <w:keepNext w:val="0"/>
              <w:keepLines w:val="0"/>
              <w:pageBreakBefore w:val="0"/>
              <w:widowControl w:val="0"/>
              <w:numPr>
                <w:ilvl w:val="0"/>
                <w:numId w:val="24"/>
              </w:numPr>
              <w:kinsoku/>
              <w:wordWrap/>
              <w:overflowPunct/>
              <w:topLinePunct w:val="0"/>
              <w:autoSpaceDE/>
              <w:autoSpaceDN/>
              <w:bidi w:val="0"/>
              <w:adjustRightInd w:val="0"/>
              <w:snapToGrid w:val="0"/>
              <w:spacing w:line="360" w:lineRule="auto"/>
              <w:ind w:left="0" w:leftChars="0" w:firstLine="425" w:firstLineChars="0"/>
              <w:textAlignment w:val="auto"/>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常规因子</w:t>
            </w:r>
          </w:p>
          <w:p w14:paraId="09F57188">
            <w:pPr>
              <w:adjustRightInd w:val="0"/>
              <w:snapToGrid w:val="0"/>
              <w:spacing w:line="360" w:lineRule="auto"/>
              <w:ind w:firstLine="480" w:firstLineChars="200"/>
              <w:rPr>
                <w:rFonts w:hint="default" w:ascii="Times New Roman" w:hAnsi="Times New Roman" w:cs="Times New Roman"/>
                <w:color w:val="auto"/>
                <w:szCs w:val="21"/>
                <w:highlight w:val="none"/>
              </w:rPr>
            </w:pPr>
            <w:r>
              <w:rPr>
                <w:rFonts w:hint="default" w:ascii="Times New Roman" w:hAnsi="Times New Roman" w:cs="Times New Roman" w:eastAsiaTheme="majorEastAsia"/>
                <w:color w:val="auto"/>
                <w:sz w:val="24"/>
                <w:szCs w:val="24"/>
                <w:highlight w:val="none"/>
              </w:rPr>
              <w:t>根据《2025年12月份环境空气质量情况》（</w:t>
            </w:r>
            <w:r>
              <w:rPr>
                <w:rFonts w:hint="eastAsia" w:cs="Times New Roman" w:eastAsiaTheme="majorEastAsia"/>
                <w:color w:val="auto"/>
                <w:sz w:val="24"/>
                <w:szCs w:val="24"/>
                <w:highlight w:val="none"/>
                <w:lang w:val="en-US" w:eastAsia="zh-CN"/>
              </w:rPr>
              <w:t>淄博市生态环境局，</w:t>
            </w:r>
            <w:r>
              <w:rPr>
                <w:rFonts w:hint="default" w:ascii="Times New Roman" w:hAnsi="Times New Roman" w:cs="Times New Roman" w:eastAsiaTheme="majorEastAsia"/>
                <w:color w:val="auto"/>
                <w:sz w:val="24"/>
                <w:szCs w:val="24"/>
                <w:highlight w:val="none"/>
                <w:lang w:val="en-US" w:eastAsia="zh-CN"/>
              </w:rPr>
              <w:t>发文日期202</w:t>
            </w:r>
            <w:r>
              <w:rPr>
                <w:rFonts w:hint="eastAsia" w:cs="Times New Roman" w:eastAsiaTheme="majorEastAsia"/>
                <w:color w:val="auto"/>
                <w:sz w:val="24"/>
                <w:szCs w:val="24"/>
                <w:highlight w:val="none"/>
                <w:lang w:val="en-US" w:eastAsia="zh-CN"/>
              </w:rPr>
              <w:t>6</w:t>
            </w:r>
            <w:r>
              <w:rPr>
                <w:rFonts w:hint="default" w:ascii="Times New Roman" w:hAnsi="Times New Roman" w:cs="Times New Roman" w:eastAsiaTheme="majorEastAsia"/>
                <w:color w:val="auto"/>
                <w:sz w:val="24"/>
                <w:szCs w:val="24"/>
                <w:highlight w:val="none"/>
                <w:lang w:val="en-US" w:eastAsia="zh-CN"/>
              </w:rPr>
              <w:t>.1.2</w:t>
            </w:r>
            <w:r>
              <w:rPr>
                <w:rFonts w:hint="eastAsia" w:cs="Times New Roman" w:eastAsiaTheme="majorEastAsia"/>
                <w:color w:val="auto"/>
                <w:sz w:val="24"/>
                <w:szCs w:val="24"/>
                <w:highlight w:val="none"/>
                <w:lang w:val="en-US" w:eastAsia="zh-CN"/>
              </w:rPr>
              <w:t>9</w:t>
            </w:r>
            <w:r>
              <w:rPr>
                <w:rFonts w:hint="default" w:ascii="Times New Roman" w:hAnsi="Times New Roman" w:cs="Times New Roman" w:eastAsiaTheme="majorEastAsia"/>
                <w:color w:val="auto"/>
                <w:sz w:val="24"/>
                <w:szCs w:val="24"/>
                <w:highlight w:val="none"/>
              </w:rPr>
              <w:t>）统计结果，2025年1</w:t>
            </w:r>
            <w:r>
              <w:rPr>
                <w:rFonts w:hint="eastAsia" w:cs="Times New Roman" w:eastAsiaTheme="majorEastAsia"/>
                <w:color w:val="auto"/>
                <w:sz w:val="24"/>
                <w:szCs w:val="24"/>
                <w:highlight w:val="none"/>
                <w:lang w:val="en-US" w:eastAsia="zh-CN"/>
              </w:rPr>
              <w:t>-</w:t>
            </w:r>
            <w:r>
              <w:rPr>
                <w:rFonts w:hint="default" w:ascii="Times New Roman" w:hAnsi="Times New Roman" w:cs="Times New Roman" w:eastAsiaTheme="majorEastAsia"/>
                <w:color w:val="auto"/>
                <w:sz w:val="24"/>
                <w:szCs w:val="24"/>
                <w:highlight w:val="none"/>
              </w:rPr>
              <w:t>12月份，全市良好天数278天（国控），同比增加40天。优良率76.2%，同比增加11.2个百分点。重污染天数1天，同比减少3天。其中，二氧化硫（SO</w:t>
            </w:r>
            <w:r>
              <w:rPr>
                <w:rFonts w:hint="default" w:ascii="Times New Roman" w:hAnsi="Times New Roman" w:cs="Times New Roman" w:eastAsiaTheme="majorEastAsia"/>
                <w:color w:val="auto"/>
                <w:sz w:val="24"/>
                <w:szCs w:val="24"/>
                <w:highlight w:val="none"/>
                <w:vertAlign w:val="subscript"/>
              </w:rPr>
              <w:t>2</w:t>
            </w:r>
            <w:r>
              <w:rPr>
                <w:rFonts w:hint="default" w:ascii="Times New Roman" w:hAnsi="Times New Roman" w:cs="Times New Roman" w:eastAsiaTheme="majorEastAsia"/>
                <w:color w:val="auto"/>
                <w:sz w:val="24"/>
                <w:szCs w:val="24"/>
                <w:highlight w:val="none"/>
              </w:rPr>
              <w:t>）11微克/立方米，同比改善15.4%；二氧化氮（NO</w:t>
            </w:r>
            <w:r>
              <w:rPr>
                <w:rFonts w:hint="default" w:ascii="Times New Roman" w:hAnsi="Times New Roman" w:cs="Times New Roman" w:eastAsiaTheme="majorEastAsia"/>
                <w:color w:val="auto"/>
                <w:sz w:val="24"/>
                <w:szCs w:val="24"/>
                <w:highlight w:val="none"/>
                <w:vertAlign w:val="subscript"/>
              </w:rPr>
              <w:t>2</w:t>
            </w:r>
            <w:r>
              <w:rPr>
                <w:rFonts w:hint="default" w:ascii="Times New Roman" w:hAnsi="Times New Roman" w:cs="Times New Roman" w:eastAsiaTheme="majorEastAsia"/>
                <w:color w:val="auto"/>
                <w:sz w:val="24"/>
                <w:szCs w:val="24"/>
                <w:highlight w:val="none"/>
              </w:rPr>
              <w:t>）27微克/立方米，同比改善18.2%；可吸入颗粒物（PM</w:t>
            </w:r>
            <w:r>
              <w:rPr>
                <w:rFonts w:hint="default" w:ascii="Times New Roman" w:hAnsi="Times New Roman" w:cs="Times New Roman" w:eastAsiaTheme="majorEastAsia"/>
                <w:color w:val="auto"/>
                <w:sz w:val="24"/>
                <w:szCs w:val="24"/>
                <w:highlight w:val="none"/>
                <w:vertAlign w:val="subscript"/>
              </w:rPr>
              <w:t>10</w:t>
            </w:r>
            <w:r>
              <w:rPr>
                <w:rFonts w:hint="default" w:ascii="Times New Roman" w:hAnsi="Times New Roman" w:cs="Times New Roman" w:eastAsiaTheme="majorEastAsia"/>
                <w:color w:val="auto"/>
                <w:sz w:val="24"/>
                <w:szCs w:val="24"/>
                <w:highlight w:val="none"/>
              </w:rPr>
              <w:t>）59微克/立方米，同比改善14.5%；细颗粒物（PM</w:t>
            </w:r>
            <w:r>
              <w:rPr>
                <w:rFonts w:hint="default" w:ascii="Times New Roman" w:hAnsi="Times New Roman" w:cs="Times New Roman" w:eastAsiaTheme="majorEastAsia"/>
                <w:color w:val="auto"/>
                <w:sz w:val="24"/>
                <w:szCs w:val="24"/>
                <w:highlight w:val="none"/>
                <w:vertAlign w:val="subscript"/>
              </w:rPr>
              <w:t>2.5</w:t>
            </w:r>
            <w:r>
              <w:rPr>
                <w:rFonts w:hint="default" w:ascii="Times New Roman" w:hAnsi="Times New Roman" w:cs="Times New Roman" w:eastAsiaTheme="majorEastAsia"/>
                <w:color w:val="auto"/>
                <w:sz w:val="24"/>
                <w:szCs w:val="24"/>
                <w:highlight w:val="none"/>
              </w:rPr>
              <w:t>）35微克/立方米，同比改善12.5%；一氧化碳（CO）1.1毫克/立方米，同比改善8.3%；臭氧（O</w:t>
            </w:r>
            <w:r>
              <w:rPr>
                <w:rFonts w:hint="default" w:ascii="Times New Roman" w:hAnsi="Times New Roman" w:cs="Times New Roman" w:eastAsiaTheme="majorEastAsia"/>
                <w:color w:val="auto"/>
                <w:sz w:val="24"/>
                <w:szCs w:val="24"/>
                <w:highlight w:val="none"/>
                <w:vertAlign w:val="subscript"/>
              </w:rPr>
              <w:t>3</w:t>
            </w:r>
            <w:r>
              <w:rPr>
                <w:rFonts w:hint="default" w:ascii="Times New Roman" w:hAnsi="Times New Roman" w:cs="Times New Roman" w:eastAsiaTheme="majorEastAsia"/>
                <w:color w:val="auto"/>
                <w:sz w:val="24"/>
                <w:szCs w:val="24"/>
                <w:highlight w:val="none"/>
              </w:rPr>
              <w:t>）169微克/立方米，同比改善12.9%。全市综合指数为4.04，同比改善13.7%。</w:t>
            </w:r>
            <w:r>
              <w:rPr>
                <w:rFonts w:hint="eastAsia" w:cs="Times New Roman" w:eastAsiaTheme="majorEastAsia"/>
                <w:color w:val="auto"/>
                <w:sz w:val="24"/>
                <w:szCs w:val="24"/>
                <w:highlight w:val="none"/>
                <w:lang w:val="en-US" w:eastAsia="zh-CN"/>
              </w:rPr>
              <w:t>具体</w:t>
            </w:r>
            <w:r>
              <w:rPr>
                <w:rFonts w:hint="default" w:ascii="Times New Roman" w:hAnsi="Times New Roman" w:eastAsia="宋体" w:cs="Times New Roman"/>
                <w:color w:val="auto"/>
                <w:sz w:val="24"/>
                <w:szCs w:val="24"/>
                <w:highlight w:val="none"/>
              </w:rPr>
              <w:t>如下</w:t>
            </w:r>
            <w:r>
              <w:rPr>
                <w:rFonts w:hint="default" w:ascii="Times New Roman" w:hAnsi="Times New Roman" w:cs="Times New Roman"/>
                <w:color w:val="auto"/>
                <w:sz w:val="24"/>
                <w:szCs w:val="24"/>
                <w:highlight w:val="none"/>
              </w:rPr>
              <w:t>：</w:t>
            </w:r>
          </w:p>
          <w:p w14:paraId="3B0D3AA2">
            <w:pPr>
              <w:keepNext w:val="0"/>
              <w:keepLines w:val="0"/>
              <w:pageBreakBefore w:val="0"/>
              <w:widowControl w:val="0"/>
              <w:numPr>
                <w:ilvl w:val="0"/>
                <w:numId w:val="25"/>
              </w:numPr>
              <w:kinsoku/>
              <w:wordWrap/>
              <w:overflowPunct/>
              <w:topLinePunct w:val="0"/>
              <w:autoSpaceDE w:val="0"/>
              <w:autoSpaceDN w:val="0"/>
              <w:bidi w:val="0"/>
              <w:adjustRightInd w:val="0"/>
              <w:snapToGrid/>
              <w:spacing w:line="360" w:lineRule="auto"/>
              <w:ind w:left="3150" w:leftChars="0" w:hanging="3110" w:firstLineChars="0"/>
              <w:jc w:val="center"/>
              <w:textAlignment w:val="auto"/>
              <w:rPr>
                <w:rFonts w:hint="default" w:ascii="Times New Roman" w:hAnsi="Times New Roman" w:cs="Times New Roman"/>
                <w:b/>
                <w:bCs/>
                <w:color w:val="auto"/>
                <w:kern w:val="0"/>
                <w:sz w:val="24"/>
                <w:szCs w:val="24"/>
                <w:lang w:val="en-US" w:eastAsia="zh-CN" w:bidi="ar"/>
              </w:rPr>
            </w:pPr>
            <w:r>
              <w:rPr>
                <w:rFonts w:hint="eastAsia" w:ascii="Times New Roman" w:hAnsi="Times New Roman" w:cs="Times New Roman"/>
                <w:b/>
                <w:bCs/>
                <w:color w:val="auto"/>
                <w:kern w:val="0"/>
                <w:sz w:val="24"/>
                <w:szCs w:val="24"/>
                <w:lang w:val="en-US" w:eastAsia="zh-CN" w:bidi="ar"/>
              </w:rPr>
              <w:t>区域</w:t>
            </w:r>
            <w:r>
              <w:rPr>
                <w:rFonts w:hint="default" w:ascii="Times New Roman" w:hAnsi="Times New Roman" w:cs="Times New Roman"/>
                <w:b/>
                <w:bCs/>
                <w:color w:val="auto"/>
                <w:kern w:val="0"/>
                <w:sz w:val="24"/>
                <w:szCs w:val="24"/>
                <w:lang w:val="en-US" w:eastAsia="zh-CN" w:bidi="ar"/>
              </w:rPr>
              <w:t>环境空气质量一览表</w:t>
            </w:r>
          </w:p>
          <w:tbl>
            <w:tblPr>
              <w:tblStyle w:val="27"/>
              <w:tblW w:w="4998" w:type="pct"/>
              <w:tblInd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702"/>
              <w:gridCol w:w="1934"/>
              <w:gridCol w:w="1185"/>
              <w:gridCol w:w="1185"/>
              <w:gridCol w:w="866"/>
              <w:gridCol w:w="2363"/>
            </w:tblGrid>
            <w:tr w14:paraId="06888CB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90" w:hRule="atLeast"/>
              </w:trPr>
              <w:tc>
                <w:tcPr>
                  <w:tcW w:w="426" w:type="pct"/>
                  <w:noWrap w:val="0"/>
                  <w:vAlign w:val="center"/>
                </w:tcPr>
                <w:p w14:paraId="3897E2D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污染</w:t>
                  </w:r>
                </w:p>
                <w:p w14:paraId="1A7167A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因子</w:t>
                  </w:r>
                </w:p>
              </w:tc>
              <w:tc>
                <w:tcPr>
                  <w:tcW w:w="1173" w:type="pct"/>
                  <w:noWrap w:val="0"/>
                  <w:vAlign w:val="center"/>
                </w:tcPr>
                <w:p w14:paraId="4373C49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cs="Times New Roman"/>
                      <w:b/>
                      <w:bCs/>
                      <w:color w:val="auto"/>
                      <w:sz w:val="21"/>
                      <w:szCs w:val="21"/>
                      <w:highlight w:val="none"/>
                      <w:lang w:val="en-US" w:eastAsia="zh-CN"/>
                    </w:rPr>
                    <w:t>平均时间</w:t>
                  </w:r>
                </w:p>
              </w:tc>
              <w:tc>
                <w:tcPr>
                  <w:tcW w:w="719" w:type="pct"/>
                  <w:noWrap w:val="0"/>
                  <w:vAlign w:val="center"/>
                </w:tcPr>
                <w:p w14:paraId="4CABE89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平均浓度</w:t>
                  </w:r>
                </w:p>
                <w:p w14:paraId="3C35653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（μg/m</w:t>
                  </w:r>
                  <w:r>
                    <w:rPr>
                      <w:rFonts w:hint="default" w:ascii="Times New Roman" w:hAnsi="Times New Roman" w:cs="Times New Roman"/>
                      <w:b/>
                      <w:bCs/>
                      <w:color w:val="auto"/>
                      <w:sz w:val="21"/>
                      <w:szCs w:val="21"/>
                      <w:highlight w:val="none"/>
                      <w:vertAlign w:val="superscript"/>
                    </w:rPr>
                    <w:t>3</w:t>
                  </w:r>
                  <w:r>
                    <w:rPr>
                      <w:rFonts w:hint="default" w:ascii="Times New Roman" w:hAnsi="Times New Roman" w:cs="Times New Roman"/>
                      <w:b/>
                      <w:bCs/>
                      <w:color w:val="auto"/>
                      <w:sz w:val="21"/>
                      <w:szCs w:val="21"/>
                      <w:highlight w:val="none"/>
                    </w:rPr>
                    <w:t>）</w:t>
                  </w:r>
                </w:p>
              </w:tc>
              <w:tc>
                <w:tcPr>
                  <w:tcW w:w="719" w:type="pct"/>
                  <w:noWrap w:val="0"/>
                  <w:vAlign w:val="center"/>
                </w:tcPr>
                <w:p w14:paraId="6665F46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标准值</w:t>
                  </w:r>
                </w:p>
                <w:p w14:paraId="59426C8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（μg/m</w:t>
                  </w:r>
                  <w:r>
                    <w:rPr>
                      <w:rFonts w:hint="default" w:ascii="Times New Roman" w:hAnsi="Times New Roman" w:cs="Times New Roman"/>
                      <w:b/>
                      <w:bCs/>
                      <w:color w:val="auto"/>
                      <w:sz w:val="21"/>
                      <w:szCs w:val="21"/>
                      <w:highlight w:val="none"/>
                      <w:vertAlign w:val="superscript"/>
                    </w:rPr>
                    <w:t>3</w:t>
                  </w:r>
                  <w:r>
                    <w:rPr>
                      <w:rFonts w:hint="default" w:ascii="Times New Roman" w:hAnsi="Times New Roman" w:cs="Times New Roman"/>
                      <w:b/>
                      <w:bCs/>
                      <w:color w:val="auto"/>
                      <w:sz w:val="21"/>
                      <w:szCs w:val="21"/>
                      <w:highlight w:val="none"/>
                    </w:rPr>
                    <w:t>）</w:t>
                  </w:r>
                </w:p>
              </w:tc>
              <w:tc>
                <w:tcPr>
                  <w:tcW w:w="525" w:type="pct"/>
                  <w:tcBorders>
                    <w:right w:val="single" w:color="auto" w:sz="4" w:space="0"/>
                  </w:tcBorders>
                  <w:noWrap w:val="0"/>
                  <w:vAlign w:val="center"/>
                </w:tcPr>
                <w:p w14:paraId="300ECD7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占标率</w:t>
                  </w:r>
                </w:p>
                <w:p w14:paraId="66AB3C1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bCs/>
                      <w:color w:val="auto"/>
                      <w:sz w:val="21"/>
                      <w:szCs w:val="21"/>
                      <w:highlight w:val="none"/>
                      <w:lang w:eastAsia="zh-CN"/>
                    </w:rPr>
                  </w:pPr>
                  <w:r>
                    <w:rPr>
                      <w:rFonts w:hint="eastAsia" w:ascii="Times New Roman" w:hAnsi="Times New Roman" w:cs="Times New Roman"/>
                      <w:b/>
                      <w:bCs/>
                      <w:color w:val="auto"/>
                      <w:sz w:val="21"/>
                      <w:szCs w:val="21"/>
                      <w:highlight w:val="none"/>
                      <w:lang w:eastAsia="zh-CN"/>
                    </w:rPr>
                    <w:t>（</w:t>
                  </w:r>
                  <w:r>
                    <w:rPr>
                      <w:rFonts w:hint="eastAsia" w:ascii="Times New Roman" w:hAnsi="Times New Roman" w:cs="Times New Roman"/>
                      <w:b/>
                      <w:bCs/>
                      <w:color w:val="auto"/>
                      <w:sz w:val="21"/>
                      <w:szCs w:val="21"/>
                      <w:highlight w:val="none"/>
                      <w:lang w:val="en-US" w:eastAsia="zh-CN"/>
                    </w:rPr>
                    <w:t>%</w:t>
                  </w:r>
                  <w:r>
                    <w:rPr>
                      <w:rFonts w:hint="eastAsia" w:ascii="Times New Roman" w:hAnsi="Times New Roman" w:cs="Times New Roman"/>
                      <w:b/>
                      <w:bCs/>
                      <w:color w:val="auto"/>
                      <w:sz w:val="21"/>
                      <w:szCs w:val="21"/>
                      <w:highlight w:val="none"/>
                      <w:lang w:eastAsia="zh-CN"/>
                    </w:rPr>
                    <w:t>）</w:t>
                  </w:r>
                </w:p>
              </w:tc>
              <w:tc>
                <w:tcPr>
                  <w:tcW w:w="1433" w:type="pct"/>
                  <w:tcBorders>
                    <w:left w:val="single" w:color="auto" w:sz="4" w:space="0"/>
                  </w:tcBorders>
                  <w:noWrap w:val="0"/>
                  <w:vAlign w:val="center"/>
                </w:tcPr>
                <w:p w14:paraId="11DC1D9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标准名称</w:t>
                  </w:r>
                </w:p>
              </w:tc>
            </w:tr>
            <w:tr w14:paraId="40998C2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90" w:hRule="atLeast"/>
              </w:trPr>
              <w:tc>
                <w:tcPr>
                  <w:tcW w:w="426" w:type="pct"/>
                  <w:noWrap w:val="0"/>
                  <w:vAlign w:val="center"/>
                </w:tcPr>
                <w:p w14:paraId="29478A2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SO</w:t>
                  </w:r>
                  <w:r>
                    <w:rPr>
                      <w:rFonts w:hint="default" w:ascii="Times New Roman" w:hAnsi="Times New Roman" w:cs="Times New Roman"/>
                      <w:color w:val="auto"/>
                      <w:sz w:val="21"/>
                      <w:szCs w:val="21"/>
                      <w:highlight w:val="none"/>
                      <w:vertAlign w:val="subscript"/>
                    </w:rPr>
                    <w:t>2</w:t>
                  </w:r>
                </w:p>
              </w:tc>
              <w:tc>
                <w:tcPr>
                  <w:tcW w:w="1173" w:type="pct"/>
                  <w:noWrap w:val="0"/>
                  <w:vAlign w:val="center"/>
                </w:tcPr>
                <w:p w14:paraId="328E6D77">
                  <w:pPr>
                    <w:keepNext w:val="0"/>
                    <w:keepLines w:val="0"/>
                    <w:widowControl/>
                    <w:suppressLineNumbers w:val="0"/>
                    <w:jc w:val="center"/>
                    <w:textAlignment w:val="center"/>
                    <w:rPr>
                      <w:rFonts w:hint="default"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年平均</w:t>
                  </w:r>
                </w:p>
              </w:tc>
              <w:tc>
                <w:tcPr>
                  <w:tcW w:w="719" w:type="pct"/>
                  <w:noWrap w:val="0"/>
                  <w:vAlign w:val="center"/>
                </w:tcPr>
                <w:p w14:paraId="73F0CE0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11</w:t>
                  </w:r>
                </w:p>
              </w:tc>
              <w:tc>
                <w:tcPr>
                  <w:tcW w:w="719" w:type="pct"/>
                  <w:noWrap w:val="0"/>
                  <w:vAlign w:val="center"/>
                </w:tcPr>
                <w:p w14:paraId="75DB1F9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60</w:t>
                  </w:r>
                </w:p>
              </w:tc>
              <w:tc>
                <w:tcPr>
                  <w:tcW w:w="525" w:type="pct"/>
                  <w:tcBorders>
                    <w:bottom w:val="single" w:color="auto" w:sz="4" w:space="0"/>
                    <w:right w:val="single" w:color="auto" w:sz="4" w:space="0"/>
                  </w:tcBorders>
                  <w:noWrap w:val="0"/>
                  <w:vAlign w:val="center"/>
                </w:tcPr>
                <w:p w14:paraId="706986F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18.3</w:t>
                  </w:r>
                </w:p>
              </w:tc>
              <w:tc>
                <w:tcPr>
                  <w:tcW w:w="1433" w:type="pct"/>
                  <w:vMerge w:val="restart"/>
                  <w:tcBorders>
                    <w:left w:val="single" w:color="auto" w:sz="4" w:space="0"/>
                  </w:tcBorders>
                  <w:noWrap w:val="0"/>
                  <w:vAlign w:val="center"/>
                </w:tcPr>
                <w:p w14:paraId="6B81007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《环境空气质量标准》</w:t>
                  </w:r>
                </w:p>
                <w:p w14:paraId="3C072BF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（GB3095-</w:t>
                  </w:r>
                  <w:r>
                    <w:rPr>
                      <w:rFonts w:hint="eastAsia" w:cs="Times New Roman"/>
                      <w:color w:val="auto"/>
                      <w:sz w:val="21"/>
                      <w:szCs w:val="21"/>
                      <w:highlight w:val="none"/>
                      <w:lang w:val="en-US" w:eastAsia="zh-CN"/>
                    </w:rPr>
                    <w:t>2026</w:t>
                  </w:r>
                  <w:r>
                    <w:rPr>
                      <w:rFonts w:hint="default" w:ascii="Times New Roman" w:hAnsi="Times New Roman" w:cs="Times New Roman"/>
                      <w:color w:val="auto"/>
                      <w:sz w:val="21"/>
                      <w:szCs w:val="21"/>
                      <w:highlight w:val="none"/>
                    </w:rPr>
                    <w:t>）</w:t>
                  </w:r>
                </w:p>
                <w:p w14:paraId="3874AEA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过渡阶段浓度限值</w:t>
                  </w:r>
                </w:p>
                <w:p w14:paraId="747F706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中</w:t>
                  </w:r>
                  <w:r>
                    <w:rPr>
                      <w:rFonts w:hint="default" w:ascii="Times New Roman" w:hAnsi="Times New Roman" w:cs="Times New Roman"/>
                      <w:color w:val="auto"/>
                      <w:sz w:val="21"/>
                      <w:szCs w:val="21"/>
                      <w:highlight w:val="none"/>
                    </w:rPr>
                    <w:t>二级标准</w:t>
                  </w:r>
                </w:p>
              </w:tc>
            </w:tr>
            <w:tr w14:paraId="4399EA3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90" w:hRule="atLeast"/>
              </w:trPr>
              <w:tc>
                <w:tcPr>
                  <w:tcW w:w="426" w:type="pct"/>
                  <w:noWrap w:val="0"/>
                  <w:vAlign w:val="center"/>
                </w:tcPr>
                <w:p w14:paraId="37F8193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NO</w:t>
                  </w:r>
                  <w:r>
                    <w:rPr>
                      <w:rFonts w:hint="default" w:ascii="Times New Roman" w:hAnsi="Times New Roman" w:cs="Times New Roman"/>
                      <w:color w:val="auto"/>
                      <w:sz w:val="21"/>
                      <w:szCs w:val="21"/>
                      <w:highlight w:val="none"/>
                      <w:vertAlign w:val="subscript"/>
                    </w:rPr>
                    <w:t>2</w:t>
                  </w:r>
                </w:p>
              </w:tc>
              <w:tc>
                <w:tcPr>
                  <w:tcW w:w="1173" w:type="pct"/>
                  <w:noWrap w:val="0"/>
                  <w:vAlign w:val="center"/>
                </w:tcPr>
                <w:p w14:paraId="7F8F6F31">
                  <w:pPr>
                    <w:keepNext w:val="0"/>
                    <w:keepLines w:val="0"/>
                    <w:widowControl/>
                    <w:suppressLineNumbers w:val="0"/>
                    <w:jc w:val="center"/>
                    <w:textAlignment w:val="center"/>
                    <w:rPr>
                      <w:rFonts w:hint="eastAsia"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年平均</w:t>
                  </w:r>
                </w:p>
              </w:tc>
              <w:tc>
                <w:tcPr>
                  <w:tcW w:w="719" w:type="pct"/>
                  <w:noWrap w:val="0"/>
                  <w:vAlign w:val="center"/>
                </w:tcPr>
                <w:p w14:paraId="0E8E887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27</w:t>
                  </w:r>
                </w:p>
              </w:tc>
              <w:tc>
                <w:tcPr>
                  <w:tcW w:w="719" w:type="pct"/>
                  <w:noWrap w:val="0"/>
                  <w:vAlign w:val="center"/>
                </w:tcPr>
                <w:p w14:paraId="53FF501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40</w:t>
                  </w:r>
                </w:p>
              </w:tc>
              <w:tc>
                <w:tcPr>
                  <w:tcW w:w="525" w:type="pct"/>
                  <w:tcBorders>
                    <w:top w:val="single" w:color="auto" w:sz="4" w:space="0"/>
                    <w:bottom w:val="single" w:color="auto" w:sz="4" w:space="0"/>
                    <w:right w:val="single" w:color="auto" w:sz="4" w:space="0"/>
                  </w:tcBorders>
                  <w:noWrap w:val="0"/>
                  <w:vAlign w:val="center"/>
                </w:tcPr>
                <w:p w14:paraId="012D9DD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67.5</w:t>
                  </w:r>
                </w:p>
              </w:tc>
              <w:tc>
                <w:tcPr>
                  <w:tcW w:w="1433" w:type="pct"/>
                  <w:vMerge w:val="continue"/>
                  <w:tcBorders>
                    <w:left w:val="single" w:color="auto" w:sz="4" w:space="0"/>
                  </w:tcBorders>
                  <w:noWrap w:val="0"/>
                  <w:vAlign w:val="center"/>
                </w:tcPr>
                <w:p w14:paraId="0782FF3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FF0000"/>
                      <w:sz w:val="21"/>
                      <w:szCs w:val="21"/>
                      <w:highlight w:val="none"/>
                    </w:rPr>
                  </w:pPr>
                </w:p>
              </w:tc>
            </w:tr>
            <w:tr w14:paraId="4AFC903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90" w:hRule="atLeast"/>
              </w:trPr>
              <w:tc>
                <w:tcPr>
                  <w:tcW w:w="426" w:type="pct"/>
                  <w:noWrap w:val="0"/>
                  <w:vAlign w:val="center"/>
                </w:tcPr>
                <w:p w14:paraId="5B2572E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PM</w:t>
                  </w:r>
                  <w:r>
                    <w:rPr>
                      <w:rFonts w:hint="default" w:ascii="Times New Roman" w:hAnsi="Times New Roman" w:cs="Times New Roman"/>
                      <w:color w:val="auto"/>
                      <w:sz w:val="21"/>
                      <w:szCs w:val="21"/>
                      <w:highlight w:val="none"/>
                      <w:vertAlign w:val="subscript"/>
                    </w:rPr>
                    <w:t>10</w:t>
                  </w:r>
                </w:p>
              </w:tc>
              <w:tc>
                <w:tcPr>
                  <w:tcW w:w="1173" w:type="pct"/>
                  <w:noWrap w:val="0"/>
                  <w:vAlign w:val="center"/>
                </w:tcPr>
                <w:p w14:paraId="35CDE9E1">
                  <w:pPr>
                    <w:keepNext w:val="0"/>
                    <w:keepLines w:val="0"/>
                    <w:widowControl/>
                    <w:suppressLineNumbers w:val="0"/>
                    <w:jc w:val="center"/>
                    <w:textAlignment w:val="center"/>
                    <w:rPr>
                      <w:rFonts w:hint="eastAsia"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年平均</w:t>
                  </w:r>
                </w:p>
              </w:tc>
              <w:tc>
                <w:tcPr>
                  <w:tcW w:w="719" w:type="pct"/>
                  <w:noWrap w:val="0"/>
                  <w:vAlign w:val="center"/>
                </w:tcPr>
                <w:p w14:paraId="1E7686C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59</w:t>
                  </w:r>
                </w:p>
              </w:tc>
              <w:tc>
                <w:tcPr>
                  <w:tcW w:w="719" w:type="pct"/>
                  <w:noWrap w:val="0"/>
                  <w:vAlign w:val="center"/>
                </w:tcPr>
                <w:p w14:paraId="7994BCB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60</w:t>
                  </w:r>
                </w:p>
              </w:tc>
              <w:tc>
                <w:tcPr>
                  <w:tcW w:w="525" w:type="pct"/>
                  <w:tcBorders>
                    <w:top w:val="single" w:color="auto" w:sz="4" w:space="0"/>
                    <w:bottom w:val="single" w:color="auto" w:sz="4" w:space="0"/>
                    <w:right w:val="single" w:color="auto" w:sz="4" w:space="0"/>
                  </w:tcBorders>
                  <w:noWrap w:val="0"/>
                  <w:vAlign w:val="center"/>
                </w:tcPr>
                <w:p w14:paraId="33F83C8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98.3</w:t>
                  </w:r>
                </w:p>
              </w:tc>
              <w:tc>
                <w:tcPr>
                  <w:tcW w:w="1433" w:type="pct"/>
                  <w:vMerge w:val="continue"/>
                  <w:tcBorders>
                    <w:left w:val="single" w:color="auto" w:sz="4" w:space="0"/>
                  </w:tcBorders>
                  <w:noWrap w:val="0"/>
                  <w:vAlign w:val="center"/>
                </w:tcPr>
                <w:p w14:paraId="4BA8EC8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FF0000"/>
                      <w:sz w:val="21"/>
                      <w:szCs w:val="21"/>
                      <w:highlight w:val="none"/>
                    </w:rPr>
                  </w:pPr>
                </w:p>
              </w:tc>
            </w:tr>
            <w:tr w14:paraId="051B4B8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90" w:hRule="atLeast"/>
              </w:trPr>
              <w:tc>
                <w:tcPr>
                  <w:tcW w:w="426" w:type="pct"/>
                  <w:noWrap w:val="0"/>
                  <w:vAlign w:val="center"/>
                </w:tcPr>
                <w:p w14:paraId="0A59822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PM</w:t>
                  </w:r>
                  <w:r>
                    <w:rPr>
                      <w:rFonts w:hint="default" w:ascii="Times New Roman" w:hAnsi="Times New Roman" w:cs="Times New Roman"/>
                      <w:color w:val="auto"/>
                      <w:sz w:val="21"/>
                      <w:szCs w:val="21"/>
                      <w:highlight w:val="none"/>
                      <w:vertAlign w:val="subscript"/>
                    </w:rPr>
                    <w:t>2.5</w:t>
                  </w:r>
                </w:p>
              </w:tc>
              <w:tc>
                <w:tcPr>
                  <w:tcW w:w="1173" w:type="pct"/>
                  <w:noWrap w:val="0"/>
                  <w:vAlign w:val="center"/>
                </w:tcPr>
                <w:p w14:paraId="18840C68">
                  <w:pPr>
                    <w:keepNext w:val="0"/>
                    <w:keepLines w:val="0"/>
                    <w:widowControl/>
                    <w:suppressLineNumbers w:val="0"/>
                    <w:jc w:val="center"/>
                    <w:textAlignment w:val="center"/>
                    <w:rPr>
                      <w:rFonts w:hint="eastAsia"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年平均</w:t>
                  </w:r>
                </w:p>
              </w:tc>
              <w:tc>
                <w:tcPr>
                  <w:tcW w:w="719" w:type="pct"/>
                  <w:noWrap w:val="0"/>
                  <w:vAlign w:val="center"/>
                </w:tcPr>
                <w:p w14:paraId="2ADF735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35</w:t>
                  </w:r>
                </w:p>
              </w:tc>
              <w:tc>
                <w:tcPr>
                  <w:tcW w:w="719" w:type="pct"/>
                  <w:noWrap w:val="0"/>
                  <w:vAlign w:val="center"/>
                </w:tcPr>
                <w:p w14:paraId="40480B5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30</w:t>
                  </w:r>
                </w:p>
              </w:tc>
              <w:tc>
                <w:tcPr>
                  <w:tcW w:w="525" w:type="pct"/>
                  <w:tcBorders>
                    <w:top w:val="single" w:color="auto" w:sz="4" w:space="0"/>
                    <w:bottom w:val="single" w:color="auto" w:sz="4" w:space="0"/>
                    <w:right w:val="single" w:color="auto" w:sz="4" w:space="0"/>
                  </w:tcBorders>
                  <w:noWrap w:val="0"/>
                  <w:vAlign w:val="center"/>
                </w:tcPr>
                <w:p w14:paraId="69BA921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116.7</w:t>
                  </w:r>
                </w:p>
              </w:tc>
              <w:tc>
                <w:tcPr>
                  <w:tcW w:w="1433" w:type="pct"/>
                  <w:vMerge w:val="continue"/>
                  <w:tcBorders>
                    <w:left w:val="single" w:color="auto" w:sz="4" w:space="0"/>
                  </w:tcBorders>
                  <w:noWrap w:val="0"/>
                  <w:vAlign w:val="center"/>
                </w:tcPr>
                <w:p w14:paraId="6D4989F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FF0000"/>
                      <w:sz w:val="21"/>
                      <w:szCs w:val="21"/>
                      <w:highlight w:val="none"/>
                    </w:rPr>
                  </w:pPr>
                </w:p>
              </w:tc>
            </w:tr>
            <w:tr w14:paraId="0435696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90" w:hRule="atLeast"/>
              </w:trPr>
              <w:tc>
                <w:tcPr>
                  <w:tcW w:w="426" w:type="pct"/>
                  <w:noWrap w:val="0"/>
                  <w:vAlign w:val="center"/>
                </w:tcPr>
                <w:p w14:paraId="2C01953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CO</w:t>
                  </w:r>
                </w:p>
              </w:tc>
              <w:tc>
                <w:tcPr>
                  <w:tcW w:w="1173" w:type="pct"/>
                  <w:noWrap w:val="0"/>
                  <w:vAlign w:val="center"/>
                </w:tcPr>
                <w:p w14:paraId="6D3164CE">
                  <w:pPr>
                    <w:keepNext w:val="0"/>
                    <w:keepLines w:val="0"/>
                    <w:widowControl/>
                    <w:suppressLineNumbers w:val="0"/>
                    <w:jc w:val="center"/>
                    <w:textAlignment w:val="center"/>
                    <w:rPr>
                      <w:rFonts w:hint="default"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日平均</w:t>
                  </w:r>
                </w:p>
              </w:tc>
              <w:tc>
                <w:tcPr>
                  <w:tcW w:w="719" w:type="pct"/>
                  <w:noWrap w:val="0"/>
                  <w:vAlign w:val="center"/>
                </w:tcPr>
                <w:p w14:paraId="10FBA4C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1100</w:t>
                  </w:r>
                </w:p>
              </w:tc>
              <w:tc>
                <w:tcPr>
                  <w:tcW w:w="719" w:type="pct"/>
                  <w:noWrap w:val="0"/>
                  <w:vAlign w:val="center"/>
                </w:tcPr>
                <w:p w14:paraId="5C5879D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4000</w:t>
                  </w:r>
                </w:p>
              </w:tc>
              <w:tc>
                <w:tcPr>
                  <w:tcW w:w="525" w:type="pct"/>
                  <w:tcBorders>
                    <w:top w:val="single" w:color="auto" w:sz="4" w:space="0"/>
                    <w:bottom w:val="single" w:color="auto" w:sz="4" w:space="0"/>
                    <w:right w:val="single" w:color="auto" w:sz="4" w:space="0"/>
                  </w:tcBorders>
                  <w:noWrap w:val="0"/>
                  <w:vAlign w:val="center"/>
                </w:tcPr>
                <w:p w14:paraId="52018A4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27.5</w:t>
                  </w:r>
                </w:p>
              </w:tc>
              <w:tc>
                <w:tcPr>
                  <w:tcW w:w="1433" w:type="pct"/>
                  <w:vMerge w:val="continue"/>
                  <w:tcBorders>
                    <w:left w:val="single" w:color="auto" w:sz="4" w:space="0"/>
                  </w:tcBorders>
                  <w:noWrap w:val="0"/>
                  <w:vAlign w:val="center"/>
                </w:tcPr>
                <w:p w14:paraId="7AADD1A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FF0000"/>
                      <w:sz w:val="21"/>
                      <w:szCs w:val="21"/>
                      <w:highlight w:val="none"/>
                    </w:rPr>
                  </w:pPr>
                </w:p>
              </w:tc>
            </w:tr>
            <w:tr w14:paraId="1E6BE52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90" w:hRule="atLeast"/>
              </w:trPr>
              <w:tc>
                <w:tcPr>
                  <w:tcW w:w="426" w:type="pct"/>
                  <w:noWrap w:val="0"/>
                  <w:vAlign w:val="center"/>
                </w:tcPr>
                <w:p w14:paraId="2CADBBB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O</w:t>
                  </w:r>
                  <w:r>
                    <w:rPr>
                      <w:rFonts w:hint="default" w:ascii="Times New Roman" w:hAnsi="Times New Roman" w:cs="Times New Roman"/>
                      <w:color w:val="auto"/>
                      <w:sz w:val="21"/>
                      <w:szCs w:val="21"/>
                      <w:highlight w:val="none"/>
                      <w:vertAlign w:val="subscript"/>
                    </w:rPr>
                    <w:t>3</w:t>
                  </w:r>
                </w:p>
              </w:tc>
              <w:tc>
                <w:tcPr>
                  <w:tcW w:w="1173" w:type="pct"/>
                  <w:noWrap w:val="0"/>
                  <w:vAlign w:val="center"/>
                </w:tcPr>
                <w:p w14:paraId="3C90C5F9">
                  <w:pPr>
                    <w:keepNext w:val="0"/>
                    <w:keepLines w:val="0"/>
                    <w:widowControl/>
                    <w:suppressLineNumbers w:val="0"/>
                    <w:jc w:val="center"/>
                    <w:textAlignment w:val="center"/>
                    <w:rPr>
                      <w:rFonts w:hint="eastAsia"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日最大8小时平均</w:t>
                  </w:r>
                </w:p>
              </w:tc>
              <w:tc>
                <w:tcPr>
                  <w:tcW w:w="719" w:type="pct"/>
                  <w:noWrap w:val="0"/>
                  <w:vAlign w:val="center"/>
                </w:tcPr>
                <w:p w14:paraId="470FC24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169</w:t>
                  </w:r>
                </w:p>
              </w:tc>
              <w:tc>
                <w:tcPr>
                  <w:tcW w:w="719" w:type="pct"/>
                  <w:noWrap w:val="0"/>
                  <w:vAlign w:val="center"/>
                </w:tcPr>
                <w:p w14:paraId="192AB2D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160</w:t>
                  </w:r>
                </w:p>
              </w:tc>
              <w:tc>
                <w:tcPr>
                  <w:tcW w:w="525" w:type="pct"/>
                  <w:tcBorders>
                    <w:top w:val="single" w:color="auto" w:sz="4" w:space="0"/>
                    <w:bottom w:val="single" w:color="auto" w:sz="4" w:space="0"/>
                    <w:right w:val="single" w:color="auto" w:sz="4" w:space="0"/>
                  </w:tcBorders>
                  <w:noWrap w:val="0"/>
                  <w:vAlign w:val="center"/>
                </w:tcPr>
                <w:p w14:paraId="6A4FB0B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105.6</w:t>
                  </w:r>
                </w:p>
              </w:tc>
              <w:tc>
                <w:tcPr>
                  <w:tcW w:w="1433" w:type="pct"/>
                  <w:vMerge w:val="continue"/>
                  <w:tcBorders>
                    <w:left w:val="single" w:color="auto" w:sz="4" w:space="0"/>
                  </w:tcBorders>
                  <w:noWrap w:val="0"/>
                  <w:vAlign w:val="center"/>
                </w:tcPr>
                <w:p w14:paraId="1FD82B1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FF0000"/>
                      <w:sz w:val="21"/>
                      <w:szCs w:val="21"/>
                      <w:highlight w:val="none"/>
                    </w:rPr>
                  </w:pPr>
                </w:p>
              </w:tc>
            </w:tr>
          </w:tbl>
          <w:p w14:paraId="2B103E9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由上表分析可知，细颗粒物（PM</w:t>
            </w:r>
            <w:r>
              <w:rPr>
                <w:rFonts w:hint="default" w:ascii="Times New Roman" w:hAnsi="Times New Roman" w:eastAsia="宋体" w:cs="Times New Roman"/>
                <w:color w:val="auto"/>
                <w:sz w:val="24"/>
                <w:szCs w:val="24"/>
                <w:highlight w:val="none"/>
                <w:vertAlign w:val="subscript"/>
                <w:lang w:eastAsia="zh-CN"/>
              </w:rPr>
              <w:t>2.5</w:t>
            </w:r>
            <w:r>
              <w:rPr>
                <w:rFonts w:hint="default" w:ascii="Times New Roman" w:hAnsi="Times New Roman" w:eastAsia="宋体" w:cs="Times New Roman"/>
                <w:color w:val="auto"/>
                <w:sz w:val="24"/>
                <w:szCs w:val="24"/>
                <w:highlight w:val="none"/>
                <w:lang w:eastAsia="zh-CN"/>
              </w:rPr>
              <w:t>）</w:t>
            </w: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臭氧（O</w:t>
            </w:r>
            <w:r>
              <w:rPr>
                <w:rFonts w:hint="eastAsia" w:cs="Times New Roman"/>
                <w:color w:val="auto"/>
                <w:sz w:val="24"/>
                <w:szCs w:val="24"/>
                <w:highlight w:val="none"/>
                <w:vertAlign w:val="subscript"/>
                <w:lang w:val="en-US" w:eastAsia="zh-CN"/>
              </w:rPr>
              <w:t>3</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eastAsia="zh-CN"/>
              </w:rPr>
              <w:t>浓度不达标。项目所在区域环境空气质量为不达标区。</w:t>
            </w:r>
          </w:p>
          <w:p w14:paraId="78270274">
            <w:pPr>
              <w:snapToGrid w:val="0"/>
              <w:spacing w:line="360" w:lineRule="auto"/>
              <w:ind w:firstLine="480" w:firstLineChars="200"/>
              <w:rPr>
                <w:rFonts w:hint="eastAsia"/>
                <w:color w:val="auto"/>
                <w:sz w:val="24"/>
                <w:szCs w:val="24"/>
              </w:rPr>
            </w:pPr>
            <w:r>
              <w:rPr>
                <w:rFonts w:hint="eastAsia"/>
                <w:color w:val="auto"/>
                <w:sz w:val="24"/>
                <w:szCs w:val="24"/>
              </w:rPr>
              <w:t>为了不断改善区域环境质量，根据《淄博市“十四五”生态环境保护规划》要求，以持续降低PM</w:t>
            </w:r>
            <w:r>
              <w:rPr>
                <w:rFonts w:hint="eastAsia"/>
                <w:color w:val="auto"/>
                <w:sz w:val="24"/>
                <w:szCs w:val="24"/>
                <w:vertAlign w:val="subscript"/>
                <w:lang w:val="en-US" w:eastAsia="zh-CN"/>
              </w:rPr>
              <w:t>2.5</w:t>
            </w:r>
            <w:r>
              <w:rPr>
                <w:rFonts w:hint="eastAsia"/>
                <w:color w:val="auto"/>
                <w:sz w:val="24"/>
                <w:szCs w:val="24"/>
              </w:rPr>
              <w:t>浓度，不断提高空气质量优良天数比例，逐步消除重污染天气为目标任务，实施产业结构升级、清洁能源替代、运输结构优化、扬尘精细管控、VOCs深度治理、氮氧化物深度治理“六大减排工程”，全面推进重点行业、重点领域的全流程污染治理，逐步破解大气复合污染问题，区域环境空气质量将明显改善。</w:t>
            </w:r>
          </w:p>
          <w:p w14:paraId="03174DBC">
            <w:pPr>
              <w:keepNext w:val="0"/>
              <w:keepLines w:val="0"/>
              <w:pageBreakBefore w:val="0"/>
              <w:widowControl w:val="0"/>
              <w:numPr>
                <w:ilvl w:val="0"/>
                <w:numId w:val="23"/>
              </w:numPr>
              <w:kinsoku/>
              <w:wordWrap/>
              <w:overflowPunct/>
              <w:topLinePunct w:val="0"/>
              <w:autoSpaceDE/>
              <w:autoSpaceDN/>
              <w:bidi w:val="0"/>
              <w:adjustRightInd w:val="0"/>
              <w:snapToGrid w:val="0"/>
              <w:spacing w:line="360" w:lineRule="auto"/>
              <w:ind w:left="0" w:leftChars="0" w:firstLine="482" w:firstLineChars="200"/>
              <w:textAlignment w:val="auto"/>
              <w:rPr>
                <w:rFonts w:hint="default" w:ascii="Times New Roman" w:hAnsi="Times New Roman" w:cs="Times New Roman"/>
                <w:b/>
                <w:bCs/>
                <w:color w:val="auto"/>
                <w:sz w:val="24"/>
                <w:lang w:val="zh-CN"/>
              </w:rPr>
            </w:pPr>
            <w:r>
              <w:rPr>
                <w:rFonts w:hint="default" w:ascii="Times New Roman" w:hAnsi="Times New Roman" w:cs="Times New Roman"/>
                <w:b/>
                <w:bCs/>
                <w:color w:val="auto"/>
                <w:sz w:val="24"/>
                <w:lang w:val="zh-CN"/>
              </w:rPr>
              <w:t>地表水环境质量现状</w:t>
            </w:r>
          </w:p>
          <w:p w14:paraId="7449B10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lang w:val="zh-CN" w:eastAsia="zh-CN"/>
              </w:rPr>
            </w:pPr>
            <w:r>
              <w:rPr>
                <w:rFonts w:hint="default" w:ascii="Times New Roman" w:hAnsi="Times New Roman" w:eastAsia="宋体" w:cs="Times New Roman"/>
                <w:color w:val="auto"/>
                <w:sz w:val="24"/>
                <w:szCs w:val="24"/>
                <w:highlight w:val="none"/>
                <w:lang w:val="zh-CN" w:eastAsia="zh-CN"/>
              </w:rPr>
              <w:t>该区域主要地表水体为</w:t>
            </w:r>
            <w:r>
              <w:rPr>
                <w:rFonts w:hint="eastAsia" w:cs="Times New Roman"/>
                <w:color w:val="auto"/>
                <w:sz w:val="24"/>
                <w:szCs w:val="24"/>
                <w:highlight w:val="none"/>
                <w:lang w:val="en-US" w:eastAsia="zh-CN"/>
              </w:rPr>
              <w:t>漫泗河，属于</w:t>
            </w:r>
            <w:r>
              <w:rPr>
                <w:rFonts w:hint="eastAsia" w:ascii="Times New Roman" w:hAnsi="Times New Roman" w:eastAsia="宋体" w:cs="Times New Roman"/>
                <w:color w:val="auto"/>
                <w:sz w:val="24"/>
                <w:szCs w:val="24"/>
                <w:highlight w:val="none"/>
                <w:lang w:val="en-US" w:eastAsia="zh-CN"/>
              </w:rPr>
              <w:t>孝妇河</w:t>
            </w:r>
            <w:r>
              <w:rPr>
                <w:rFonts w:hint="eastAsia" w:cs="Times New Roman"/>
                <w:color w:val="auto"/>
                <w:sz w:val="24"/>
                <w:szCs w:val="24"/>
                <w:highlight w:val="none"/>
                <w:lang w:val="en-US" w:eastAsia="zh-CN"/>
              </w:rPr>
              <w:t>支流</w:t>
            </w:r>
            <w:r>
              <w:rPr>
                <w:rFonts w:hint="default" w:ascii="Times New Roman" w:hAnsi="Times New Roman" w:eastAsia="宋体" w:cs="Times New Roman"/>
                <w:color w:val="auto"/>
                <w:sz w:val="24"/>
                <w:szCs w:val="24"/>
                <w:highlight w:val="none"/>
                <w:lang w:val="zh-CN" w:eastAsia="zh-CN"/>
              </w:rPr>
              <w:t>，根据淄博市</w:t>
            </w:r>
            <w:r>
              <w:rPr>
                <w:rFonts w:hint="eastAsia" w:ascii="Times New Roman" w:hAnsi="Times New Roman" w:eastAsia="宋体" w:cs="Times New Roman"/>
                <w:color w:val="auto"/>
                <w:sz w:val="24"/>
                <w:szCs w:val="24"/>
                <w:highlight w:val="none"/>
                <w:lang w:val="en-US" w:eastAsia="zh-CN"/>
              </w:rPr>
              <w:t>生态环境局</w:t>
            </w:r>
            <w:r>
              <w:rPr>
                <w:rFonts w:hint="eastAsia" w:cs="Times New Roman"/>
                <w:color w:val="auto"/>
                <w:sz w:val="24"/>
                <w:szCs w:val="24"/>
                <w:highlight w:val="none"/>
                <w:lang w:val="en-US" w:eastAsia="zh-CN"/>
              </w:rPr>
              <w:t>环境水质信息发布系统数据显示</w:t>
            </w:r>
            <w:r>
              <w:rPr>
                <w:rFonts w:hint="eastAsia" w:ascii="Times New Roman" w:hAnsi="Times New Roman" w:cs="Times New Roman"/>
                <w:color w:val="auto"/>
                <w:sz w:val="24"/>
                <w:szCs w:val="24"/>
                <w:highlight w:val="none"/>
                <w:lang w:val="en-US" w:eastAsia="zh-CN"/>
              </w:rPr>
              <w:t>，</w:t>
            </w:r>
            <w:r>
              <w:rPr>
                <w:rFonts w:hint="eastAsia" w:cs="Times New Roman"/>
                <w:color w:val="auto"/>
                <w:sz w:val="24"/>
                <w:szCs w:val="24"/>
                <w:highlight w:val="none"/>
                <w:lang w:val="en-US" w:eastAsia="zh-CN"/>
              </w:rPr>
              <w:t>该区域</w:t>
            </w:r>
            <w:r>
              <w:rPr>
                <w:rFonts w:hint="default" w:ascii="Times New Roman" w:hAnsi="Times New Roman" w:eastAsia="宋体" w:cs="Times New Roman"/>
                <w:color w:val="auto"/>
                <w:sz w:val="24"/>
                <w:szCs w:val="24"/>
                <w:highlight w:val="none"/>
                <w:lang w:val="zh-CN" w:eastAsia="zh-CN"/>
              </w:rPr>
              <w:t>断面</w:t>
            </w:r>
            <w:r>
              <w:rPr>
                <w:rFonts w:hint="default" w:ascii="Times New Roman" w:hAnsi="Times New Roman" w:eastAsia="宋体" w:cs="Times New Roman"/>
                <w:color w:val="auto"/>
                <w:sz w:val="24"/>
                <w:szCs w:val="24"/>
                <w:highlight w:val="none"/>
                <w:lang w:eastAsia="zh-CN"/>
              </w:rPr>
              <w:t>水质</w:t>
            </w:r>
            <w:r>
              <w:rPr>
                <w:rFonts w:hint="default" w:ascii="Times New Roman" w:hAnsi="Times New Roman" w:eastAsia="宋体" w:cs="Times New Roman"/>
                <w:color w:val="auto"/>
                <w:sz w:val="24"/>
                <w:szCs w:val="24"/>
                <w:highlight w:val="none"/>
                <w:lang w:val="zh-CN" w:eastAsia="zh-CN"/>
              </w:rPr>
              <w:t>可满足《地表水环境质量标准》（GB3838-2002）</w:t>
            </w:r>
            <w:r>
              <w:rPr>
                <w:rFonts w:hint="eastAsia" w:ascii="Times New Roman" w:hAnsi="Times New Roman" w:eastAsia="宋体" w:cs="Times New Roman"/>
                <w:color w:val="auto"/>
                <w:sz w:val="24"/>
                <w:szCs w:val="24"/>
                <w:highlight w:val="none"/>
                <w:lang w:val="en-US" w:eastAsia="zh-CN"/>
              </w:rPr>
              <w:t>Ⅳ</w:t>
            </w:r>
            <w:r>
              <w:rPr>
                <w:rFonts w:hint="default" w:ascii="Times New Roman" w:hAnsi="Times New Roman" w:eastAsia="宋体" w:cs="Times New Roman"/>
                <w:color w:val="auto"/>
                <w:sz w:val="24"/>
                <w:szCs w:val="24"/>
                <w:highlight w:val="none"/>
                <w:lang w:val="zh-CN" w:eastAsia="zh-CN"/>
              </w:rPr>
              <w:t>类标准的要求。</w:t>
            </w:r>
          </w:p>
          <w:p w14:paraId="619ECF70">
            <w:pPr>
              <w:keepNext w:val="0"/>
              <w:keepLines w:val="0"/>
              <w:pageBreakBefore w:val="0"/>
              <w:widowControl w:val="0"/>
              <w:numPr>
                <w:ilvl w:val="0"/>
                <w:numId w:val="23"/>
              </w:numPr>
              <w:kinsoku/>
              <w:wordWrap/>
              <w:overflowPunct/>
              <w:topLinePunct w:val="0"/>
              <w:autoSpaceDE/>
              <w:autoSpaceDN/>
              <w:bidi w:val="0"/>
              <w:adjustRightInd w:val="0"/>
              <w:snapToGrid w:val="0"/>
              <w:spacing w:line="360" w:lineRule="auto"/>
              <w:ind w:left="0" w:leftChars="0" w:firstLine="482" w:firstLineChars="200"/>
              <w:textAlignment w:val="auto"/>
              <w:rPr>
                <w:rFonts w:hint="default" w:ascii="Times New Roman" w:hAnsi="Times New Roman" w:cs="Times New Roman"/>
                <w:b/>
                <w:bCs/>
                <w:color w:val="auto"/>
                <w:sz w:val="24"/>
                <w:lang w:val="en-US" w:eastAsia="zh-CN"/>
              </w:rPr>
            </w:pPr>
            <w:r>
              <w:rPr>
                <w:rFonts w:hint="default" w:ascii="Times New Roman" w:hAnsi="Times New Roman" w:cs="Times New Roman"/>
                <w:b/>
                <w:bCs/>
                <w:color w:val="auto"/>
                <w:sz w:val="24"/>
                <w:lang w:val="en-US" w:eastAsia="zh-CN"/>
              </w:rPr>
              <w:t>声环境质量现状</w:t>
            </w:r>
          </w:p>
          <w:p w14:paraId="23A74F0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lang w:val="zh-CN" w:eastAsia="zh-CN"/>
              </w:rPr>
            </w:pPr>
            <w:r>
              <w:rPr>
                <w:rFonts w:hint="default" w:ascii="Times New Roman" w:hAnsi="Times New Roman" w:eastAsia="宋体" w:cs="Times New Roman"/>
                <w:color w:val="auto"/>
                <w:sz w:val="24"/>
                <w:szCs w:val="24"/>
                <w:highlight w:val="none"/>
                <w:lang w:val="en-US" w:eastAsia="zh-CN"/>
              </w:rPr>
              <w:t>本项目所在区域执行《声环境质量标准》（GB3096-2008）</w:t>
            </w:r>
            <w:r>
              <w:rPr>
                <w:rFonts w:hint="eastAsia"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lang w:val="en-US" w:eastAsia="zh-CN"/>
              </w:rPr>
              <w:t>类标准，项目厂界周边50m范围内无声环境保护目标。据现场调查，项目附近无明显高噪声源，周边区域声环境能够满足《声环境质量标准》（GB3096-2008）</w:t>
            </w:r>
            <w:r>
              <w:rPr>
                <w:rFonts w:hint="eastAsia"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lang w:val="en-US" w:eastAsia="zh-CN"/>
              </w:rPr>
              <w:t>类标准。</w:t>
            </w:r>
          </w:p>
          <w:p w14:paraId="0DEA9E7F">
            <w:pPr>
              <w:keepNext w:val="0"/>
              <w:keepLines w:val="0"/>
              <w:pageBreakBefore w:val="0"/>
              <w:widowControl w:val="0"/>
              <w:numPr>
                <w:ilvl w:val="0"/>
                <w:numId w:val="23"/>
              </w:numPr>
              <w:kinsoku/>
              <w:wordWrap/>
              <w:overflowPunct/>
              <w:topLinePunct w:val="0"/>
              <w:autoSpaceDE/>
              <w:autoSpaceDN/>
              <w:bidi w:val="0"/>
              <w:adjustRightInd w:val="0"/>
              <w:snapToGrid w:val="0"/>
              <w:spacing w:line="360" w:lineRule="auto"/>
              <w:ind w:left="0" w:leftChars="0" w:firstLine="482" w:firstLineChars="200"/>
              <w:textAlignment w:val="auto"/>
              <w:rPr>
                <w:rFonts w:hint="default" w:ascii="Times New Roman" w:hAnsi="Times New Roman" w:cs="Times New Roman"/>
                <w:b/>
                <w:bCs/>
                <w:color w:val="auto"/>
                <w:sz w:val="24"/>
                <w:lang w:val="en-US" w:eastAsia="zh-CN"/>
              </w:rPr>
            </w:pPr>
            <w:r>
              <w:rPr>
                <w:rFonts w:hint="default" w:ascii="Times New Roman" w:hAnsi="Times New Roman" w:cs="Times New Roman"/>
                <w:b/>
                <w:bCs/>
                <w:color w:val="auto"/>
                <w:sz w:val="24"/>
                <w:lang w:val="en-US" w:eastAsia="zh-CN"/>
              </w:rPr>
              <w:t>生态环境现状</w:t>
            </w:r>
          </w:p>
          <w:p w14:paraId="0505216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本项目位于</w:t>
            </w:r>
            <w:r>
              <w:rPr>
                <w:rFonts w:hint="eastAsia"/>
                <w:color w:val="auto"/>
                <w:sz w:val="24"/>
                <w:lang w:val="en-US" w:eastAsia="zh-CN"/>
              </w:rPr>
              <w:t>淄博市淄川区罗村镇南韩村村委西北1000米</w:t>
            </w:r>
            <w:r>
              <w:rPr>
                <w:rFonts w:hint="eastAsia" w:ascii="宋体" w:hAnsi="宋体" w:cs="宋体"/>
                <w:b w:val="0"/>
                <w:bCs w:val="0"/>
                <w:color w:val="auto"/>
                <w:kern w:val="0"/>
                <w:sz w:val="24"/>
                <w:szCs w:val="24"/>
                <w:lang w:val="en-US" w:eastAsia="zh-CN" w:bidi="ar"/>
              </w:rPr>
              <w:t>，租赁</w:t>
            </w:r>
            <w:r>
              <w:rPr>
                <w:rFonts w:hint="eastAsia" w:ascii="Times New Roman" w:hAnsi="Times New Roman" w:eastAsia="宋体" w:cs="Times New Roman"/>
                <w:b w:val="0"/>
                <w:bCs w:val="0"/>
                <w:color w:val="auto"/>
                <w:sz w:val="24"/>
                <w:lang w:val="en-US" w:eastAsia="zh-CN"/>
              </w:rPr>
              <w:t>现有厂房进行生产建设</w:t>
            </w:r>
            <w:r>
              <w:rPr>
                <w:rFonts w:hint="eastAsia" w:ascii="Times New Roman" w:hAnsi="Times New Roman"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不属于产业园外建设项目新增用地且用地范围内含有生态环境保护目标的项目，本项目不需要对区域生态环境质量进行评价</w:t>
            </w:r>
          </w:p>
          <w:p w14:paraId="19493410">
            <w:pPr>
              <w:keepNext w:val="0"/>
              <w:keepLines w:val="0"/>
              <w:pageBreakBefore w:val="0"/>
              <w:widowControl w:val="0"/>
              <w:numPr>
                <w:ilvl w:val="0"/>
                <w:numId w:val="23"/>
              </w:numPr>
              <w:kinsoku/>
              <w:wordWrap/>
              <w:overflowPunct/>
              <w:topLinePunct w:val="0"/>
              <w:autoSpaceDE/>
              <w:autoSpaceDN/>
              <w:bidi w:val="0"/>
              <w:adjustRightInd w:val="0"/>
              <w:snapToGrid w:val="0"/>
              <w:spacing w:line="360" w:lineRule="auto"/>
              <w:ind w:left="0" w:leftChars="0" w:firstLine="482" w:firstLineChars="200"/>
              <w:textAlignment w:val="auto"/>
              <w:rPr>
                <w:rFonts w:hint="default" w:ascii="Times New Roman" w:hAnsi="Times New Roman" w:cs="Times New Roman"/>
                <w:b/>
                <w:bCs/>
                <w:color w:val="auto"/>
                <w:sz w:val="24"/>
                <w:lang w:val="en-US" w:eastAsia="zh-CN"/>
              </w:rPr>
            </w:pPr>
            <w:r>
              <w:rPr>
                <w:rFonts w:hint="default" w:ascii="Times New Roman" w:hAnsi="Times New Roman" w:cs="Times New Roman"/>
                <w:b/>
                <w:bCs/>
                <w:color w:val="auto"/>
                <w:sz w:val="24"/>
                <w:lang w:val="en-US" w:eastAsia="zh-CN"/>
              </w:rPr>
              <w:t>电磁辐射现状</w:t>
            </w:r>
          </w:p>
          <w:p w14:paraId="7D30F1B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本项目不属于新建或改建、扩建广播电台、差转台、电视塔台、卫星地球上行站、雷达等电磁辐射类项目，不需要开展电磁辐射现状监测与评价。</w:t>
            </w:r>
          </w:p>
          <w:p w14:paraId="265D7F66">
            <w:pPr>
              <w:keepNext w:val="0"/>
              <w:keepLines w:val="0"/>
              <w:pageBreakBefore w:val="0"/>
              <w:widowControl w:val="0"/>
              <w:numPr>
                <w:ilvl w:val="0"/>
                <w:numId w:val="23"/>
              </w:numPr>
              <w:kinsoku/>
              <w:wordWrap/>
              <w:overflowPunct/>
              <w:topLinePunct w:val="0"/>
              <w:autoSpaceDE/>
              <w:autoSpaceDN/>
              <w:bidi w:val="0"/>
              <w:adjustRightInd w:val="0"/>
              <w:snapToGrid w:val="0"/>
              <w:spacing w:line="360" w:lineRule="auto"/>
              <w:ind w:left="0" w:leftChars="0" w:firstLine="482" w:firstLineChars="200"/>
              <w:textAlignment w:val="auto"/>
              <w:rPr>
                <w:rFonts w:hint="default" w:ascii="Times New Roman" w:hAnsi="Times New Roman" w:cs="Times New Roman"/>
                <w:b/>
                <w:bCs/>
                <w:color w:val="auto"/>
                <w:sz w:val="24"/>
                <w:lang w:val="en-US" w:eastAsia="zh-CN"/>
              </w:rPr>
            </w:pPr>
            <w:r>
              <w:rPr>
                <w:rFonts w:hint="default" w:ascii="Times New Roman" w:hAnsi="Times New Roman" w:cs="Times New Roman"/>
                <w:b/>
                <w:bCs/>
                <w:color w:val="auto"/>
                <w:sz w:val="24"/>
                <w:lang w:val="en-US" w:eastAsia="zh-CN"/>
              </w:rPr>
              <w:t>地下水、土壤环境质量现状</w:t>
            </w:r>
          </w:p>
          <w:p w14:paraId="7D38866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color w:val="FF0000"/>
                <w:kern w:val="0"/>
                <w:szCs w:val="21"/>
              </w:rPr>
            </w:pPr>
            <w:r>
              <w:rPr>
                <w:rFonts w:hint="eastAsia" w:cs="Times New Roman"/>
                <w:color w:val="auto"/>
                <w:sz w:val="24"/>
                <w:szCs w:val="24"/>
                <w:highlight w:val="none"/>
                <w:lang w:val="en-US" w:eastAsia="zh-CN"/>
              </w:rPr>
              <w:t>本次搬迁对厂区按照《危险废物贮存污染控制标准》（GB 18597-2023）、《危险废物收集 贮存 运输技术规范》（HJ 2025-2012）</w:t>
            </w:r>
            <w:r>
              <w:rPr>
                <w:rFonts w:hint="default" w:ascii="Times New Roman" w:hAnsi="Times New Roman" w:eastAsia="宋体" w:cs="Times New Roman"/>
                <w:color w:val="auto"/>
                <w:sz w:val="24"/>
                <w:szCs w:val="24"/>
                <w:highlight w:val="none"/>
                <w:lang w:val="en-US" w:eastAsia="zh-CN"/>
              </w:rPr>
              <w:t>进行了防渗防腐</w:t>
            </w:r>
            <w:r>
              <w:rPr>
                <w:rFonts w:hint="eastAsia" w:cs="Times New Roman"/>
                <w:color w:val="auto"/>
                <w:sz w:val="24"/>
                <w:szCs w:val="24"/>
                <w:highlight w:val="none"/>
                <w:lang w:val="en-US" w:eastAsia="zh-CN"/>
              </w:rPr>
              <w:t>处理</w:t>
            </w:r>
            <w:r>
              <w:rPr>
                <w:rFonts w:hint="default" w:ascii="Times New Roman" w:hAnsi="Times New Roman" w:eastAsia="宋体" w:cs="Times New Roman"/>
                <w:color w:val="auto"/>
                <w:sz w:val="24"/>
                <w:szCs w:val="24"/>
                <w:highlight w:val="none"/>
                <w:lang w:val="en-US" w:eastAsia="zh-CN"/>
              </w:rPr>
              <w:t>。项目正常运营情况下，不存在污染土壤及地下水环境的途径，故不开展地下水、土壤环境质量现状调查。</w:t>
            </w:r>
          </w:p>
        </w:tc>
      </w:tr>
      <w:tr w14:paraId="3865CED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44" w:type="pct"/>
            <w:vAlign w:val="center"/>
          </w:tcPr>
          <w:p w14:paraId="6055463E">
            <w:pPr>
              <w:adjustRightInd w:val="0"/>
              <w:snapToGrid w:val="0"/>
              <w:jc w:val="center"/>
              <w:rPr>
                <w:color w:val="auto"/>
                <w:kern w:val="0"/>
                <w:sz w:val="24"/>
              </w:rPr>
            </w:pPr>
            <w:r>
              <w:rPr>
                <w:color w:val="auto"/>
                <w:kern w:val="0"/>
                <w:sz w:val="24"/>
              </w:rPr>
              <w:t>环境</w:t>
            </w:r>
          </w:p>
          <w:p w14:paraId="34D5B120">
            <w:pPr>
              <w:adjustRightInd w:val="0"/>
              <w:snapToGrid w:val="0"/>
              <w:jc w:val="center"/>
              <w:rPr>
                <w:color w:val="auto"/>
                <w:kern w:val="0"/>
                <w:sz w:val="24"/>
              </w:rPr>
            </w:pPr>
            <w:r>
              <w:rPr>
                <w:color w:val="auto"/>
                <w:kern w:val="0"/>
                <w:sz w:val="24"/>
              </w:rPr>
              <w:t>保护</w:t>
            </w:r>
          </w:p>
          <w:p w14:paraId="38D05F99">
            <w:pPr>
              <w:adjustRightInd w:val="0"/>
              <w:snapToGrid w:val="0"/>
              <w:jc w:val="center"/>
              <w:rPr>
                <w:color w:val="auto"/>
                <w:kern w:val="0"/>
                <w:sz w:val="24"/>
              </w:rPr>
            </w:pPr>
            <w:r>
              <w:rPr>
                <w:color w:val="auto"/>
                <w:kern w:val="0"/>
                <w:sz w:val="24"/>
              </w:rPr>
              <w:t>目标</w:t>
            </w:r>
          </w:p>
        </w:tc>
        <w:tc>
          <w:tcPr>
            <w:tcW w:w="4555" w:type="pct"/>
            <w:vAlign w:val="center"/>
          </w:tcPr>
          <w:p w14:paraId="6A7D950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项目周围无自然保护区、风景旅游点和文物古迹等需要特别保护的环境敏感对象。总体上不因本项目的实施而改变区域环境现有功能。</w:t>
            </w:r>
          </w:p>
          <w:p w14:paraId="3DA0050D">
            <w:pPr>
              <w:keepNext w:val="0"/>
              <w:keepLines w:val="0"/>
              <w:pageBreakBefore w:val="0"/>
              <w:widowControl w:val="0"/>
              <w:numPr>
                <w:ilvl w:val="0"/>
                <w:numId w:val="25"/>
              </w:numPr>
              <w:kinsoku/>
              <w:wordWrap/>
              <w:overflowPunct/>
              <w:topLinePunct w:val="0"/>
              <w:autoSpaceDE w:val="0"/>
              <w:autoSpaceDN w:val="0"/>
              <w:bidi w:val="0"/>
              <w:adjustRightInd w:val="0"/>
              <w:snapToGrid/>
              <w:spacing w:line="360" w:lineRule="auto"/>
              <w:ind w:left="3150" w:leftChars="0" w:hanging="3110" w:firstLineChars="0"/>
              <w:jc w:val="center"/>
              <w:textAlignment w:val="auto"/>
              <w:rPr>
                <w:rFonts w:hint="default" w:ascii="Times New Roman" w:hAnsi="Times New Roman" w:cs="Times New Roman"/>
                <w:b/>
                <w:bCs/>
                <w:color w:val="auto"/>
                <w:kern w:val="0"/>
                <w:sz w:val="24"/>
                <w:szCs w:val="24"/>
                <w:lang w:val="en-US" w:eastAsia="zh-CN" w:bidi="ar"/>
              </w:rPr>
            </w:pPr>
            <w:r>
              <w:rPr>
                <w:rFonts w:hint="default" w:ascii="Times New Roman" w:hAnsi="Times New Roman" w:cs="Times New Roman"/>
                <w:b/>
                <w:bCs/>
                <w:color w:val="auto"/>
                <w:kern w:val="0"/>
                <w:sz w:val="24"/>
                <w:szCs w:val="24"/>
                <w:lang w:val="en-US" w:eastAsia="zh-CN" w:bidi="ar"/>
              </w:rPr>
              <w:t>主要环境保护目标</w:t>
            </w:r>
          </w:p>
          <w:tbl>
            <w:tblPr>
              <w:tblStyle w:val="27"/>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7"/>
              <w:gridCol w:w="2022"/>
              <w:gridCol w:w="942"/>
              <w:gridCol w:w="1371"/>
              <w:gridCol w:w="2968"/>
            </w:tblGrid>
            <w:tr w14:paraId="404F2A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563" w:type="pct"/>
                  <w:noWrap w:val="0"/>
                  <w:vAlign w:val="center"/>
                </w:tcPr>
                <w:p w14:paraId="483F5E10">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cs="Times New Roman"/>
                      <w:b/>
                      <w:snapToGrid w:val="0"/>
                      <w:color w:val="auto"/>
                      <w:kern w:val="0"/>
                      <w:sz w:val="21"/>
                      <w:szCs w:val="21"/>
                      <w:highlight w:val="none"/>
                    </w:rPr>
                  </w:pPr>
                  <w:r>
                    <w:rPr>
                      <w:rFonts w:hint="default" w:ascii="Times New Roman" w:hAnsi="Times New Roman" w:cs="Times New Roman"/>
                      <w:b/>
                      <w:snapToGrid w:val="0"/>
                      <w:color w:val="auto"/>
                      <w:kern w:val="0"/>
                      <w:sz w:val="21"/>
                      <w:szCs w:val="21"/>
                      <w:highlight w:val="none"/>
                    </w:rPr>
                    <w:t>保护</w:t>
                  </w:r>
                </w:p>
                <w:p w14:paraId="0C009599">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cs="Times New Roman"/>
                      <w:b/>
                      <w:snapToGrid w:val="0"/>
                      <w:color w:val="auto"/>
                      <w:kern w:val="0"/>
                      <w:sz w:val="21"/>
                      <w:szCs w:val="21"/>
                      <w:highlight w:val="none"/>
                      <w:lang w:val="zh-CN"/>
                    </w:rPr>
                  </w:pPr>
                  <w:r>
                    <w:rPr>
                      <w:rFonts w:hint="default" w:ascii="Times New Roman" w:hAnsi="Times New Roman" w:cs="Times New Roman"/>
                      <w:b/>
                      <w:snapToGrid w:val="0"/>
                      <w:color w:val="auto"/>
                      <w:kern w:val="0"/>
                      <w:sz w:val="21"/>
                      <w:szCs w:val="21"/>
                      <w:highlight w:val="none"/>
                    </w:rPr>
                    <w:t>类别</w:t>
                  </w:r>
                </w:p>
              </w:tc>
              <w:tc>
                <w:tcPr>
                  <w:tcW w:w="1228" w:type="pct"/>
                  <w:noWrap w:val="0"/>
                  <w:vAlign w:val="center"/>
                </w:tcPr>
                <w:p w14:paraId="2266EE40">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cs="Times New Roman"/>
                      <w:b/>
                      <w:snapToGrid w:val="0"/>
                      <w:color w:val="auto"/>
                      <w:kern w:val="0"/>
                      <w:sz w:val="21"/>
                      <w:szCs w:val="21"/>
                      <w:highlight w:val="none"/>
                      <w:lang w:val="zh-CN"/>
                    </w:rPr>
                  </w:pPr>
                  <w:r>
                    <w:rPr>
                      <w:rFonts w:hint="default" w:ascii="Times New Roman" w:hAnsi="Times New Roman" w:cs="Times New Roman"/>
                      <w:b/>
                      <w:snapToGrid w:val="0"/>
                      <w:color w:val="auto"/>
                      <w:kern w:val="0"/>
                      <w:sz w:val="21"/>
                      <w:szCs w:val="21"/>
                      <w:highlight w:val="none"/>
                    </w:rPr>
                    <w:t>保护对象</w:t>
                  </w:r>
                </w:p>
              </w:tc>
              <w:tc>
                <w:tcPr>
                  <w:tcW w:w="572" w:type="pct"/>
                  <w:noWrap w:val="0"/>
                  <w:vAlign w:val="center"/>
                </w:tcPr>
                <w:p w14:paraId="4E0AC1C8">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cs="Times New Roman"/>
                      <w:b/>
                      <w:snapToGrid w:val="0"/>
                      <w:color w:val="auto"/>
                      <w:kern w:val="0"/>
                      <w:sz w:val="21"/>
                      <w:szCs w:val="21"/>
                      <w:highlight w:val="none"/>
                    </w:rPr>
                  </w:pPr>
                  <w:r>
                    <w:rPr>
                      <w:rFonts w:hint="default" w:ascii="Times New Roman" w:hAnsi="Times New Roman" w:cs="Times New Roman"/>
                      <w:b/>
                      <w:snapToGrid w:val="0"/>
                      <w:color w:val="auto"/>
                      <w:kern w:val="0"/>
                      <w:sz w:val="21"/>
                      <w:szCs w:val="21"/>
                      <w:highlight w:val="none"/>
                    </w:rPr>
                    <w:t>相对厂</w:t>
                  </w:r>
                </w:p>
                <w:p w14:paraId="2573C51A">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cs="Times New Roman"/>
                      <w:b/>
                      <w:snapToGrid w:val="0"/>
                      <w:color w:val="auto"/>
                      <w:kern w:val="0"/>
                      <w:sz w:val="21"/>
                      <w:szCs w:val="21"/>
                      <w:highlight w:val="none"/>
                      <w:lang w:val="zh-CN"/>
                    </w:rPr>
                  </w:pPr>
                  <w:r>
                    <w:rPr>
                      <w:rFonts w:hint="default" w:ascii="Times New Roman" w:hAnsi="Times New Roman" w:cs="Times New Roman"/>
                      <w:b/>
                      <w:snapToGrid w:val="0"/>
                      <w:color w:val="auto"/>
                      <w:kern w:val="0"/>
                      <w:sz w:val="21"/>
                      <w:szCs w:val="21"/>
                      <w:highlight w:val="none"/>
                    </w:rPr>
                    <w:t>址方位</w:t>
                  </w:r>
                </w:p>
              </w:tc>
              <w:tc>
                <w:tcPr>
                  <w:tcW w:w="832" w:type="pct"/>
                  <w:noWrap w:val="0"/>
                  <w:vAlign w:val="center"/>
                </w:tcPr>
                <w:p w14:paraId="2C4BF129">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cs="Times New Roman"/>
                      <w:b/>
                      <w:snapToGrid w:val="0"/>
                      <w:color w:val="auto"/>
                      <w:kern w:val="0"/>
                      <w:sz w:val="21"/>
                      <w:szCs w:val="21"/>
                      <w:highlight w:val="none"/>
                    </w:rPr>
                  </w:pPr>
                  <w:r>
                    <w:rPr>
                      <w:rFonts w:hint="default" w:ascii="Times New Roman" w:hAnsi="Times New Roman" w:cs="Times New Roman"/>
                      <w:b/>
                      <w:snapToGrid w:val="0"/>
                      <w:color w:val="auto"/>
                      <w:kern w:val="0"/>
                      <w:sz w:val="21"/>
                      <w:szCs w:val="21"/>
                      <w:highlight w:val="none"/>
                    </w:rPr>
                    <w:t>相对厂界</w:t>
                  </w:r>
                </w:p>
                <w:p w14:paraId="11F7F3C9">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cs="Times New Roman"/>
                      <w:b/>
                      <w:snapToGrid w:val="0"/>
                      <w:color w:val="auto"/>
                      <w:kern w:val="0"/>
                      <w:sz w:val="21"/>
                      <w:szCs w:val="21"/>
                      <w:highlight w:val="none"/>
                      <w:lang w:val="zh-CN"/>
                    </w:rPr>
                  </w:pPr>
                  <w:r>
                    <w:rPr>
                      <w:rFonts w:hint="default" w:ascii="Times New Roman" w:hAnsi="Times New Roman" w:cs="Times New Roman"/>
                      <w:b/>
                      <w:snapToGrid w:val="0"/>
                      <w:color w:val="auto"/>
                      <w:kern w:val="0"/>
                      <w:sz w:val="21"/>
                      <w:szCs w:val="21"/>
                      <w:highlight w:val="none"/>
                    </w:rPr>
                    <w:t>距离（m）</w:t>
                  </w:r>
                </w:p>
              </w:tc>
              <w:tc>
                <w:tcPr>
                  <w:tcW w:w="1803" w:type="pct"/>
                  <w:noWrap w:val="0"/>
                  <w:vAlign w:val="center"/>
                </w:tcPr>
                <w:p w14:paraId="6C1249E5">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cs="Times New Roman"/>
                      <w:b/>
                      <w:snapToGrid w:val="0"/>
                      <w:color w:val="auto"/>
                      <w:kern w:val="0"/>
                      <w:sz w:val="21"/>
                      <w:szCs w:val="21"/>
                      <w:highlight w:val="none"/>
                      <w:lang w:val="zh-CN"/>
                    </w:rPr>
                  </w:pPr>
                  <w:r>
                    <w:rPr>
                      <w:rFonts w:hint="default" w:ascii="Times New Roman" w:hAnsi="Times New Roman" w:cs="Times New Roman"/>
                      <w:b/>
                      <w:snapToGrid w:val="0"/>
                      <w:color w:val="auto"/>
                      <w:kern w:val="0"/>
                      <w:sz w:val="21"/>
                      <w:szCs w:val="21"/>
                      <w:highlight w:val="none"/>
                    </w:rPr>
                    <w:t>环境功能区</w:t>
                  </w:r>
                </w:p>
              </w:tc>
            </w:tr>
            <w:tr w14:paraId="2DE438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63" w:type="pct"/>
                  <w:vMerge w:val="restart"/>
                  <w:noWrap w:val="0"/>
                  <w:vAlign w:val="center"/>
                </w:tcPr>
                <w:p w14:paraId="77D86E3D">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cs="Times New Roman"/>
                      <w:bCs/>
                      <w:snapToGrid w:val="0"/>
                      <w:color w:val="auto"/>
                      <w:kern w:val="0"/>
                      <w:sz w:val="21"/>
                      <w:szCs w:val="21"/>
                      <w:highlight w:val="none"/>
                      <w:lang w:val="zh-CN"/>
                    </w:rPr>
                  </w:pPr>
                  <w:r>
                    <w:rPr>
                      <w:rFonts w:hint="default" w:ascii="Times New Roman" w:hAnsi="Times New Roman" w:cs="Times New Roman"/>
                      <w:bCs/>
                      <w:snapToGrid w:val="0"/>
                      <w:color w:val="auto"/>
                      <w:kern w:val="0"/>
                      <w:sz w:val="21"/>
                      <w:szCs w:val="21"/>
                      <w:highlight w:val="none"/>
                      <w:lang w:val="zh-CN"/>
                    </w:rPr>
                    <w:t>大气</w:t>
                  </w:r>
                </w:p>
                <w:p w14:paraId="0EB0BE22">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cs="Times New Roman"/>
                      <w:bCs/>
                      <w:snapToGrid w:val="0"/>
                      <w:color w:val="auto"/>
                      <w:kern w:val="0"/>
                      <w:sz w:val="21"/>
                      <w:szCs w:val="21"/>
                      <w:highlight w:val="none"/>
                      <w:lang w:val="zh-CN"/>
                    </w:rPr>
                  </w:pPr>
                  <w:r>
                    <w:rPr>
                      <w:rFonts w:hint="default" w:ascii="Times New Roman" w:hAnsi="Times New Roman" w:cs="Times New Roman"/>
                      <w:bCs/>
                      <w:snapToGrid w:val="0"/>
                      <w:color w:val="auto"/>
                      <w:kern w:val="0"/>
                      <w:sz w:val="21"/>
                      <w:szCs w:val="21"/>
                      <w:highlight w:val="none"/>
                      <w:lang w:val="zh-CN"/>
                    </w:rPr>
                    <w:t>环境</w:t>
                  </w:r>
                </w:p>
              </w:tc>
              <w:tc>
                <w:tcPr>
                  <w:tcW w:w="1228" w:type="pct"/>
                  <w:noWrap w:val="0"/>
                  <w:vAlign w:val="center"/>
                </w:tcPr>
                <w:p w14:paraId="4536297D">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bCs/>
                      <w:snapToGrid w:val="0"/>
                      <w:color w:val="auto"/>
                      <w:kern w:val="0"/>
                      <w:sz w:val="21"/>
                      <w:szCs w:val="21"/>
                      <w:highlight w:val="none"/>
                      <w:lang w:val="en-US" w:eastAsia="zh-CN"/>
                    </w:rPr>
                  </w:pPr>
                  <w:r>
                    <w:rPr>
                      <w:rFonts w:hint="eastAsia" w:cs="Times New Roman"/>
                      <w:bCs/>
                      <w:snapToGrid w:val="0"/>
                      <w:color w:val="auto"/>
                      <w:kern w:val="0"/>
                      <w:sz w:val="21"/>
                      <w:szCs w:val="21"/>
                      <w:highlight w:val="none"/>
                      <w:lang w:val="en-US" w:eastAsia="zh-CN"/>
                    </w:rPr>
                    <w:t>东官庄</w:t>
                  </w:r>
                </w:p>
              </w:tc>
              <w:tc>
                <w:tcPr>
                  <w:tcW w:w="572" w:type="pct"/>
                  <w:noWrap w:val="0"/>
                  <w:vAlign w:val="center"/>
                </w:tcPr>
                <w:p w14:paraId="510A8F95">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bCs/>
                      <w:snapToGrid w:val="0"/>
                      <w:color w:val="auto"/>
                      <w:kern w:val="0"/>
                      <w:sz w:val="21"/>
                      <w:szCs w:val="21"/>
                      <w:highlight w:val="none"/>
                      <w:lang w:val="en-US" w:eastAsia="zh-CN"/>
                    </w:rPr>
                  </w:pPr>
                  <w:r>
                    <w:rPr>
                      <w:rFonts w:hint="eastAsia" w:cs="Times New Roman"/>
                      <w:bCs/>
                      <w:snapToGrid w:val="0"/>
                      <w:color w:val="auto"/>
                      <w:kern w:val="0"/>
                      <w:sz w:val="21"/>
                      <w:szCs w:val="21"/>
                      <w:highlight w:val="none"/>
                      <w:lang w:val="en-US" w:eastAsia="zh-CN"/>
                    </w:rPr>
                    <w:t>NW</w:t>
                  </w:r>
                </w:p>
              </w:tc>
              <w:tc>
                <w:tcPr>
                  <w:tcW w:w="832" w:type="pct"/>
                  <w:noWrap w:val="0"/>
                  <w:vAlign w:val="center"/>
                </w:tcPr>
                <w:p w14:paraId="3F9C6F6F">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bCs/>
                      <w:snapToGrid w:val="0"/>
                      <w:color w:val="auto"/>
                      <w:kern w:val="0"/>
                      <w:sz w:val="21"/>
                      <w:szCs w:val="21"/>
                      <w:highlight w:val="none"/>
                      <w:lang w:val="en-US" w:eastAsia="zh-CN"/>
                    </w:rPr>
                  </w:pPr>
                  <w:r>
                    <w:rPr>
                      <w:rFonts w:hint="eastAsia" w:cs="Times New Roman"/>
                      <w:bCs/>
                      <w:snapToGrid w:val="0"/>
                      <w:color w:val="auto"/>
                      <w:kern w:val="0"/>
                      <w:sz w:val="21"/>
                      <w:szCs w:val="21"/>
                      <w:highlight w:val="none"/>
                      <w:lang w:val="en-US" w:eastAsia="zh-CN"/>
                    </w:rPr>
                    <w:t>320</w:t>
                  </w:r>
                </w:p>
              </w:tc>
              <w:tc>
                <w:tcPr>
                  <w:tcW w:w="1803" w:type="pct"/>
                  <w:vMerge w:val="restart"/>
                  <w:noWrap w:val="0"/>
                  <w:vAlign w:val="center"/>
                </w:tcPr>
                <w:p w14:paraId="3DB93C3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《环境空气质量标准》</w:t>
                  </w:r>
                </w:p>
                <w:p w14:paraId="15F6C8D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（GB3095-</w:t>
                  </w:r>
                  <w:r>
                    <w:rPr>
                      <w:rFonts w:hint="eastAsia" w:cs="Times New Roman"/>
                      <w:color w:val="auto"/>
                      <w:sz w:val="21"/>
                      <w:szCs w:val="21"/>
                      <w:highlight w:val="none"/>
                      <w:lang w:val="en-US" w:eastAsia="zh-CN"/>
                    </w:rPr>
                    <w:t>2026</w:t>
                  </w:r>
                  <w:r>
                    <w:rPr>
                      <w:rFonts w:hint="default" w:ascii="Times New Roman" w:hAnsi="Times New Roman" w:cs="Times New Roman"/>
                      <w:color w:val="auto"/>
                      <w:sz w:val="21"/>
                      <w:szCs w:val="21"/>
                      <w:highlight w:val="none"/>
                    </w:rPr>
                    <w:t>）</w:t>
                  </w:r>
                </w:p>
                <w:p w14:paraId="26875C7D">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cs="Times New Roman"/>
                      <w:bCs/>
                      <w:snapToGrid w:val="0"/>
                      <w:color w:val="auto"/>
                      <w:kern w:val="0"/>
                      <w:sz w:val="21"/>
                      <w:szCs w:val="21"/>
                      <w:highlight w:val="none"/>
                      <w:lang w:val="zh-CN"/>
                    </w:rPr>
                  </w:pPr>
                  <w:r>
                    <w:rPr>
                      <w:rFonts w:hint="eastAsia" w:cs="Times New Roman"/>
                      <w:color w:val="auto"/>
                      <w:sz w:val="21"/>
                      <w:szCs w:val="21"/>
                      <w:highlight w:val="none"/>
                      <w:lang w:val="en-US" w:eastAsia="zh-CN"/>
                    </w:rPr>
                    <w:t>过渡阶段浓度限值中</w:t>
                  </w:r>
                  <w:r>
                    <w:rPr>
                      <w:rFonts w:hint="default" w:ascii="Times New Roman" w:hAnsi="Times New Roman" w:cs="Times New Roman"/>
                      <w:color w:val="auto"/>
                      <w:sz w:val="21"/>
                      <w:szCs w:val="21"/>
                      <w:highlight w:val="none"/>
                    </w:rPr>
                    <w:t>二级标准</w:t>
                  </w:r>
                </w:p>
              </w:tc>
            </w:tr>
            <w:tr w14:paraId="4BAC2A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63" w:type="pct"/>
                  <w:vMerge w:val="continue"/>
                  <w:noWrap w:val="0"/>
                  <w:vAlign w:val="center"/>
                </w:tcPr>
                <w:p w14:paraId="53E6036D">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cs="Times New Roman"/>
                      <w:bCs/>
                      <w:snapToGrid w:val="0"/>
                      <w:color w:val="auto"/>
                      <w:kern w:val="0"/>
                      <w:sz w:val="21"/>
                      <w:szCs w:val="21"/>
                      <w:highlight w:val="none"/>
                      <w:lang w:val="zh-CN"/>
                    </w:rPr>
                  </w:pPr>
                </w:p>
              </w:tc>
              <w:tc>
                <w:tcPr>
                  <w:tcW w:w="1228" w:type="pct"/>
                  <w:noWrap w:val="0"/>
                  <w:vAlign w:val="center"/>
                </w:tcPr>
                <w:p w14:paraId="55B8A02C">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eastAsia="宋体"/>
                      <w:color w:val="auto"/>
                      <w:lang w:val="en-US" w:eastAsia="zh-CN"/>
                    </w:rPr>
                  </w:pPr>
                  <w:r>
                    <w:rPr>
                      <w:rFonts w:hint="eastAsia"/>
                      <w:color w:val="auto"/>
                      <w:lang w:val="en-US" w:eastAsia="zh-CN"/>
                    </w:rPr>
                    <w:t>北韩村</w:t>
                  </w:r>
                </w:p>
              </w:tc>
              <w:tc>
                <w:tcPr>
                  <w:tcW w:w="572" w:type="pct"/>
                  <w:noWrap w:val="0"/>
                  <w:vAlign w:val="center"/>
                </w:tcPr>
                <w:p w14:paraId="6548A84E">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bCs/>
                      <w:snapToGrid w:val="0"/>
                      <w:color w:val="auto"/>
                      <w:kern w:val="0"/>
                      <w:sz w:val="21"/>
                      <w:szCs w:val="21"/>
                      <w:highlight w:val="none"/>
                      <w:lang w:val="en-US" w:eastAsia="zh-CN"/>
                    </w:rPr>
                  </w:pPr>
                  <w:r>
                    <w:rPr>
                      <w:rFonts w:hint="eastAsia" w:cs="Times New Roman"/>
                      <w:bCs/>
                      <w:snapToGrid w:val="0"/>
                      <w:color w:val="auto"/>
                      <w:kern w:val="0"/>
                      <w:sz w:val="21"/>
                      <w:szCs w:val="21"/>
                      <w:highlight w:val="none"/>
                      <w:lang w:val="en-US" w:eastAsia="zh-CN"/>
                    </w:rPr>
                    <w:t>E</w:t>
                  </w:r>
                </w:p>
              </w:tc>
              <w:tc>
                <w:tcPr>
                  <w:tcW w:w="832" w:type="pct"/>
                  <w:noWrap w:val="0"/>
                  <w:vAlign w:val="center"/>
                </w:tcPr>
                <w:p w14:paraId="2698AA65">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cs="Times New Roman"/>
                      <w:bCs/>
                      <w:snapToGrid w:val="0"/>
                      <w:color w:val="auto"/>
                      <w:kern w:val="0"/>
                      <w:sz w:val="21"/>
                      <w:szCs w:val="21"/>
                      <w:highlight w:val="none"/>
                      <w:lang w:val="en-US" w:eastAsia="zh-CN"/>
                    </w:rPr>
                  </w:pPr>
                  <w:r>
                    <w:rPr>
                      <w:rFonts w:hint="eastAsia" w:cs="Times New Roman"/>
                      <w:bCs/>
                      <w:snapToGrid w:val="0"/>
                      <w:color w:val="auto"/>
                      <w:kern w:val="0"/>
                      <w:sz w:val="21"/>
                      <w:szCs w:val="21"/>
                      <w:highlight w:val="none"/>
                      <w:lang w:val="en-US" w:eastAsia="zh-CN"/>
                    </w:rPr>
                    <w:t>320</w:t>
                  </w:r>
                </w:p>
              </w:tc>
              <w:tc>
                <w:tcPr>
                  <w:tcW w:w="1803" w:type="pct"/>
                  <w:vMerge w:val="continue"/>
                  <w:noWrap w:val="0"/>
                  <w:vAlign w:val="center"/>
                </w:tcPr>
                <w:p w14:paraId="4862F28A">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cs="Times New Roman"/>
                      <w:bCs/>
                      <w:snapToGrid w:val="0"/>
                      <w:color w:val="auto"/>
                      <w:kern w:val="0"/>
                      <w:sz w:val="21"/>
                      <w:szCs w:val="21"/>
                      <w:highlight w:val="none"/>
                      <w:lang w:val="zh-CN"/>
                    </w:rPr>
                  </w:pPr>
                </w:p>
              </w:tc>
            </w:tr>
            <w:tr w14:paraId="0CCC27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63" w:type="pct"/>
                  <w:vMerge w:val="continue"/>
                  <w:noWrap w:val="0"/>
                  <w:vAlign w:val="center"/>
                </w:tcPr>
                <w:p w14:paraId="2D6E565A">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cs="Times New Roman"/>
                      <w:bCs/>
                      <w:snapToGrid w:val="0"/>
                      <w:color w:val="auto"/>
                      <w:kern w:val="0"/>
                      <w:sz w:val="21"/>
                      <w:szCs w:val="21"/>
                      <w:highlight w:val="none"/>
                      <w:lang w:val="zh-CN"/>
                    </w:rPr>
                  </w:pPr>
                </w:p>
              </w:tc>
              <w:tc>
                <w:tcPr>
                  <w:tcW w:w="1228" w:type="pct"/>
                  <w:noWrap w:val="0"/>
                  <w:vAlign w:val="center"/>
                </w:tcPr>
                <w:p w14:paraId="1BF41DC3">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color w:val="auto"/>
                      <w:lang w:val="en-US" w:eastAsia="zh-CN"/>
                    </w:rPr>
                  </w:pPr>
                  <w:r>
                    <w:rPr>
                      <w:rFonts w:hint="eastAsia"/>
                      <w:color w:val="auto"/>
                      <w:lang w:val="en-US" w:eastAsia="zh-CN"/>
                    </w:rPr>
                    <w:t>罗村镇南韩学校</w:t>
                  </w:r>
                </w:p>
              </w:tc>
              <w:tc>
                <w:tcPr>
                  <w:tcW w:w="572" w:type="pct"/>
                  <w:noWrap w:val="0"/>
                  <w:vAlign w:val="center"/>
                </w:tcPr>
                <w:p w14:paraId="7922BA48">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cs="Times New Roman"/>
                      <w:bCs/>
                      <w:snapToGrid w:val="0"/>
                      <w:color w:val="auto"/>
                      <w:kern w:val="0"/>
                      <w:sz w:val="21"/>
                      <w:szCs w:val="21"/>
                      <w:highlight w:val="none"/>
                      <w:lang w:val="en-US" w:eastAsia="zh-CN"/>
                    </w:rPr>
                  </w:pPr>
                  <w:r>
                    <w:rPr>
                      <w:rFonts w:hint="eastAsia" w:cs="Times New Roman"/>
                      <w:bCs/>
                      <w:snapToGrid w:val="0"/>
                      <w:color w:val="auto"/>
                      <w:kern w:val="0"/>
                      <w:sz w:val="21"/>
                      <w:szCs w:val="21"/>
                      <w:highlight w:val="none"/>
                      <w:lang w:val="en-US" w:eastAsia="zh-CN"/>
                    </w:rPr>
                    <w:t>SE</w:t>
                  </w:r>
                </w:p>
              </w:tc>
              <w:tc>
                <w:tcPr>
                  <w:tcW w:w="832" w:type="pct"/>
                  <w:noWrap w:val="0"/>
                  <w:vAlign w:val="center"/>
                </w:tcPr>
                <w:p w14:paraId="46C3F6AE">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cs="Times New Roman"/>
                      <w:bCs/>
                      <w:snapToGrid w:val="0"/>
                      <w:color w:val="auto"/>
                      <w:kern w:val="0"/>
                      <w:sz w:val="21"/>
                      <w:szCs w:val="21"/>
                      <w:highlight w:val="none"/>
                      <w:lang w:val="en-US" w:eastAsia="zh-CN"/>
                    </w:rPr>
                  </w:pPr>
                  <w:r>
                    <w:rPr>
                      <w:rFonts w:hint="eastAsia" w:cs="Times New Roman"/>
                      <w:bCs/>
                      <w:snapToGrid w:val="0"/>
                      <w:color w:val="auto"/>
                      <w:kern w:val="0"/>
                      <w:sz w:val="21"/>
                      <w:szCs w:val="21"/>
                      <w:highlight w:val="none"/>
                      <w:lang w:val="en-US" w:eastAsia="zh-CN"/>
                    </w:rPr>
                    <w:t>310</w:t>
                  </w:r>
                </w:p>
              </w:tc>
              <w:tc>
                <w:tcPr>
                  <w:tcW w:w="1803" w:type="pct"/>
                  <w:vMerge w:val="continue"/>
                  <w:noWrap w:val="0"/>
                  <w:vAlign w:val="center"/>
                </w:tcPr>
                <w:p w14:paraId="6684BDF6">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cs="Times New Roman"/>
                      <w:bCs/>
                      <w:snapToGrid w:val="0"/>
                      <w:color w:val="auto"/>
                      <w:kern w:val="0"/>
                      <w:sz w:val="21"/>
                      <w:szCs w:val="21"/>
                      <w:highlight w:val="none"/>
                      <w:lang w:val="zh-CN"/>
                    </w:rPr>
                  </w:pPr>
                </w:p>
              </w:tc>
            </w:tr>
            <w:tr w14:paraId="3911F9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63" w:type="pct"/>
                  <w:vMerge w:val="continue"/>
                  <w:noWrap w:val="0"/>
                  <w:vAlign w:val="center"/>
                </w:tcPr>
                <w:p w14:paraId="2CE549BC">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cs="Times New Roman"/>
                      <w:bCs/>
                      <w:snapToGrid w:val="0"/>
                      <w:color w:val="auto"/>
                      <w:kern w:val="0"/>
                      <w:sz w:val="21"/>
                      <w:szCs w:val="21"/>
                      <w:highlight w:val="none"/>
                      <w:lang w:val="zh-CN"/>
                    </w:rPr>
                  </w:pPr>
                </w:p>
              </w:tc>
              <w:tc>
                <w:tcPr>
                  <w:tcW w:w="1228" w:type="pct"/>
                  <w:noWrap w:val="0"/>
                  <w:vAlign w:val="center"/>
                </w:tcPr>
                <w:p w14:paraId="03503851">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color w:val="auto"/>
                      <w:lang w:val="en-US" w:eastAsia="zh-CN"/>
                    </w:rPr>
                  </w:pPr>
                  <w:r>
                    <w:rPr>
                      <w:rFonts w:hint="eastAsia"/>
                      <w:color w:val="auto"/>
                      <w:lang w:val="en-US" w:eastAsia="zh-CN"/>
                    </w:rPr>
                    <w:t>南韩村</w:t>
                  </w:r>
                </w:p>
              </w:tc>
              <w:tc>
                <w:tcPr>
                  <w:tcW w:w="572" w:type="pct"/>
                  <w:noWrap w:val="0"/>
                  <w:vAlign w:val="center"/>
                </w:tcPr>
                <w:p w14:paraId="5F1168DF">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cs="Times New Roman"/>
                      <w:bCs/>
                      <w:snapToGrid w:val="0"/>
                      <w:color w:val="auto"/>
                      <w:kern w:val="0"/>
                      <w:sz w:val="21"/>
                      <w:szCs w:val="21"/>
                      <w:highlight w:val="none"/>
                      <w:lang w:val="en-US" w:eastAsia="zh-CN"/>
                    </w:rPr>
                  </w:pPr>
                  <w:r>
                    <w:rPr>
                      <w:rFonts w:hint="eastAsia" w:cs="Times New Roman"/>
                      <w:bCs/>
                      <w:snapToGrid w:val="0"/>
                      <w:color w:val="auto"/>
                      <w:kern w:val="0"/>
                      <w:sz w:val="21"/>
                      <w:szCs w:val="21"/>
                      <w:highlight w:val="none"/>
                      <w:lang w:val="en-US" w:eastAsia="zh-CN"/>
                    </w:rPr>
                    <w:t>SE</w:t>
                  </w:r>
                </w:p>
              </w:tc>
              <w:tc>
                <w:tcPr>
                  <w:tcW w:w="832" w:type="pct"/>
                  <w:noWrap w:val="0"/>
                  <w:vAlign w:val="center"/>
                </w:tcPr>
                <w:p w14:paraId="2584AA21">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cs="Times New Roman"/>
                      <w:bCs/>
                      <w:snapToGrid w:val="0"/>
                      <w:color w:val="auto"/>
                      <w:kern w:val="0"/>
                      <w:sz w:val="21"/>
                      <w:szCs w:val="21"/>
                      <w:highlight w:val="none"/>
                      <w:lang w:val="en-US" w:eastAsia="zh-CN"/>
                    </w:rPr>
                  </w:pPr>
                  <w:r>
                    <w:rPr>
                      <w:rFonts w:hint="eastAsia" w:cs="Times New Roman"/>
                      <w:bCs/>
                      <w:snapToGrid w:val="0"/>
                      <w:color w:val="auto"/>
                      <w:kern w:val="0"/>
                      <w:sz w:val="21"/>
                      <w:szCs w:val="21"/>
                      <w:highlight w:val="none"/>
                      <w:lang w:val="en-US" w:eastAsia="zh-CN"/>
                    </w:rPr>
                    <w:t>460</w:t>
                  </w:r>
                </w:p>
              </w:tc>
              <w:tc>
                <w:tcPr>
                  <w:tcW w:w="1803" w:type="pct"/>
                  <w:vMerge w:val="continue"/>
                  <w:noWrap w:val="0"/>
                  <w:vAlign w:val="center"/>
                </w:tcPr>
                <w:p w14:paraId="2F894E48">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cs="Times New Roman"/>
                      <w:bCs/>
                      <w:snapToGrid w:val="0"/>
                      <w:color w:val="auto"/>
                      <w:kern w:val="0"/>
                      <w:sz w:val="21"/>
                      <w:szCs w:val="21"/>
                      <w:highlight w:val="none"/>
                      <w:lang w:val="zh-CN"/>
                    </w:rPr>
                  </w:pPr>
                </w:p>
              </w:tc>
            </w:tr>
            <w:tr w14:paraId="20C73B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63" w:type="pct"/>
                  <w:noWrap w:val="0"/>
                  <w:vAlign w:val="center"/>
                </w:tcPr>
                <w:p w14:paraId="496E6C66">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cs="Times New Roman"/>
                      <w:bCs/>
                      <w:snapToGrid w:val="0"/>
                      <w:color w:val="auto"/>
                      <w:kern w:val="0"/>
                      <w:sz w:val="21"/>
                      <w:szCs w:val="21"/>
                      <w:highlight w:val="none"/>
                      <w:lang w:val="zh-CN"/>
                    </w:rPr>
                  </w:pPr>
                  <w:r>
                    <w:rPr>
                      <w:rFonts w:hint="default" w:ascii="Times New Roman" w:hAnsi="Times New Roman" w:cs="Times New Roman"/>
                      <w:bCs/>
                      <w:snapToGrid w:val="0"/>
                      <w:color w:val="auto"/>
                      <w:kern w:val="0"/>
                      <w:sz w:val="21"/>
                      <w:szCs w:val="21"/>
                      <w:highlight w:val="none"/>
                      <w:lang w:val="zh-CN"/>
                    </w:rPr>
                    <w:t>声环境</w:t>
                  </w:r>
                </w:p>
              </w:tc>
              <w:tc>
                <w:tcPr>
                  <w:tcW w:w="2633" w:type="pct"/>
                  <w:gridSpan w:val="3"/>
                  <w:noWrap w:val="0"/>
                  <w:vAlign w:val="center"/>
                </w:tcPr>
                <w:p w14:paraId="2BE5B5C0">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cs="Times New Roman"/>
                      <w:bCs/>
                      <w:snapToGrid w:val="0"/>
                      <w:color w:val="auto"/>
                      <w:kern w:val="0"/>
                      <w:sz w:val="21"/>
                      <w:szCs w:val="21"/>
                      <w:highlight w:val="none"/>
                    </w:rPr>
                  </w:pPr>
                  <w:r>
                    <w:rPr>
                      <w:rFonts w:hint="default" w:ascii="Times New Roman" w:hAnsi="Times New Roman" w:eastAsia="宋体" w:cs="Times New Roman"/>
                      <w:bCs/>
                      <w:snapToGrid w:val="0"/>
                      <w:color w:val="auto"/>
                      <w:kern w:val="0"/>
                      <w:sz w:val="21"/>
                      <w:szCs w:val="21"/>
                      <w:highlight w:val="none"/>
                      <w:lang w:val="en-US" w:eastAsia="zh-CN"/>
                    </w:rPr>
                    <w:t>厂界外50米范围内无声环境保护目标</w:t>
                  </w:r>
                </w:p>
              </w:tc>
              <w:tc>
                <w:tcPr>
                  <w:tcW w:w="1803" w:type="pct"/>
                  <w:noWrap w:val="0"/>
                  <w:vAlign w:val="center"/>
                </w:tcPr>
                <w:p w14:paraId="278FE8A5">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cs="Times New Roman"/>
                      <w:bCs/>
                      <w:snapToGrid w:val="0"/>
                      <w:color w:val="auto"/>
                      <w:kern w:val="0"/>
                      <w:sz w:val="21"/>
                      <w:szCs w:val="21"/>
                      <w:highlight w:val="none"/>
                      <w:lang w:val="zh-CN"/>
                    </w:rPr>
                  </w:pPr>
                  <w:r>
                    <w:rPr>
                      <w:rFonts w:hint="default" w:ascii="Times New Roman" w:hAnsi="Times New Roman" w:cs="Times New Roman"/>
                      <w:bCs/>
                      <w:snapToGrid w:val="0"/>
                      <w:color w:val="auto"/>
                      <w:kern w:val="0"/>
                      <w:sz w:val="21"/>
                      <w:szCs w:val="21"/>
                      <w:highlight w:val="none"/>
                      <w:lang w:val="zh-CN"/>
                    </w:rPr>
                    <w:t>《声环境质量标准》</w:t>
                  </w:r>
                </w:p>
                <w:p w14:paraId="54C4A833">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cs="Times New Roman"/>
                      <w:bCs/>
                      <w:snapToGrid w:val="0"/>
                      <w:color w:val="auto"/>
                      <w:kern w:val="0"/>
                      <w:sz w:val="21"/>
                      <w:szCs w:val="21"/>
                      <w:highlight w:val="none"/>
                      <w:lang w:val="zh-CN"/>
                    </w:rPr>
                  </w:pPr>
                  <w:r>
                    <w:rPr>
                      <w:rFonts w:hint="default" w:ascii="Times New Roman" w:hAnsi="Times New Roman" w:cs="Times New Roman"/>
                      <w:bCs/>
                      <w:snapToGrid w:val="0"/>
                      <w:color w:val="auto"/>
                      <w:kern w:val="0"/>
                      <w:sz w:val="21"/>
                      <w:szCs w:val="21"/>
                      <w:highlight w:val="none"/>
                      <w:lang w:val="zh-CN"/>
                    </w:rPr>
                    <w:t>（GB3096-2008）的</w:t>
                  </w:r>
                  <w:r>
                    <w:rPr>
                      <w:rFonts w:hint="eastAsia" w:cs="Times New Roman"/>
                      <w:bCs/>
                      <w:snapToGrid w:val="0"/>
                      <w:color w:val="auto"/>
                      <w:kern w:val="0"/>
                      <w:sz w:val="21"/>
                      <w:szCs w:val="21"/>
                      <w:highlight w:val="none"/>
                      <w:lang w:val="en-US" w:eastAsia="zh-CN"/>
                    </w:rPr>
                    <w:t>2</w:t>
                  </w:r>
                  <w:r>
                    <w:rPr>
                      <w:rFonts w:hint="default" w:ascii="Times New Roman" w:hAnsi="Times New Roman" w:cs="Times New Roman"/>
                      <w:bCs/>
                      <w:snapToGrid w:val="0"/>
                      <w:color w:val="auto"/>
                      <w:kern w:val="0"/>
                      <w:sz w:val="21"/>
                      <w:szCs w:val="21"/>
                      <w:highlight w:val="none"/>
                      <w:lang w:val="zh-CN"/>
                    </w:rPr>
                    <w:t>类</w:t>
                  </w:r>
                </w:p>
                <w:p w14:paraId="2280E917">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cs="Times New Roman"/>
                      <w:bCs/>
                      <w:snapToGrid w:val="0"/>
                      <w:color w:val="auto"/>
                      <w:kern w:val="0"/>
                      <w:sz w:val="21"/>
                      <w:szCs w:val="21"/>
                      <w:highlight w:val="none"/>
                      <w:lang w:val="zh-CN"/>
                    </w:rPr>
                  </w:pPr>
                  <w:r>
                    <w:rPr>
                      <w:rFonts w:hint="default" w:ascii="Times New Roman" w:hAnsi="Times New Roman" w:cs="Times New Roman"/>
                      <w:bCs/>
                      <w:snapToGrid w:val="0"/>
                      <w:color w:val="auto"/>
                      <w:kern w:val="0"/>
                      <w:sz w:val="21"/>
                      <w:szCs w:val="21"/>
                      <w:highlight w:val="none"/>
                      <w:lang w:val="zh-CN"/>
                    </w:rPr>
                    <w:t>声环境功能区要求</w:t>
                  </w:r>
                </w:p>
              </w:tc>
            </w:tr>
            <w:tr w14:paraId="2B4206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63" w:type="pct"/>
                  <w:noWrap w:val="0"/>
                  <w:vAlign w:val="center"/>
                </w:tcPr>
                <w:p w14:paraId="47953B95">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cs="Times New Roman"/>
                      <w:bCs/>
                      <w:snapToGrid w:val="0"/>
                      <w:color w:val="auto"/>
                      <w:kern w:val="0"/>
                      <w:sz w:val="21"/>
                      <w:szCs w:val="21"/>
                      <w:highlight w:val="none"/>
                      <w:lang w:val="zh-CN"/>
                    </w:rPr>
                  </w:pPr>
                  <w:r>
                    <w:rPr>
                      <w:rFonts w:hint="default" w:ascii="Times New Roman" w:hAnsi="Times New Roman" w:cs="Times New Roman"/>
                      <w:bCs/>
                      <w:snapToGrid w:val="0"/>
                      <w:color w:val="auto"/>
                      <w:kern w:val="0"/>
                      <w:sz w:val="21"/>
                      <w:szCs w:val="21"/>
                      <w:highlight w:val="none"/>
                      <w:lang w:val="zh-CN"/>
                    </w:rPr>
                    <w:t>地下水</w:t>
                  </w:r>
                </w:p>
                <w:p w14:paraId="3CA0DE6B">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cs="Times New Roman"/>
                      <w:bCs/>
                      <w:snapToGrid w:val="0"/>
                      <w:color w:val="auto"/>
                      <w:kern w:val="0"/>
                      <w:sz w:val="21"/>
                      <w:szCs w:val="21"/>
                      <w:highlight w:val="none"/>
                      <w:lang w:val="zh-CN"/>
                    </w:rPr>
                  </w:pPr>
                  <w:r>
                    <w:rPr>
                      <w:rFonts w:hint="default" w:ascii="Times New Roman" w:hAnsi="Times New Roman" w:cs="Times New Roman"/>
                      <w:bCs/>
                      <w:snapToGrid w:val="0"/>
                      <w:color w:val="auto"/>
                      <w:kern w:val="0"/>
                      <w:sz w:val="21"/>
                      <w:szCs w:val="21"/>
                      <w:highlight w:val="none"/>
                      <w:lang w:val="zh-CN"/>
                    </w:rPr>
                    <w:t>环境</w:t>
                  </w:r>
                </w:p>
              </w:tc>
              <w:tc>
                <w:tcPr>
                  <w:tcW w:w="2633" w:type="pct"/>
                  <w:gridSpan w:val="3"/>
                  <w:noWrap w:val="0"/>
                  <w:vAlign w:val="center"/>
                </w:tcPr>
                <w:p w14:paraId="044F8E2F">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cs="Times New Roman"/>
                      <w:bCs/>
                      <w:snapToGrid w:val="0"/>
                      <w:color w:val="auto"/>
                      <w:kern w:val="0"/>
                      <w:sz w:val="21"/>
                      <w:szCs w:val="21"/>
                      <w:highlight w:val="none"/>
                      <w:lang w:val="zh-CN"/>
                    </w:rPr>
                  </w:pPr>
                  <w:r>
                    <w:rPr>
                      <w:rFonts w:hint="default" w:ascii="Times New Roman" w:hAnsi="Times New Roman" w:cs="Times New Roman"/>
                      <w:bCs/>
                      <w:snapToGrid w:val="0"/>
                      <w:color w:val="auto"/>
                      <w:kern w:val="0"/>
                      <w:sz w:val="21"/>
                      <w:szCs w:val="21"/>
                      <w:highlight w:val="none"/>
                      <w:lang w:val="zh-CN"/>
                    </w:rPr>
                    <w:t>厂界外500米范围内无地下水集中式饮用水源和热水、矿泉水、温泉等特殊地下水资源</w:t>
                  </w:r>
                </w:p>
              </w:tc>
              <w:tc>
                <w:tcPr>
                  <w:tcW w:w="1803" w:type="pct"/>
                  <w:noWrap w:val="0"/>
                  <w:vAlign w:val="center"/>
                </w:tcPr>
                <w:p w14:paraId="1ACD09DE">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cs="Times New Roman"/>
                      <w:bCs/>
                      <w:snapToGrid w:val="0"/>
                      <w:color w:val="auto"/>
                      <w:kern w:val="0"/>
                      <w:sz w:val="21"/>
                      <w:szCs w:val="21"/>
                      <w:highlight w:val="none"/>
                      <w:lang w:val="zh-CN"/>
                    </w:rPr>
                  </w:pPr>
                  <w:r>
                    <w:rPr>
                      <w:rFonts w:hint="default" w:ascii="Times New Roman" w:hAnsi="Times New Roman" w:cs="Times New Roman"/>
                      <w:bCs/>
                      <w:snapToGrid w:val="0"/>
                      <w:color w:val="auto"/>
                      <w:kern w:val="0"/>
                      <w:sz w:val="21"/>
                      <w:szCs w:val="21"/>
                      <w:highlight w:val="none"/>
                      <w:lang w:val="zh-CN"/>
                    </w:rPr>
                    <w:t>《地下水质量标准》</w:t>
                  </w:r>
                </w:p>
                <w:p w14:paraId="0B4516A8">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cs="Times New Roman"/>
                      <w:bCs/>
                      <w:snapToGrid w:val="0"/>
                      <w:color w:val="auto"/>
                      <w:kern w:val="0"/>
                      <w:sz w:val="21"/>
                      <w:szCs w:val="21"/>
                      <w:highlight w:val="none"/>
                      <w:lang w:val="zh-CN"/>
                    </w:rPr>
                  </w:pPr>
                  <w:r>
                    <w:rPr>
                      <w:rFonts w:hint="default" w:ascii="Times New Roman" w:hAnsi="Times New Roman" w:cs="Times New Roman"/>
                      <w:bCs/>
                      <w:snapToGrid w:val="0"/>
                      <w:color w:val="auto"/>
                      <w:kern w:val="0"/>
                      <w:sz w:val="21"/>
                      <w:szCs w:val="21"/>
                      <w:highlight w:val="none"/>
                      <w:lang w:val="zh-CN"/>
                    </w:rPr>
                    <w:t>（GB/T14848-2017）Ⅲ类标准</w:t>
                  </w:r>
                </w:p>
              </w:tc>
            </w:tr>
            <w:tr w14:paraId="033F0E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63" w:type="pct"/>
                  <w:noWrap w:val="0"/>
                  <w:vAlign w:val="center"/>
                </w:tcPr>
                <w:p w14:paraId="0AEE3131">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cs="Times New Roman"/>
                      <w:bCs/>
                      <w:snapToGrid w:val="0"/>
                      <w:color w:val="auto"/>
                      <w:kern w:val="0"/>
                      <w:sz w:val="21"/>
                      <w:szCs w:val="21"/>
                      <w:highlight w:val="none"/>
                    </w:rPr>
                  </w:pPr>
                  <w:r>
                    <w:rPr>
                      <w:rFonts w:hint="default" w:ascii="Times New Roman" w:hAnsi="Times New Roman" w:cs="Times New Roman"/>
                      <w:bCs/>
                      <w:snapToGrid w:val="0"/>
                      <w:color w:val="auto"/>
                      <w:kern w:val="0"/>
                      <w:sz w:val="21"/>
                      <w:szCs w:val="21"/>
                      <w:highlight w:val="none"/>
                    </w:rPr>
                    <w:t>生态</w:t>
                  </w:r>
                </w:p>
                <w:p w14:paraId="44F9EAFA">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cs="Times New Roman"/>
                      <w:bCs/>
                      <w:snapToGrid w:val="0"/>
                      <w:color w:val="auto"/>
                      <w:kern w:val="0"/>
                      <w:sz w:val="21"/>
                      <w:szCs w:val="21"/>
                      <w:highlight w:val="none"/>
                    </w:rPr>
                  </w:pPr>
                  <w:r>
                    <w:rPr>
                      <w:rFonts w:hint="default" w:ascii="Times New Roman" w:hAnsi="Times New Roman" w:cs="Times New Roman"/>
                      <w:bCs/>
                      <w:snapToGrid w:val="0"/>
                      <w:color w:val="auto"/>
                      <w:kern w:val="0"/>
                      <w:sz w:val="21"/>
                      <w:szCs w:val="21"/>
                      <w:highlight w:val="none"/>
                    </w:rPr>
                    <w:t>环境</w:t>
                  </w:r>
                </w:p>
              </w:tc>
              <w:tc>
                <w:tcPr>
                  <w:tcW w:w="4436" w:type="pct"/>
                  <w:gridSpan w:val="4"/>
                  <w:noWrap w:val="0"/>
                  <w:vAlign w:val="center"/>
                </w:tcPr>
                <w:p w14:paraId="6AF64C3C">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cs="Times New Roman"/>
                      <w:bCs/>
                      <w:snapToGrid w:val="0"/>
                      <w:color w:val="auto"/>
                      <w:kern w:val="0"/>
                      <w:sz w:val="21"/>
                      <w:szCs w:val="21"/>
                      <w:highlight w:val="none"/>
                      <w:lang w:val="zh-CN"/>
                    </w:rPr>
                  </w:pPr>
                  <w:r>
                    <w:rPr>
                      <w:rFonts w:hint="default" w:ascii="Times New Roman" w:hAnsi="Times New Roman" w:cs="Times New Roman"/>
                      <w:bCs/>
                      <w:snapToGrid w:val="0"/>
                      <w:color w:val="auto"/>
                      <w:kern w:val="0"/>
                      <w:sz w:val="21"/>
                      <w:szCs w:val="21"/>
                      <w:highlight w:val="none"/>
                    </w:rPr>
                    <w:t>项目</w:t>
                  </w:r>
                  <w:r>
                    <w:rPr>
                      <w:rFonts w:hint="eastAsia" w:cs="Times New Roman"/>
                      <w:bCs/>
                      <w:snapToGrid w:val="0"/>
                      <w:color w:val="auto"/>
                      <w:kern w:val="0"/>
                      <w:sz w:val="21"/>
                      <w:szCs w:val="21"/>
                      <w:highlight w:val="none"/>
                      <w:lang w:val="en-US" w:eastAsia="zh-CN"/>
                    </w:rPr>
                    <w:t>租赁现有闲置厂房，</w:t>
                  </w:r>
                  <w:r>
                    <w:rPr>
                      <w:rFonts w:hint="default" w:ascii="Times New Roman" w:hAnsi="Times New Roman" w:cs="Times New Roman"/>
                      <w:bCs/>
                      <w:snapToGrid w:val="0"/>
                      <w:color w:val="auto"/>
                      <w:kern w:val="0"/>
                      <w:sz w:val="21"/>
                      <w:szCs w:val="21"/>
                      <w:highlight w:val="none"/>
                    </w:rPr>
                    <w:t>不新增用地</w:t>
                  </w:r>
                  <w:r>
                    <w:rPr>
                      <w:rFonts w:hint="eastAsia" w:ascii="Times New Roman" w:hAnsi="Times New Roman" w:cs="Times New Roman"/>
                      <w:bCs/>
                      <w:snapToGrid w:val="0"/>
                      <w:color w:val="auto"/>
                      <w:kern w:val="0"/>
                      <w:sz w:val="21"/>
                      <w:szCs w:val="21"/>
                      <w:highlight w:val="none"/>
                      <w:lang w:val="en-US" w:eastAsia="zh-CN"/>
                    </w:rPr>
                    <w:t>及</w:t>
                  </w:r>
                  <w:r>
                    <w:rPr>
                      <w:rFonts w:hint="default" w:ascii="Times New Roman" w:hAnsi="Times New Roman" w:cs="Times New Roman"/>
                      <w:bCs/>
                      <w:snapToGrid w:val="0"/>
                      <w:color w:val="auto"/>
                      <w:kern w:val="0"/>
                      <w:sz w:val="21"/>
                      <w:szCs w:val="21"/>
                      <w:highlight w:val="none"/>
                    </w:rPr>
                    <w:t>生态环境保护目标</w:t>
                  </w:r>
                </w:p>
              </w:tc>
            </w:tr>
          </w:tbl>
          <w:p w14:paraId="1D81A3A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p>
        </w:tc>
      </w:tr>
      <w:tr w14:paraId="406F5E6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44" w:type="pct"/>
            <w:tcMar>
              <w:left w:w="28" w:type="dxa"/>
              <w:right w:w="28" w:type="dxa"/>
            </w:tcMar>
            <w:vAlign w:val="center"/>
          </w:tcPr>
          <w:p w14:paraId="4D64DE00">
            <w:pPr>
              <w:adjustRightInd w:val="0"/>
              <w:snapToGrid w:val="0"/>
              <w:jc w:val="center"/>
              <w:rPr>
                <w:color w:val="auto"/>
                <w:kern w:val="0"/>
                <w:sz w:val="24"/>
              </w:rPr>
            </w:pPr>
            <w:r>
              <w:rPr>
                <w:color w:val="auto"/>
                <w:kern w:val="0"/>
                <w:sz w:val="24"/>
              </w:rPr>
              <w:t>污染</w:t>
            </w:r>
          </w:p>
          <w:p w14:paraId="548A9268">
            <w:pPr>
              <w:adjustRightInd w:val="0"/>
              <w:snapToGrid w:val="0"/>
              <w:jc w:val="center"/>
              <w:rPr>
                <w:color w:val="auto"/>
                <w:kern w:val="0"/>
                <w:sz w:val="24"/>
              </w:rPr>
            </w:pPr>
            <w:r>
              <w:rPr>
                <w:color w:val="auto"/>
                <w:kern w:val="0"/>
                <w:sz w:val="24"/>
              </w:rPr>
              <w:t>物排</w:t>
            </w:r>
          </w:p>
          <w:p w14:paraId="1B4CAB84">
            <w:pPr>
              <w:adjustRightInd w:val="0"/>
              <w:snapToGrid w:val="0"/>
              <w:jc w:val="center"/>
              <w:rPr>
                <w:color w:val="auto"/>
                <w:kern w:val="0"/>
                <w:sz w:val="24"/>
              </w:rPr>
            </w:pPr>
            <w:r>
              <w:rPr>
                <w:color w:val="auto"/>
                <w:kern w:val="0"/>
                <w:sz w:val="24"/>
              </w:rPr>
              <w:t>放控</w:t>
            </w:r>
          </w:p>
          <w:p w14:paraId="2DBAED17">
            <w:pPr>
              <w:adjustRightInd w:val="0"/>
              <w:snapToGrid w:val="0"/>
              <w:jc w:val="center"/>
              <w:rPr>
                <w:color w:val="auto"/>
                <w:kern w:val="0"/>
                <w:sz w:val="24"/>
              </w:rPr>
            </w:pPr>
            <w:r>
              <w:rPr>
                <w:color w:val="auto"/>
                <w:kern w:val="0"/>
                <w:sz w:val="24"/>
              </w:rPr>
              <w:t>制标</w:t>
            </w:r>
          </w:p>
          <w:p w14:paraId="5F5A704A">
            <w:pPr>
              <w:adjustRightInd w:val="0"/>
              <w:snapToGrid w:val="0"/>
              <w:jc w:val="center"/>
              <w:rPr>
                <w:color w:val="auto"/>
                <w:kern w:val="0"/>
                <w:sz w:val="24"/>
              </w:rPr>
            </w:pPr>
            <w:r>
              <w:rPr>
                <w:color w:val="auto"/>
                <w:kern w:val="0"/>
                <w:sz w:val="24"/>
              </w:rPr>
              <w:t>准</w:t>
            </w:r>
          </w:p>
        </w:tc>
        <w:tc>
          <w:tcPr>
            <w:tcW w:w="4555" w:type="pct"/>
          </w:tcPr>
          <w:p w14:paraId="0AEEB006">
            <w:pPr>
              <w:pStyle w:val="23"/>
              <w:numPr>
                <w:ilvl w:val="0"/>
                <w:numId w:val="26"/>
              </w:numPr>
              <w:adjustRightInd w:val="0"/>
              <w:snapToGrid w:val="0"/>
              <w:spacing w:before="120" w:beforeLines="50" w:beforeAutospacing="0" w:after="0" w:afterAutospacing="0" w:line="360" w:lineRule="auto"/>
              <w:ind w:firstLine="480" w:firstLineChars="200"/>
              <w:jc w:val="both"/>
              <w:rPr>
                <w:rFonts w:ascii="Times New Roman" w:hAnsi="Times New Roman"/>
                <w:color w:val="auto"/>
                <w:szCs w:val="24"/>
              </w:rPr>
            </w:pPr>
            <w:r>
              <w:rPr>
                <w:rFonts w:hint="eastAsia" w:ascii="Times New Roman" w:hAnsi="Times New Roman"/>
                <w:color w:val="auto"/>
                <w:szCs w:val="24"/>
                <w:lang w:val="en-US" w:eastAsia="zh-CN"/>
              </w:rPr>
              <w:t>废气</w:t>
            </w:r>
          </w:p>
          <w:p w14:paraId="5225C03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运营期有组织</w:t>
            </w:r>
            <w:r>
              <w:rPr>
                <w:rFonts w:hint="eastAsia" w:cs="Times New Roman"/>
                <w:color w:val="auto"/>
                <w:sz w:val="24"/>
                <w:lang w:val="en-US" w:eastAsia="zh-CN"/>
              </w:rPr>
              <w:t>VOCs（以非甲烷总烃计）</w:t>
            </w:r>
            <w:r>
              <w:rPr>
                <w:rFonts w:hint="default" w:ascii="Times New Roman" w:hAnsi="Times New Roman" w:cs="Times New Roman"/>
                <w:color w:val="auto"/>
                <w:sz w:val="24"/>
                <w:lang w:val="en-US" w:eastAsia="zh-CN"/>
              </w:rPr>
              <w:t>执行《挥发性有机物排放标准第7部分：其他行业》</w:t>
            </w:r>
            <w:r>
              <w:rPr>
                <w:rFonts w:hint="eastAsia" w:cs="Times New Roman"/>
                <w:color w:val="auto"/>
                <w:sz w:val="24"/>
                <w:lang w:val="en-US" w:eastAsia="zh-CN"/>
              </w:rPr>
              <w:t>（</w:t>
            </w:r>
            <w:r>
              <w:rPr>
                <w:rFonts w:hint="default" w:ascii="Times New Roman" w:hAnsi="Times New Roman" w:cs="Times New Roman"/>
                <w:color w:val="auto"/>
                <w:sz w:val="24"/>
                <w:lang w:val="en-US" w:eastAsia="zh-CN"/>
              </w:rPr>
              <w:t>DB37/2801.7-2019</w:t>
            </w:r>
            <w:r>
              <w:rPr>
                <w:rFonts w:hint="eastAsia" w:cs="Times New Roman"/>
                <w:color w:val="auto"/>
                <w:sz w:val="24"/>
                <w:lang w:val="en-US" w:eastAsia="zh-CN"/>
              </w:rPr>
              <w:t>）</w:t>
            </w:r>
            <w:r>
              <w:rPr>
                <w:rFonts w:hint="default" w:ascii="Times New Roman" w:hAnsi="Times New Roman" w:cs="Times New Roman"/>
                <w:color w:val="auto"/>
                <w:sz w:val="24"/>
                <w:lang w:val="en-US" w:eastAsia="zh-CN"/>
              </w:rPr>
              <w:t>表1中非重点行业Ⅱ时段的排放限值。无组织</w:t>
            </w:r>
            <w:r>
              <w:rPr>
                <w:rFonts w:hint="eastAsia" w:cs="Times New Roman"/>
                <w:color w:val="auto"/>
                <w:sz w:val="24"/>
                <w:lang w:val="en-US" w:eastAsia="zh-CN"/>
              </w:rPr>
              <w:t>VOCs（以非甲烷总烃计）</w:t>
            </w:r>
            <w:r>
              <w:rPr>
                <w:rFonts w:hint="default" w:ascii="Times New Roman" w:hAnsi="Times New Roman" w:cs="Times New Roman"/>
                <w:color w:val="auto"/>
                <w:sz w:val="24"/>
                <w:lang w:val="en-US" w:eastAsia="zh-CN"/>
              </w:rPr>
              <w:t>执行《挥发性有机物排放标准第7部分：其他行业》</w:t>
            </w:r>
            <w:r>
              <w:rPr>
                <w:rFonts w:hint="eastAsia" w:cs="Times New Roman"/>
                <w:color w:val="auto"/>
                <w:sz w:val="24"/>
                <w:lang w:val="en-US" w:eastAsia="zh-CN"/>
              </w:rPr>
              <w:t>（</w:t>
            </w:r>
            <w:r>
              <w:rPr>
                <w:rFonts w:hint="default" w:ascii="Times New Roman" w:hAnsi="Times New Roman" w:cs="Times New Roman"/>
                <w:color w:val="auto"/>
                <w:sz w:val="24"/>
                <w:lang w:val="en-US" w:eastAsia="zh-CN"/>
              </w:rPr>
              <w:t>DB37/2801.7-2019</w:t>
            </w:r>
            <w:r>
              <w:rPr>
                <w:rFonts w:hint="eastAsia" w:cs="Times New Roman"/>
                <w:color w:val="auto"/>
                <w:sz w:val="24"/>
                <w:lang w:val="en-US" w:eastAsia="zh-CN"/>
              </w:rPr>
              <w:t>）</w:t>
            </w:r>
            <w:r>
              <w:rPr>
                <w:rFonts w:hint="default" w:ascii="Times New Roman" w:hAnsi="Times New Roman" w:cs="Times New Roman"/>
                <w:color w:val="auto"/>
                <w:sz w:val="24"/>
                <w:lang w:val="en-US" w:eastAsia="zh-CN"/>
              </w:rPr>
              <w:t>表2无组织排放厂界监控点浓度限值。</w:t>
            </w:r>
          </w:p>
          <w:p w14:paraId="3924626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厂区内“非甲烷总烃”执行《挥发性有机物无组织排放控制标准》GB37822-2019</w:t>
            </w:r>
            <w:r>
              <w:rPr>
                <w:rFonts w:hint="eastAsia" w:cs="Times New Roman"/>
                <w:color w:val="auto"/>
                <w:sz w:val="24"/>
                <w:lang w:val="en-US" w:eastAsia="zh-CN"/>
              </w:rPr>
              <w:t>）</w:t>
            </w:r>
            <w:r>
              <w:rPr>
                <w:rFonts w:hint="default" w:ascii="Times New Roman" w:hAnsi="Times New Roman" w:cs="Times New Roman"/>
                <w:color w:val="auto"/>
                <w:sz w:val="24"/>
                <w:lang w:val="en-US" w:eastAsia="zh-CN"/>
              </w:rPr>
              <w:t>附录A厂区内</w:t>
            </w:r>
            <w:r>
              <w:rPr>
                <w:rFonts w:hint="eastAsia" w:cs="Times New Roman"/>
                <w:color w:val="auto"/>
                <w:sz w:val="24"/>
                <w:lang w:val="en-US" w:eastAsia="zh-CN"/>
              </w:rPr>
              <w:t>VOCs（以非甲烷总烃计）</w:t>
            </w:r>
            <w:r>
              <w:rPr>
                <w:rFonts w:hint="default" w:ascii="Times New Roman" w:hAnsi="Times New Roman" w:cs="Times New Roman"/>
                <w:color w:val="auto"/>
                <w:sz w:val="24"/>
                <w:lang w:val="en-US" w:eastAsia="zh-CN"/>
              </w:rPr>
              <w:t>无组织特别排放准值。</w:t>
            </w:r>
          </w:p>
          <w:p w14:paraId="4E7F9E7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宋体" w:hAnsi="宋体" w:eastAsia="宋体" w:cs="宋体"/>
                <w:color w:val="auto"/>
                <w:sz w:val="24"/>
                <w:szCs w:val="24"/>
              </w:rPr>
            </w:pPr>
            <w:r>
              <w:rPr>
                <w:rFonts w:hint="default" w:ascii="Times New Roman" w:hAnsi="Times New Roman" w:cs="Times New Roman"/>
                <w:color w:val="auto"/>
                <w:sz w:val="24"/>
                <w:lang w:val="en-US" w:eastAsia="zh-CN"/>
              </w:rPr>
              <w:t>运营期有组织硫酸雾执行《大气污染物综合排放标准》</w:t>
            </w:r>
            <w:r>
              <w:rPr>
                <w:rFonts w:hint="eastAsia" w:cs="Times New Roman"/>
                <w:color w:val="auto"/>
                <w:sz w:val="24"/>
                <w:lang w:val="en-US" w:eastAsia="zh-CN"/>
              </w:rPr>
              <w:t>（</w:t>
            </w:r>
            <w:r>
              <w:rPr>
                <w:rFonts w:hint="default" w:ascii="Times New Roman" w:hAnsi="Times New Roman" w:cs="Times New Roman"/>
                <w:color w:val="auto"/>
                <w:sz w:val="24"/>
                <w:lang w:val="en-US" w:eastAsia="zh-CN"/>
              </w:rPr>
              <w:t>GB16297-1996</w:t>
            </w:r>
            <w:r>
              <w:rPr>
                <w:rFonts w:hint="eastAsia" w:cs="Times New Roman"/>
                <w:color w:val="auto"/>
                <w:sz w:val="24"/>
                <w:lang w:val="en-US" w:eastAsia="zh-CN"/>
              </w:rPr>
              <w:t>）</w:t>
            </w:r>
            <w:r>
              <w:rPr>
                <w:rFonts w:hint="default" w:ascii="Times New Roman" w:hAnsi="Times New Roman" w:cs="Times New Roman"/>
                <w:color w:val="auto"/>
                <w:sz w:val="24"/>
                <w:lang w:val="en-US" w:eastAsia="zh-CN"/>
              </w:rPr>
              <w:t>表2中硫酸雾其他</w:t>
            </w:r>
            <w:r>
              <w:rPr>
                <w:rFonts w:hint="eastAsia" w:cs="Times New Roman"/>
                <w:color w:val="auto"/>
                <w:sz w:val="24"/>
                <w:lang w:val="en-US" w:eastAsia="zh-CN"/>
              </w:rPr>
              <w:t>行业</w:t>
            </w:r>
            <w:r>
              <w:rPr>
                <w:rFonts w:hint="default" w:ascii="Times New Roman" w:hAnsi="Times New Roman" w:cs="Times New Roman"/>
                <w:color w:val="auto"/>
                <w:sz w:val="24"/>
                <w:lang w:val="en-US" w:eastAsia="zh-CN"/>
              </w:rPr>
              <w:t>排放限值；无组织执行《大气污染物综合排放标准》</w:t>
            </w:r>
            <w:r>
              <w:rPr>
                <w:rFonts w:hint="eastAsia" w:cs="Times New Roman"/>
                <w:color w:val="auto"/>
                <w:sz w:val="24"/>
                <w:lang w:val="en-US" w:eastAsia="zh-CN"/>
              </w:rPr>
              <w:t>（</w:t>
            </w:r>
            <w:r>
              <w:rPr>
                <w:rFonts w:hint="default" w:ascii="Times New Roman" w:hAnsi="Times New Roman" w:cs="Times New Roman"/>
                <w:color w:val="auto"/>
                <w:sz w:val="24"/>
                <w:lang w:val="en-US" w:eastAsia="zh-CN"/>
              </w:rPr>
              <w:t>GB16297-1996</w:t>
            </w:r>
            <w:r>
              <w:rPr>
                <w:rFonts w:hint="eastAsia" w:cs="Times New Roman"/>
                <w:color w:val="auto"/>
                <w:sz w:val="24"/>
                <w:lang w:val="en-US" w:eastAsia="zh-CN"/>
              </w:rPr>
              <w:t>）</w:t>
            </w:r>
            <w:r>
              <w:rPr>
                <w:rFonts w:hint="default" w:ascii="Times New Roman" w:hAnsi="Times New Roman" w:cs="Times New Roman"/>
                <w:color w:val="auto"/>
                <w:sz w:val="24"/>
                <w:lang w:val="en-US" w:eastAsia="zh-CN"/>
              </w:rPr>
              <w:t>表2中硫酸雾周界外浓度排放限值。有组织氯化氢执行《大气污染物综合排放标准》</w:t>
            </w:r>
            <w:r>
              <w:rPr>
                <w:rFonts w:hint="eastAsia" w:cs="Times New Roman"/>
                <w:color w:val="auto"/>
                <w:sz w:val="24"/>
                <w:lang w:val="en-US" w:eastAsia="zh-CN"/>
              </w:rPr>
              <w:t>（</w:t>
            </w:r>
            <w:r>
              <w:rPr>
                <w:rFonts w:hint="default" w:ascii="Times New Roman" w:hAnsi="Times New Roman" w:cs="Times New Roman"/>
                <w:color w:val="auto"/>
                <w:sz w:val="24"/>
                <w:lang w:val="en-US" w:eastAsia="zh-CN"/>
              </w:rPr>
              <w:t>GB16297-1996</w:t>
            </w:r>
            <w:r>
              <w:rPr>
                <w:rFonts w:hint="eastAsia" w:cs="Times New Roman"/>
                <w:color w:val="auto"/>
                <w:sz w:val="24"/>
                <w:lang w:val="en-US" w:eastAsia="zh-CN"/>
              </w:rPr>
              <w:t>）</w:t>
            </w:r>
            <w:r>
              <w:rPr>
                <w:rFonts w:hint="default" w:ascii="Times New Roman" w:hAnsi="Times New Roman" w:cs="Times New Roman"/>
                <w:color w:val="auto"/>
                <w:sz w:val="24"/>
                <w:lang w:val="en-US" w:eastAsia="zh-CN"/>
              </w:rPr>
              <w:t>表2中氯化氢排放限值；无组织执行《大气污染物综合排放标准》</w:t>
            </w:r>
            <w:r>
              <w:rPr>
                <w:rFonts w:hint="eastAsia" w:cs="Times New Roman"/>
                <w:color w:val="auto"/>
                <w:sz w:val="24"/>
                <w:lang w:val="en-US" w:eastAsia="zh-CN"/>
              </w:rPr>
              <w:t>（</w:t>
            </w:r>
            <w:r>
              <w:rPr>
                <w:rFonts w:hint="default" w:ascii="Times New Roman" w:hAnsi="Times New Roman" w:cs="Times New Roman"/>
                <w:color w:val="auto"/>
                <w:sz w:val="24"/>
                <w:lang w:val="en-US" w:eastAsia="zh-CN"/>
              </w:rPr>
              <w:t>GB16297-1996</w:t>
            </w:r>
            <w:r>
              <w:rPr>
                <w:rFonts w:hint="eastAsia" w:cs="Times New Roman"/>
                <w:color w:val="auto"/>
                <w:sz w:val="24"/>
                <w:lang w:val="en-US" w:eastAsia="zh-CN"/>
              </w:rPr>
              <w:t>）</w:t>
            </w:r>
            <w:r>
              <w:rPr>
                <w:rFonts w:hint="default" w:ascii="Times New Roman" w:hAnsi="Times New Roman" w:cs="Times New Roman"/>
                <w:color w:val="auto"/>
                <w:sz w:val="24"/>
                <w:lang w:val="en-US" w:eastAsia="zh-CN"/>
              </w:rPr>
              <w:t>表2中氯化氢周界外浓度排放限值</w:t>
            </w:r>
            <w:r>
              <w:rPr>
                <w:rFonts w:ascii="宋体" w:hAnsi="宋体" w:eastAsia="宋体" w:cs="宋体"/>
                <w:color w:val="auto"/>
                <w:sz w:val="24"/>
                <w:szCs w:val="24"/>
              </w:rPr>
              <w:t>。</w:t>
            </w:r>
          </w:p>
          <w:p w14:paraId="61B4B6E2">
            <w:pPr>
              <w:keepNext w:val="0"/>
              <w:keepLines w:val="0"/>
              <w:pageBreakBefore w:val="0"/>
              <w:widowControl w:val="0"/>
              <w:numPr>
                <w:ilvl w:val="0"/>
                <w:numId w:val="25"/>
              </w:numPr>
              <w:kinsoku/>
              <w:wordWrap/>
              <w:overflowPunct/>
              <w:topLinePunct w:val="0"/>
              <w:autoSpaceDE w:val="0"/>
              <w:autoSpaceDN w:val="0"/>
              <w:bidi w:val="0"/>
              <w:adjustRightInd w:val="0"/>
              <w:snapToGrid/>
              <w:spacing w:line="360" w:lineRule="auto"/>
              <w:ind w:left="0" w:leftChars="0" w:firstLine="0" w:firstLineChars="0"/>
              <w:jc w:val="center"/>
              <w:textAlignment w:val="auto"/>
              <w:rPr>
                <w:rFonts w:hint="default" w:cs="Times New Roman"/>
                <w:b/>
                <w:bCs/>
                <w:color w:val="auto"/>
                <w:kern w:val="0"/>
                <w:sz w:val="24"/>
                <w:szCs w:val="24"/>
                <w:lang w:val="en-US" w:eastAsia="zh-CN" w:bidi="ar"/>
              </w:rPr>
            </w:pPr>
            <w:r>
              <w:rPr>
                <w:rFonts w:hint="eastAsia" w:cs="Times New Roman"/>
                <w:b/>
                <w:bCs/>
                <w:color w:val="auto"/>
                <w:kern w:val="0"/>
                <w:sz w:val="24"/>
                <w:szCs w:val="24"/>
                <w:lang w:val="en-US" w:eastAsia="zh-CN" w:bidi="ar"/>
              </w:rPr>
              <w:t>废气排放执行标准</w:t>
            </w:r>
          </w:p>
          <w:tbl>
            <w:tblPr>
              <w:tblStyle w:val="27"/>
              <w:tblW w:w="8235" w:type="dxa"/>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043"/>
              <w:gridCol w:w="1043"/>
              <w:gridCol w:w="1206"/>
              <w:gridCol w:w="934"/>
              <w:gridCol w:w="1348"/>
              <w:gridCol w:w="2661"/>
            </w:tblGrid>
            <w:tr w14:paraId="119A51F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633" w:type="pct"/>
                  <w:tcBorders>
                    <w:left w:val="single" w:color="000000" w:sz="4" w:space="0"/>
                  </w:tcBorders>
                  <w:noWrap w:val="0"/>
                  <w:vAlign w:val="center"/>
                </w:tcPr>
                <w:p w14:paraId="1EEB6160">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rFonts w:hint="default" w:ascii="Times New Roman" w:hAnsi="Times New Roman" w:cs="Times New Roman"/>
                      <w:bCs/>
                      <w:snapToGrid w:val="0"/>
                      <w:color w:val="auto"/>
                      <w:kern w:val="0"/>
                      <w:sz w:val="21"/>
                      <w:szCs w:val="21"/>
                      <w:highlight w:val="none"/>
                      <w:lang w:val="zh-CN"/>
                    </w:rPr>
                  </w:pPr>
                  <w:r>
                    <w:rPr>
                      <w:rFonts w:hint="default" w:ascii="Times New Roman" w:hAnsi="Times New Roman" w:cs="Times New Roman"/>
                      <w:bCs/>
                      <w:snapToGrid w:val="0"/>
                      <w:color w:val="auto"/>
                      <w:kern w:val="0"/>
                      <w:sz w:val="21"/>
                      <w:szCs w:val="21"/>
                      <w:highlight w:val="none"/>
                      <w:lang w:val="zh-CN"/>
                    </w:rPr>
                    <w:t>污染物</w:t>
                  </w:r>
                </w:p>
              </w:tc>
              <w:tc>
                <w:tcPr>
                  <w:tcW w:w="633" w:type="pct"/>
                  <w:noWrap w:val="0"/>
                  <w:vAlign w:val="center"/>
                </w:tcPr>
                <w:p w14:paraId="5A4F5D2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snapToGrid w:val="0"/>
                      <w:color w:val="auto"/>
                      <w:kern w:val="0"/>
                      <w:sz w:val="21"/>
                      <w:szCs w:val="21"/>
                      <w:highlight w:val="none"/>
                      <w:lang w:val="zh-CN"/>
                    </w:rPr>
                  </w:pPr>
                  <w:r>
                    <w:rPr>
                      <w:rFonts w:hint="default" w:ascii="Times New Roman" w:hAnsi="Times New Roman" w:cs="Times New Roman"/>
                      <w:bCs/>
                      <w:snapToGrid w:val="0"/>
                      <w:color w:val="auto"/>
                      <w:kern w:val="0"/>
                      <w:sz w:val="21"/>
                      <w:szCs w:val="21"/>
                      <w:highlight w:val="none"/>
                      <w:lang w:val="zh-CN"/>
                    </w:rPr>
                    <w:t>排放限值</w:t>
                  </w:r>
                </w:p>
                <w:p w14:paraId="75700BA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snapToGrid w:val="0"/>
                      <w:color w:val="auto"/>
                      <w:kern w:val="0"/>
                      <w:sz w:val="21"/>
                      <w:szCs w:val="21"/>
                      <w:highlight w:val="none"/>
                      <w:lang w:val="zh-CN"/>
                    </w:rPr>
                  </w:pPr>
                  <w:r>
                    <w:rPr>
                      <w:rFonts w:hint="default" w:ascii="Times New Roman" w:hAnsi="Times New Roman" w:cs="Times New Roman"/>
                      <w:bCs/>
                      <w:snapToGrid w:val="0"/>
                      <w:color w:val="auto"/>
                      <w:kern w:val="0"/>
                      <w:sz w:val="21"/>
                      <w:szCs w:val="21"/>
                      <w:highlight w:val="none"/>
                      <w:lang w:val="zh-CN"/>
                    </w:rPr>
                    <w:t>（mg/m</w:t>
                  </w:r>
                  <w:r>
                    <w:rPr>
                      <w:rFonts w:hint="default" w:ascii="Times New Roman" w:hAnsi="Times New Roman" w:cs="Times New Roman"/>
                      <w:bCs/>
                      <w:snapToGrid w:val="0"/>
                      <w:color w:val="auto"/>
                      <w:kern w:val="0"/>
                      <w:sz w:val="21"/>
                      <w:szCs w:val="21"/>
                      <w:highlight w:val="none"/>
                      <w:vertAlign w:val="superscript"/>
                      <w:lang w:val="zh-CN"/>
                    </w:rPr>
                    <w:t>3</w:t>
                  </w:r>
                  <w:r>
                    <w:rPr>
                      <w:rFonts w:hint="default" w:ascii="Times New Roman" w:hAnsi="Times New Roman" w:cs="Times New Roman"/>
                      <w:bCs/>
                      <w:snapToGrid w:val="0"/>
                      <w:color w:val="auto"/>
                      <w:kern w:val="0"/>
                      <w:sz w:val="21"/>
                      <w:szCs w:val="21"/>
                      <w:highlight w:val="none"/>
                      <w:lang w:val="zh-CN"/>
                    </w:rPr>
                    <w:t>）</w:t>
                  </w:r>
                </w:p>
              </w:tc>
              <w:tc>
                <w:tcPr>
                  <w:tcW w:w="732" w:type="pct"/>
                  <w:noWrap w:val="0"/>
                  <w:vAlign w:val="center"/>
                </w:tcPr>
                <w:p w14:paraId="768C8D1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bCs/>
                      <w:snapToGrid w:val="0"/>
                      <w:color w:val="auto"/>
                      <w:kern w:val="0"/>
                      <w:sz w:val="21"/>
                      <w:szCs w:val="21"/>
                      <w:highlight w:val="none"/>
                      <w:lang w:val="en-US" w:eastAsia="zh-CN"/>
                    </w:rPr>
                  </w:pPr>
                  <w:r>
                    <w:rPr>
                      <w:rFonts w:hint="eastAsia" w:cs="Times New Roman"/>
                      <w:bCs/>
                      <w:snapToGrid w:val="0"/>
                      <w:color w:val="auto"/>
                      <w:kern w:val="0"/>
                      <w:sz w:val="21"/>
                      <w:szCs w:val="21"/>
                      <w:highlight w:val="none"/>
                      <w:lang w:val="en-US" w:eastAsia="zh-CN"/>
                    </w:rPr>
                    <w:t>排气筒高度</w:t>
                  </w:r>
                </w:p>
                <w:p w14:paraId="571A01C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bCs/>
                      <w:snapToGrid w:val="0"/>
                      <w:color w:val="auto"/>
                      <w:kern w:val="0"/>
                      <w:sz w:val="21"/>
                      <w:szCs w:val="21"/>
                      <w:highlight w:val="none"/>
                      <w:lang w:val="en-US" w:eastAsia="zh-CN"/>
                    </w:rPr>
                  </w:pPr>
                  <w:r>
                    <w:rPr>
                      <w:rFonts w:hint="eastAsia" w:cs="Times New Roman"/>
                      <w:bCs/>
                      <w:snapToGrid w:val="0"/>
                      <w:color w:val="auto"/>
                      <w:kern w:val="0"/>
                      <w:sz w:val="21"/>
                      <w:szCs w:val="21"/>
                      <w:highlight w:val="none"/>
                      <w:lang w:val="en-US" w:eastAsia="zh-CN"/>
                    </w:rPr>
                    <w:t>（m）</w:t>
                  </w:r>
                </w:p>
              </w:tc>
              <w:tc>
                <w:tcPr>
                  <w:tcW w:w="567" w:type="pct"/>
                  <w:noWrap w:val="0"/>
                  <w:vAlign w:val="center"/>
                </w:tcPr>
                <w:p w14:paraId="6EF9F55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snapToGrid w:val="0"/>
                      <w:color w:val="auto"/>
                      <w:kern w:val="0"/>
                      <w:sz w:val="21"/>
                      <w:szCs w:val="21"/>
                      <w:highlight w:val="none"/>
                      <w:lang w:val="zh-CN"/>
                    </w:rPr>
                  </w:pPr>
                  <w:r>
                    <w:rPr>
                      <w:rFonts w:hint="default" w:ascii="Times New Roman" w:hAnsi="Times New Roman" w:cs="Times New Roman"/>
                      <w:bCs/>
                      <w:snapToGrid w:val="0"/>
                      <w:color w:val="auto"/>
                      <w:kern w:val="0"/>
                      <w:sz w:val="21"/>
                      <w:szCs w:val="21"/>
                      <w:highlight w:val="none"/>
                      <w:lang w:val="zh-CN"/>
                    </w:rPr>
                    <w:t>排放速率</w:t>
                  </w:r>
                </w:p>
                <w:p w14:paraId="201FD04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snapToGrid w:val="0"/>
                      <w:color w:val="auto"/>
                      <w:kern w:val="0"/>
                      <w:sz w:val="21"/>
                      <w:szCs w:val="21"/>
                      <w:highlight w:val="none"/>
                      <w:lang w:val="zh-CN"/>
                    </w:rPr>
                  </w:pPr>
                  <w:r>
                    <w:rPr>
                      <w:rFonts w:hint="default" w:ascii="Times New Roman" w:hAnsi="Times New Roman" w:cs="Times New Roman"/>
                      <w:bCs/>
                      <w:snapToGrid w:val="0"/>
                      <w:color w:val="auto"/>
                      <w:kern w:val="0"/>
                      <w:sz w:val="21"/>
                      <w:szCs w:val="21"/>
                      <w:highlight w:val="none"/>
                      <w:lang w:val="zh-CN"/>
                    </w:rPr>
                    <w:t>（kg/h）</w:t>
                  </w:r>
                </w:p>
              </w:tc>
              <w:tc>
                <w:tcPr>
                  <w:tcW w:w="818" w:type="pct"/>
                  <w:noWrap w:val="0"/>
                  <w:vAlign w:val="center"/>
                </w:tcPr>
                <w:p w14:paraId="4950B67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snapToGrid w:val="0"/>
                      <w:color w:val="auto"/>
                      <w:kern w:val="0"/>
                      <w:sz w:val="21"/>
                      <w:szCs w:val="21"/>
                      <w:highlight w:val="none"/>
                      <w:lang w:val="zh-CN"/>
                    </w:rPr>
                  </w:pPr>
                  <w:r>
                    <w:rPr>
                      <w:rFonts w:hint="default" w:ascii="Times New Roman" w:hAnsi="Times New Roman" w:cs="Times New Roman"/>
                      <w:bCs/>
                      <w:snapToGrid w:val="0"/>
                      <w:color w:val="auto"/>
                      <w:kern w:val="0"/>
                      <w:sz w:val="21"/>
                      <w:szCs w:val="21"/>
                      <w:highlight w:val="none"/>
                      <w:lang w:val="zh-CN"/>
                    </w:rPr>
                    <w:t>厂界排放限值</w:t>
                  </w:r>
                </w:p>
                <w:p w14:paraId="41DBD4D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snapToGrid w:val="0"/>
                      <w:color w:val="auto"/>
                      <w:kern w:val="0"/>
                      <w:sz w:val="21"/>
                      <w:szCs w:val="21"/>
                      <w:highlight w:val="none"/>
                      <w:lang w:val="zh-CN"/>
                    </w:rPr>
                  </w:pPr>
                  <w:r>
                    <w:rPr>
                      <w:rFonts w:hint="default" w:ascii="Times New Roman" w:hAnsi="Times New Roman" w:cs="Times New Roman"/>
                      <w:bCs/>
                      <w:snapToGrid w:val="0"/>
                      <w:color w:val="auto"/>
                      <w:kern w:val="0"/>
                      <w:sz w:val="21"/>
                      <w:szCs w:val="21"/>
                      <w:highlight w:val="none"/>
                      <w:lang w:val="zh-CN"/>
                    </w:rPr>
                    <w:t>（mg/m</w:t>
                  </w:r>
                  <w:r>
                    <w:rPr>
                      <w:rFonts w:hint="default" w:ascii="Times New Roman" w:hAnsi="Times New Roman" w:cs="Times New Roman"/>
                      <w:bCs/>
                      <w:snapToGrid w:val="0"/>
                      <w:color w:val="auto"/>
                      <w:kern w:val="0"/>
                      <w:sz w:val="21"/>
                      <w:szCs w:val="21"/>
                      <w:highlight w:val="none"/>
                      <w:vertAlign w:val="superscript"/>
                      <w:lang w:val="zh-CN"/>
                    </w:rPr>
                    <w:t>3</w:t>
                  </w:r>
                  <w:r>
                    <w:rPr>
                      <w:rFonts w:hint="default" w:ascii="Times New Roman" w:hAnsi="Times New Roman" w:cs="Times New Roman"/>
                      <w:bCs/>
                      <w:snapToGrid w:val="0"/>
                      <w:color w:val="auto"/>
                      <w:kern w:val="0"/>
                      <w:sz w:val="21"/>
                      <w:szCs w:val="21"/>
                      <w:highlight w:val="none"/>
                      <w:lang w:val="zh-CN"/>
                    </w:rPr>
                    <w:t>）</w:t>
                  </w:r>
                </w:p>
              </w:tc>
              <w:tc>
                <w:tcPr>
                  <w:tcW w:w="1615" w:type="pct"/>
                  <w:tcBorders>
                    <w:right w:val="single" w:color="000000" w:sz="4" w:space="0"/>
                  </w:tcBorders>
                  <w:noWrap w:val="0"/>
                  <w:vAlign w:val="center"/>
                </w:tcPr>
                <w:p w14:paraId="71C2DE61">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rFonts w:hint="default" w:ascii="Times New Roman" w:hAnsi="Times New Roman" w:cs="Times New Roman"/>
                      <w:bCs/>
                      <w:snapToGrid w:val="0"/>
                      <w:color w:val="auto"/>
                      <w:kern w:val="0"/>
                      <w:sz w:val="21"/>
                      <w:szCs w:val="21"/>
                      <w:highlight w:val="none"/>
                      <w:lang w:val="zh-CN"/>
                    </w:rPr>
                  </w:pPr>
                  <w:r>
                    <w:rPr>
                      <w:rFonts w:hint="default" w:ascii="Times New Roman" w:hAnsi="Times New Roman" w:cs="Times New Roman"/>
                      <w:bCs/>
                      <w:snapToGrid w:val="0"/>
                      <w:color w:val="auto"/>
                      <w:kern w:val="0"/>
                      <w:sz w:val="21"/>
                      <w:szCs w:val="21"/>
                      <w:highlight w:val="none"/>
                      <w:lang w:val="zh-CN"/>
                    </w:rPr>
                    <w:t>排放标准</w:t>
                  </w:r>
                </w:p>
              </w:tc>
            </w:tr>
            <w:tr w14:paraId="514AA3E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41" w:hRule="atLeast"/>
              </w:trPr>
              <w:tc>
                <w:tcPr>
                  <w:tcW w:w="633" w:type="pct"/>
                  <w:tcBorders>
                    <w:left w:val="single" w:color="000000" w:sz="4" w:space="0"/>
                  </w:tcBorders>
                  <w:noWrap w:val="0"/>
                  <w:vAlign w:val="center"/>
                </w:tcPr>
                <w:p w14:paraId="555D4773">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rFonts w:hint="default" w:ascii="Times New Roman" w:hAnsi="Times New Roman" w:cs="Times New Roman"/>
                      <w:bCs/>
                      <w:snapToGrid w:val="0"/>
                      <w:color w:val="auto"/>
                      <w:kern w:val="0"/>
                      <w:sz w:val="21"/>
                      <w:szCs w:val="21"/>
                      <w:highlight w:val="none"/>
                      <w:lang w:val="zh-CN"/>
                    </w:rPr>
                  </w:pPr>
                  <w:r>
                    <w:rPr>
                      <w:rFonts w:hint="eastAsia" w:cs="Times New Roman"/>
                      <w:bCs/>
                      <w:snapToGrid w:val="0"/>
                      <w:color w:val="auto"/>
                      <w:kern w:val="0"/>
                      <w:sz w:val="21"/>
                      <w:szCs w:val="21"/>
                      <w:highlight w:val="none"/>
                      <w:lang w:val="zh-CN"/>
                    </w:rPr>
                    <w:t>VOCs（以非甲烷总烃计）</w:t>
                  </w:r>
                </w:p>
              </w:tc>
              <w:tc>
                <w:tcPr>
                  <w:tcW w:w="633" w:type="pct"/>
                  <w:noWrap w:val="0"/>
                  <w:vAlign w:val="center"/>
                </w:tcPr>
                <w:p w14:paraId="558BB54B">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rFonts w:hint="default" w:ascii="Times New Roman" w:hAnsi="Times New Roman" w:cs="Times New Roman"/>
                      <w:bCs/>
                      <w:snapToGrid w:val="0"/>
                      <w:color w:val="auto"/>
                      <w:kern w:val="0"/>
                      <w:sz w:val="21"/>
                      <w:szCs w:val="21"/>
                      <w:highlight w:val="none"/>
                      <w:lang w:val="zh-CN"/>
                    </w:rPr>
                  </w:pPr>
                  <w:r>
                    <w:rPr>
                      <w:rFonts w:hint="default" w:ascii="Times New Roman" w:hAnsi="Times New Roman" w:cs="Times New Roman"/>
                      <w:bCs/>
                      <w:snapToGrid w:val="0"/>
                      <w:color w:val="auto"/>
                      <w:kern w:val="0"/>
                      <w:sz w:val="21"/>
                      <w:szCs w:val="21"/>
                      <w:highlight w:val="none"/>
                      <w:lang w:val="zh-CN"/>
                    </w:rPr>
                    <w:t>60</w:t>
                  </w:r>
                </w:p>
              </w:tc>
              <w:tc>
                <w:tcPr>
                  <w:tcW w:w="732" w:type="pct"/>
                  <w:noWrap w:val="0"/>
                  <w:vAlign w:val="center"/>
                </w:tcPr>
                <w:p w14:paraId="3AA7CD43">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rFonts w:hint="default" w:ascii="Times New Roman" w:hAnsi="Times New Roman" w:eastAsia="宋体" w:cs="Times New Roman"/>
                      <w:bCs/>
                      <w:snapToGrid w:val="0"/>
                      <w:color w:val="auto"/>
                      <w:kern w:val="0"/>
                      <w:sz w:val="21"/>
                      <w:szCs w:val="21"/>
                      <w:highlight w:val="none"/>
                      <w:lang w:val="en-US" w:eastAsia="zh-CN"/>
                    </w:rPr>
                  </w:pPr>
                  <w:r>
                    <w:rPr>
                      <w:rFonts w:hint="eastAsia" w:cs="Times New Roman"/>
                      <w:bCs/>
                      <w:snapToGrid w:val="0"/>
                      <w:color w:val="auto"/>
                      <w:kern w:val="0"/>
                      <w:sz w:val="21"/>
                      <w:szCs w:val="21"/>
                      <w:highlight w:val="none"/>
                      <w:lang w:val="en-US" w:eastAsia="zh-CN"/>
                    </w:rPr>
                    <w:t>15</w:t>
                  </w:r>
                </w:p>
              </w:tc>
              <w:tc>
                <w:tcPr>
                  <w:tcW w:w="567" w:type="pct"/>
                  <w:noWrap w:val="0"/>
                  <w:vAlign w:val="center"/>
                </w:tcPr>
                <w:p w14:paraId="1D62C7EA">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rFonts w:hint="default" w:ascii="Times New Roman" w:hAnsi="Times New Roman" w:cs="Times New Roman"/>
                      <w:bCs/>
                      <w:snapToGrid w:val="0"/>
                      <w:color w:val="auto"/>
                      <w:kern w:val="0"/>
                      <w:sz w:val="21"/>
                      <w:szCs w:val="21"/>
                      <w:highlight w:val="none"/>
                      <w:lang w:val="zh-CN"/>
                    </w:rPr>
                  </w:pPr>
                  <w:r>
                    <w:rPr>
                      <w:rFonts w:hint="default" w:ascii="Times New Roman" w:hAnsi="Times New Roman" w:cs="Times New Roman"/>
                      <w:bCs/>
                      <w:snapToGrid w:val="0"/>
                      <w:color w:val="auto"/>
                      <w:kern w:val="0"/>
                      <w:sz w:val="21"/>
                      <w:szCs w:val="21"/>
                      <w:highlight w:val="none"/>
                      <w:lang w:val="zh-CN"/>
                    </w:rPr>
                    <w:t>3.0</w:t>
                  </w:r>
                </w:p>
              </w:tc>
              <w:tc>
                <w:tcPr>
                  <w:tcW w:w="818" w:type="pct"/>
                  <w:noWrap w:val="0"/>
                  <w:vAlign w:val="center"/>
                </w:tcPr>
                <w:p w14:paraId="049C979A">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rFonts w:hint="default" w:ascii="Times New Roman" w:hAnsi="Times New Roman" w:cs="Times New Roman"/>
                      <w:bCs/>
                      <w:snapToGrid w:val="0"/>
                      <w:color w:val="auto"/>
                      <w:kern w:val="0"/>
                      <w:sz w:val="21"/>
                      <w:szCs w:val="21"/>
                      <w:highlight w:val="none"/>
                      <w:lang w:val="zh-CN"/>
                    </w:rPr>
                  </w:pPr>
                  <w:r>
                    <w:rPr>
                      <w:rFonts w:hint="default" w:ascii="Times New Roman" w:hAnsi="Times New Roman" w:cs="Times New Roman"/>
                      <w:bCs/>
                      <w:snapToGrid w:val="0"/>
                      <w:color w:val="auto"/>
                      <w:kern w:val="0"/>
                      <w:sz w:val="21"/>
                      <w:szCs w:val="21"/>
                      <w:highlight w:val="none"/>
                      <w:lang w:val="zh-CN"/>
                    </w:rPr>
                    <w:t>2.0</w:t>
                  </w:r>
                </w:p>
              </w:tc>
              <w:tc>
                <w:tcPr>
                  <w:tcW w:w="1615" w:type="pct"/>
                  <w:tcBorders>
                    <w:right w:val="single" w:color="000000" w:sz="4" w:space="0"/>
                  </w:tcBorders>
                  <w:noWrap w:val="0"/>
                  <w:vAlign w:val="center"/>
                </w:tcPr>
                <w:p w14:paraId="5F2F586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snapToGrid w:val="0"/>
                      <w:color w:val="auto"/>
                      <w:kern w:val="0"/>
                      <w:sz w:val="21"/>
                      <w:szCs w:val="21"/>
                      <w:highlight w:val="none"/>
                      <w:lang w:val="zh-CN"/>
                    </w:rPr>
                  </w:pPr>
                  <w:r>
                    <w:rPr>
                      <w:rFonts w:hint="default" w:ascii="Times New Roman" w:hAnsi="Times New Roman" w:cs="Times New Roman"/>
                      <w:bCs/>
                      <w:snapToGrid w:val="0"/>
                      <w:color w:val="auto"/>
                      <w:kern w:val="0"/>
                      <w:sz w:val="21"/>
                      <w:szCs w:val="21"/>
                      <w:highlight w:val="none"/>
                      <w:lang w:val="zh-CN"/>
                    </w:rPr>
                    <w:t>《挥发性有机物排放标准</w:t>
                  </w:r>
                </w:p>
                <w:p w14:paraId="2EF1771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snapToGrid w:val="0"/>
                      <w:color w:val="auto"/>
                      <w:kern w:val="0"/>
                      <w:sz w:val="21"/>
                      <w:szCs w:val="21"/>
                      <w:highlight w:val="none"/>
                      <w:lang w:val="zh-CN"/>
                    </w:rPr>
                  </w:pPr>
                  <w:r>
                    <w:rPr>
                      <w:rFonts w:hint="default" w:ascii="Times New Roman" w:hAnsi="Times New Roman" w:cs="Times New Roman"/>
                      <w:bCs/>
                      <w:snapToGrid w:val="0"/>
                      <w:color w:val="auto"/>
                      <w:kern w:val="0"/>
                      <w:sz w:val="21"/>
                      <w:szCs w:val="21"/>
                      <w:highlight w:val="none"/>
                      <w:lang w:val="zh-CN"/>
                    </w:rPr>
                    <w:t>第7部分：其他行业》</w:t>
                  </w:r>
                </w:p>
              </w:tc>
            </w:tr>
            <w:tr w14:paraId="125D36A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2" w:hRule="atLeast"/>
              </w:trPr>
              <w:tc>
                <w:tcPr>
                  <w:tcW w:w="633" w:type="pct"/>
                  <w:tcBorders>
                    <w:left w:val="single" w:color="000000" w:sz="4" w:space="0"/>
                  </w:tcBorders>
                  <w:noWrap w:val="0"/>
                  <w:vAlign w:val="center"/>
                </w:tcPr>
                <w:p w14:paraId="4956CFE5">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rFonts w:hint="default" w:ascii="Times New Roman" w:hAnsi="Times New Roman" w:cs="Times New Roman"/>
                      <w:bCs/>
                      <w:snapToGrid w:val="0"/>
                      <w:color w:val="auto"/>
                      <w:kern w:val="0"/>
                      <w:sz w:val="21"/>
                      <w:szCs w:val="21"/>
                      <w:highlight w:val="none"/>
                      <w:lang w:val="zh-CN"/>
                    </w:rPr>
                  </w:pPr>
                  <w:r>
                    <w:rPr>
                      <w:rFonts w:hint="default" w:ascii="Times New Roman" w:hAnsi="Times New Roman" w:cs="Times New Roman"/>
                      <w:bCs/>
                      <w:snapToGrid w:val="0"/>
                      <w:color w:val="auto"/>
                      <w:kern w:val="0"/>
                      <w:sz w:val="21"/>
                      <w:szCs w:val="21"/>
                      <w:highlight w:val="none"/>
                      <w:lang w:val="zh-CN"/>
                    </w:rPr>
                    <w:t>硫酸雾</w:t>
                  </w:r>
                </w:p>
              </w:tc>
              <w:tc>
                <w:tcPr>
                  <w:tcW w:w="633" w:type="pct"/>
                  <w:noWrap w:val="0"/>
                  <w:vAlign w:val="center"/>
                </w:tcPr>
                <w:p w14:paraId="435417B2">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rFonts w:hint="default" w:ascii="Times New Roman" w:hAnsi="Times New Roman" w:cs="Times New Roman"/>
                      <w:bCs/>
                      <w:snapToGrid w:val="0"/>
                      <w:color w:val="auto"/>
                      <w:kern w:val="0"/>
                      <w:sz w:val="21"/>
                      <w:szCs w:val="21"/>
                      <w:highlight w:val="none"/>
                      <w:lang w:val="zh-CN"/>
                    </w:rPr>
                  </w:pPr>
                  <w:r>
                    <w:rPr>
                      <w:rFonts w:hint="default" w:ascii="Times New Roman" w:hAnsi="Times New Roman" w:cs="Times New Roman"/>
                      <w:bCs/>
                      <w:snapToGrid w:val="0"/>
                      <w:color w:val="auto"/>
                      <w:kern w:val="0"/>
                      <w:sz w:val="21"/>
                      <w:szCs w:val="21"/>
                      <w:highlight w:val="none"/>
                      <w:lang w:val="zh-CN"/>
                    </w:rPr>
                    <w:t>45</w:t>
                  </w:r>
                </w:p>
              </w:tc>
              <w:tc>
                <w:tcPr>
                  <w:tcW w:w="732" w:type="pct"/>
                  <w:noWrap w:val="0"/>
                  <w:vAlign w:val="center"/>
                </w:tcPr>
                <w:p w14:paraId="092E07F5">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rFonts w:hint="default" w:ascii="Times New Roman" w:hAnsi="Times New Roman" w:eastAsia="宋体" w:cs="Times New Roman"/>
                      <w:bCs/>
                      <w:snapToGrid w:val="0"/>
                      <w:color w:val="auto"/>
                      <w:kern w:val="0"/>
                      <w:sz w:val="21"/>
                      <w:szCs w:val="21"/>
                      <w:highlight w:val="none"/>
                      <w:lang w:val="en-US" w:eastAsia="zh-CN"/>
                    </w:rPr>
                  </w:pPr>
                  <w:r>
                    <w:rPr>
                      <w:rFonts w:hint="eastAsia" w:cs="Times New Roman"/>
                      <w:bCs/>
                      <w:snapToGrid w:val="0"/>
                      <w:color w:val="auto"/>
                      <w:kern w:val="0"/>
                      <w:sz w:val="21"/>
                      <w:szCs w:val="21"/>
                      <w:highlight w:val="none"/>
                      <w:lang w:val="en-US" w:eastAsia="zh-CN"/>
                    </w:rPr>
                    <w:t>15</w:t>
                  </w:r>
                </w:p>
              </w:tc>
              <w:tc>
                <w:tcPr>
                  <w:tcW w:w="567" w:type="pct"/>
                  <w:noWrap w:val="0"/>
                  <w:vAlign w:val="center"/>
                </w:tcPr>
                <w:p w14:paraId="525840B8">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rFonts w:hint="default" w:ascii="Times New Roman" w:hAnsi="Times New Roman" w:cs="Times New Roman"/>
                      <w:bCs/>
                      <w:snapToGrid w:val="0"/>
                      <w:color w:val="auto"/>
                      <w:kern w:val="0"/>
                      <w:sz w:val="21"/>
                      <w:szCs w:val="21"/>
                      <w:highlight w:val="none"/>
                      <w:lang w:val="zh-CN"/>
                    </w:rPr>
                  </w:pPr>
                  <w:r>
                    <w:rPr>
                      <w:rFonts w:hint="default" w:ascii="Times New Roman" w:hAnsi="Times New Roman" w:cs="Times New Roman"/>
                      <w:bCs/>
                      <w:snapToGrid w:val="0"/>
                      <w:color w:val="auto"/>
                      <w:kern w:val="0"/>
                      <w:sz w:val="21"/>
                      <w:szCs w:val="21"/>
                      <w:highlight w:val="none"/>
                      <w:lang w:val="zh-CN"/>
                    </w:rPr>
                    <w:t>1.5</w:t>
                  </w:r>
                </w:p>
              </w:tc>
              <w:tc>
                <w:tcPr>
                  <w:tcW w:w="818" w:type="pct"/>
                  <w:noWrap w:val="0"/>
                  <w:vAlign w:val="center"/>
                </w:tcPr>
                <w:p w14:paraId="41E025DC">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rFonts w:hint="default" w:ascii="Times New Roman" w:hAnsi="Times New Roman" w:cs="Times New Roman"/>
                      <w:bCs/>
                      <w:snapToGrid w:val="0"/>
                      <w:color w:val="auto"/>
                      <w:kern w:val="0"/>
                      <w:sz w:val="21"/>
                      <w:szCs w:val="21"/>
                      <w:highlight w:val="none"/>
                      <w:lang w:val="zh-CN"/>
                    </w:rPr>
                  </w:pPr>
                  <w:r>
                    <w:rPr>
                      <w:rFonts w:hint="default" w:ascii="Times New Roman" w:hAnsi="Times New Roman" w:cs="Times New Roman"/>
                      <w:bCs/>
                      <w:snapToGrid w:val="0"/>
                      <w:color w:val="auto"/>
                      <w:kern w:val="0"/>
                      <w:sz w:val="21"/>
                      <w:szCs w:val="21"/>
                      <w:highlight w:val="none"/>
                      <w:lang w:val="zh-CN"/>
                    </w:rPr>
                    <w:t>1.2</w:t>
                  </w:r>
                </w:p>
              </w:tc>
              <w:tc>
                <w:tcPr>
                  <w:tcW w:w="1615" w:type="pct"/>
                  <w:vMerge w:val="restart"/>
                  <w:tcBorders>
                    <w:right w:val="single" w:color="000000" w:sz="4" w:space="0"/>
                  </w:tcBorders>
                  <w:noWrap w:val="0"/>
                  <w:vAlign w:val="center"/>
                </w:tcPr>
                <w:p w14:paraId="149B581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snapToGrid w:val="0"/>
                      <w:color w:val="auto"/>
                      <w:kern w:val="0"/>
                      <w:sz w:val="21"/>
                      <w:szCs w:val="21"/>
                      <w:highlight w:val="none"/>
                      <w:lang w:val="zh-CN"/>
                    </w:rPr>
                  </w:pPr>
                  <w:r>
                    <w:rPr>
                      <w:rFonts w:hint="default" w:ascii="Times New Roman" w:hAnsi="Times New Roman" w:cs="Times New Roman"/>
                      <w:bCs/>
                      <w:snapToGrid w:val="0"/>
                      <w:color w:val="auto"/>
                      <w:kern w:val="0"/>
                      <w:sz w:val="21"/>
                      <w:szCs w:val="21"/>
                      <w:highlight w:val="none"/>
                      <w:lang w:val="zh-CN"/>
                    </w:rPr>
                    <w:t>《大气污染物综合排放标准》</w:t>
                  </w:r>
                </w:p>
                <w:p w14:paraId="397F923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snapToGrid w:val="0"/>
                      <w:color w:val="auto"/>
                      <w:kern w:val="0"/>
                      <w:sz w:val="21"/>
                      <w:szCs w:val="21"/>
                      <w:highlight w:val="none"/>
                      <w:lang w:val="zh-CN"/>
                    </w:rPr>
                  </w:pPr>
                  <w:r>
                    <w:rPr>
                      <w:rFonts w:hint="default" w:ascii="Times New Roman" w:hAnsi="Times New Roman" w:cs="Times New Roman"/>
                      <w:bCs/>
                      <w:snapToGrid w:val="0"/>
                      <w:color w:val="auto"/>
                      <w:kern w:val="0"/>
                      <w:sz w:val="21"/>
                      <w:szCs w:val="21"/>
                      <w:highlight w:val="none"/>
                      <w:lang w:val="zh-CN"/>
                    </w:rPr>
                    <w:t>（GB16297-1996）</w:t>
                  </w:r>
                </w:p>
              </w:tc>
            </w:tr>
            <w:tr w14:paraId="4D90C78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1" w:hRule="atLeast"/>
              </w:trPr>
              <w:tc>
                <w:tcPr>
                  <w:tcW w:w="633" w:type="pct"/>
                  <w:tcBorders>
                    <w:left w:val="single" w:color="000000" w:sz="4" w:space="0"/>
                  </w:tcBorders>
                  <w:noWrap w:val="0"/>
                  <w:vAlign w:val="center"/>
                </w:tcPr>
                <w:p w14:paraId="2C63E96A">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rFonts w:hint="default" w:ascii="Times New Roman" w:hAnsi="Times New Roman" w:cs="Times New Roman"/>
                      <w:bCs/>
                      <w:snapToGrid w:val="0"/>
                      <w:color w:val="auto"/>
                      <w:kern w:val="0"/>
                      <w:sz w:val="21"/>
                      <w:szCs w:val="21"/>
                      <w:highlight w:val="none"/>
                      <w:lang w:val="zh-CN"/>
                    </w:rPr>
                  </w:pPr>
                  <w:r>
                    <w:rPr>
                      <w:rFonts w:hint="default" w:ascii="Times New Roman" w:hAnsi="Times New Roman" w:cs="Times New Roman"/>
                      <w:bCs/>
                      <w:snapToGrid w:val="0"/>
                      <w:color w:val="auto"/>
                      <w:kern w:val="0"/>
                      <w:sz w:val="21"/>
                      <w:szCs w:val="21"/>
                      <w:highlight w:val="none"/>
                      <w:lang w:val="zh-CN"/>
                    </w:rPr>
                    <w:t>氯化氢</w:t>
                  </w:r>
                </w:p>
              </w:tc>
              <w:tc>
                <w:tcPr>
                  <w:tcW w:w="633" w:type="pct"/>
                  <w:noWrap w:val="0"/>
                  <w:vAlign w:val="center"/>
                </w:tcPr>
                <w:p w14:paraId="3D094804">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rFonts w:hint="default" w:ascii="Times New Roman" w:hAnsi="Times New Roman" w:cs="Times New Roman"/>
                      <w:bCs/>
                      <w:snapToGrid w:val="0"/>
                      <w:color w:val="auto"/>
                      <w:kern w:val="0"/>
                      <w:sz w:val="21"/>
                      <w:szCs w:val="21"/>
                      <w:highlight w:val="none"/>
                      <w:lang w:val="zh-CN"/>
                    </w:rPr>
                  </w:pPr>
                  <w:r>
                    <w:rPr>
                      <w:rFonts w:hint="default" w:ascii="Times New Roman" w:hAnsi="Times New Roman" w:cs="Times New Roman"/>
                      <w:bCs/>
                      <w:snapToGrid w:val="0"/>
                      <w:color w:val="auto"/>
                      <w:kern w:val="0"/>
                      <w:sz w:val="21"/>
                      <w:szCs w:val="21"/>
                      <w:highlight w:val="none"/>
                      <w:lang w:val="zh-CN"/>
                    </w:rPr>
                    <w:t>100</w:t>
                  </w:r>
                </w:p>
              </w:tc>
              <w:tc>
                <w:tcPr>
                  <w:tcW w:w="732" w:type="pct"/>
                  <w:noWrap w:val="0"/>
                  <w:vAlign w:val="center"/>
                </w:tcPr>
                <w:p w14:paraId="1E30968E">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rFonts w:hint="default" w:ascii="Times New Roman" w:hAnsi="Times New Roman" w:eastAsia="宋体" w:cs="Times New Roman"/>
                      <w:bCs/>
                      <w:snapToGrid w:val="0"/>
                      <w:color w:val="auto"/>
                      <w:kern w:val="0"/>
                      <w:sz w:val="21"/>
                      <w:szCs w:val="21"/>
                      <w:highlight w:val="none"/>
                      <w:lang w:val="en-US" w:eastAsia="zh-CN"/>
                    </w:rPr>
                  </w:pPr>
                  <w:r>
                    <w:rPr>
                      <w:rFonts w:hint="eastAsia" w:cs="Times New Roman"/>
                      <w:bCs/>
                      <w:snapToGrid w:val="0"/>
                      <w:color w:val="auto"/>
                      <w:kern w:val="0"/>
                      <w:sz w:val="21"/>
                      <w:szCs w:val="21"/>
                      <w:highlight w:val="none"/>
                      <w:lang w:val="en-US" w:eastAsia="zh-CN"/>
                    </w:rPr>
                    <w:t>15</w:t>
                  </w:r>
                </w:p>
              </w:tc>
              <w:tc>
                <w:tcPr>
                  <w:tcW w:w="567" w:type="pct"/>
                  <w:noWrap w:val="0"/>
                  <w:vAlign w:val="center"/>
                </w:tcPr>
                <w:p w14:paraId="7C3FD14C">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rFonts w:hint="default" w:ascii="Times New Roman" w:hAnsi="Times New Roman" w:cs="Times New Roman"/>
                      <w:bCs/>
                      <w:snapToGrid w:val="0"/>
                      <w:color w:val="auto"/>
                      <w:kern w:val="0"/>
                      <w:sz w:val="21"/>
                      <w:szCs w:val="21"/>
                      <w:highlight w:val="none"/>
                      <w:lang w:val="zh-CN"/>
                    </w:rPr>
                  </w:pPr>
                  <w:r>
                    <w:rPr>
                      <w:rFonts w:hint="default" w:ascii="Times New Roman" w:hAnsi="Times New Roman" w:cs="Times New Roman"/>
                      <w:bCs/>
                      <w:snapToGrid w:val="0"/>
                      <w:color w:val="auto"/>
                      <w:kern w:val="0"/>
                      <w:sz w:val="21"/>
                      <w:szCs w:val="21"/>
                      <w:highlight w:val="none"/>
                      <w:lang w:val="zh-CN"/>
                    </w:rPr>
                    <w:t>0.26</w:t>
                  </w:r>
                </w:p>
              </w:tc>
              <w:tc>
                <w:tcPr>
                  <w:tcW w:w="818" w:type="pct"/>
                  <w:noWrap w:val="0"/>
                  <w:vAlign w:val="center"/>
                </w:tcPr>
                <w:p w14:paraId="463D4214">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rFonts w:hint="default" w:ascii="Times New Roman" w:hAnsi="Times New Roman" w:cs="Times New Roman"/>
                      <w:bCs/>
                      <w:snapToGrid w:val="0"/>
                      <w:color w:val="auto"/>
                      <w:kern w:val="0"/>
                      <w:sz w:val="21"/>
                      <w:szCs w:val="21"/>
                      <w:highlight w:val="none"/>
                      <w:lang w:val="zh-CN"/>
                    </w:rPr>
                  </w:pPr>
                  <w:r>
                    <w:rPr>
                      <w:rFonts w:hint="default" w:ascii="Times New Roman" w:hAnsi="Times New Roman" w:cs="Times New Roman"/>
                      <w:bCs/>
                      <w:snapToGrid w:val="0"/>
                      <w:color w:val="auto"/>
                      <w:kern w:val="0"/>
                      <w:sz w:val="21"/>
                      <w:szCs w:val="21"/>
                      <w:highlight w:val="none"/>
                      <w:lang w:val="zh-CN"/>
                    </w:rPr>
                    <w:t>0.2</w:t>
                  </w:r>
                </w:p>
              </w:tc>
              <w:tc>
                <w:tcPr>
                  <w:tcW w:w="1615" w:type="pct"/>
                  <w:vMerge w:val="continue"/>
                  <w:tcBorders>
                    <w:top w:val="nil"/>
                    <w:right w:val="single" w:color="000000" w:sz="4" w:space="0"/>
                  </w:tcBorders>
                  <w:noWrap w:val="0"/>
                  <w:vAlign w:val="center"/>
                </w:tcPr>
                <w:p w14:paraId="36F842A2">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color w:val="auto"/>
                      <w:sz w:val="2"/>
                      <w:szCs w:val="2"/>
                    </w:rPr>
                  </w:pPr>
                </w:p>
              </w:tc>
            </w:tr>
          </w:tbl>
          <w:p w14:paraId="721406E7">
            <w:pPr>
              <w:keepNext w:val="0"/>
              <w:keepLines w:val="0"/>
              <w:pageBreakBefore w:val="0"/>
              <w:widowControl w:val="0"/>
              <w:numPr>
                <w:ilvl w:val="0"/>
                <w:numId w:val="25"/>
              </w:numPr>
              <w:kinsoku/>
              <w:wordWrap/>
              <w:overflowPunct/>
              <w:topLinePunct w:val="0"/>
              <w:autoSpaceDE w:val="0"/>
              <w:autoSpaceDN w:val="0"/>
              <w:bidi w:val="0"/>
              <w:adjustRightInd w:val="0"/>
              <w:snapToGrid/>
              <w:spacing w:before="157" w:beforeLines="50" w:line="240" w:lineRule="auto"/>
              <w:ind w:left="0" w:leftChars="0" w:firstLine="0" w:firstLineChars="0"/>
              <w:jc w:val="center"/>
              <w:textAlignment w:val="auto"/>
              <w:rPr>
                <w:rFonts w:hint="default" w:ascii="Times New Roman" w:hAnsi="Times New Roman" w:cs="Times New Roman"/>
                <w:b/>
                <w:bCs/>
                <w:color w:val="auto"/>
                <w:kern w:val="0"/>
                <w:sz w:val="24"/>
                <w:szCs w:val="24"/>
                <w:lang w:val="en-US" w:eastAsia="zh-CN" w:bidi="ar"/>
              </w:rPr>
            </w:pPr>
            <w:r>
              <w:rPr>
                <w:rFonts w:hint="eastAsia" w:cs="Times New Roman"/>
                <w:b/>
                <w:bCs/>
                <w:color w:val="auto"/>
                <w:kern w:val="0"/>
                <w:sz w:val="24"/>
                <w:szCs w:val="24"/>
                <w:lang w:val="en-US" w:eastAsia="zh-CN" w:bidi="ar"/>
              </w:rPr>
              <w:t>厂区内VOCs（以非甲烷总烃计）排放执行标准</w:t>
            </w:r>
          </w:p>
          <w:tbl>
            <w:tblPr>
              <w:tblStyle w:val="28"/>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33"/>
              <w:gridCol w:w="1671"/>
              <w:gridCol w:w="2742"/>
              <w:gridCol w:w="2384"/>
            </w:tblGrid>
            <w:tr w14:paraId="0F10E8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0" w:type="pct"/>
                </w:tcPr>
                <w:p w14:paraId="04B57C5E">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rFonts w:hint="default" w:ascii="Times New Roman" w:hAnsi="Times New Roman" w:cs="Times New Roman"/>
                      <w:bCs/>
                      <w:snapToGrid w:val="0"/>
                      <w:color w:val="auto"/>
                      <w:kern w:val="0"/>
                      <w:sz w:val="21"/>
                      <w:szCs w:val="21"/>
                      <w:highlight w:val="none"/>
                      <w:lang w:val="en-US" w:eastAsia="zh-CN"/>
                    </w:rPr>
                  </w:pPr>
                  <w:r>
                    <w:rPr>
                      <w:rFonts w:hint="eastAsia" w:ascii="Times New Roman" w:hAnsi="Times New Roman" w:cs="Times New Roman"/>
                      <w:bCs/>
                      <w:snapToGrid w:val="0"/>
                      <w:color w:val="auto"/>
                      <w:kern w:val="0"/>
                      <w:sz w:val="21"/>
                      <w:szCs w:val="21"/>
                      <w:highlight w:val="none"/>
                      <w:lang w:val="en-US" w:eastAsia="zh-CN"/>
                    </w:rPr>
                    <w:t>污染物项目</w:t>
                  </w:r>
                </w:p>
              </w:tc>
              <w:tc>
                <w:tcPr>
                  <w:tcW w:w="1015" w:type="pct"/>
                </w:tcPr>
                <w:p w14:paraId="597710C7">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rFonts w:hint="default" w:ascii="Times New Roman" w:hAnsi="Times New Roman" w:cs="Times New Roman"/>
                      <w:bCs/>
                      <w:snapToGrid w:val="0"/>
                      <w:color w:val="auto"/>
                      <w:kern w:val="0"/>
                      <w:sz w:val="21"/>
                      <w:szCs w:val="21"/>
                      <w:highlight w:val="none"/>
                      <w:lang w:val="en-US" w:eastAsia="zh-CN"/>
                    </w:rPr>
                  </w:pPr>
                  <w:r>
                    <w:rPr>
                      <w:rFonts w:hint="eastAsia" w:ascii="Times New Roman" w:hAnsi="Times New Roman" w:cs="Times New Roman"/>
                      <w:bCs/>
                      <w:snapToGrid w:val="0"/>
                      <w:color w:val="auto"/>
                      <w:kern w:val="0"/>
                      <w:sz w:val="21"/>
                      <w:szCs w:val="21"/>
                      <w:highlight w:val="none"/>
                      <w:lang w:val="en-US" w:eastAsia="zh-CN"/>
                    </w:rPr>
                    <w:t>特别排放限值</w:t>
                  </w:r>
                </w:p>
              </w:tc>
              <w:tc>
                <w:tcPr>
                  <w:tcW w:w="1665" w:type="pct"/>
                </w:tcPr>
                <w:p w14:paraId="38F553E7">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rFonts w:hint="default" w:ascii="Times New Roman" w:hAnsi="Times New Roman" w:cs="Times New Roman"/>
                      <w:bCs/>
                      <w:snapToGrid w:val="0"/>
                      <w:color w:val="auto"/>
                      <w:kern w:val="0"/>
                      <w:sz w:val="21"/>
                      <w:szCs w:val="21"/>
                      <w:highlight w:val="none"/>
                      <w:lang w:val="en-US" w:eastAsia="zh-CN"/>
                    </w:rPr>
                  </w:pPr>
                  <w:r>
                    <w:rPr>
                      <w:rFonts w:hint="eastAsia" w:ascii="Times New Roman" w:hAnsi="Times New Roman" w:cs="Times New Roman"/>
                      <w:bCs/>
                      <w:snapToGrid w:val="0"/>
                      <w:color w:val="auto"/>
                      <w:kern w:val="0"/>
                      <w:sz w:val="21"/>
                      <w:szCs w:val="21"/>
                      <w:highlight w:val="none"/>
                      <w:lang w:val="en-US" w:eastAsia="zh-CN"/>
                    </w:rPr>
                    <w:t>限值含义</w:t>
                  </w:r>
                </w:p>
              </w:tc>
              <w:tc>
                <w:tcPr>
                  <w:tcW w:w="1448" w:type="pct"/>
                </w:tcPr>
                <w:p w14:paraId="5D62CC34">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rFonts w:hint="default" w:ascii="Times New Roman" w:hAnsi="Times New Roman" w:cs="Times New Roman"/>
                      <w:bCs/>
                      <w:snapToGrid w:val="0"/>
                      <w:color w:val="auto"/>
                      <w:kern w:val="0"/>
                      <w:sz w:val="21"/>
                      <w:szCs w:val="21"/>
                      <w:highlight w:val="none"/>
                      <w:lang w:val="en-US" w:eastAsia="zh-CN"/>
                    </w:rPr>
                  </w:pPr>
                  <w:r>
                    <w:rPr>
                      <w:rFonts w:hint="eastAsia" w:ascii="Times New Roman" w:hAnsi="Times New Roman" w:cs="Times New Roman"/>
                      <w:bCs/>
                      <w:snapToGrid w:val="0"/>
                      <w:color w:val="auto"/>
                      <w:kern w:val="0"/>
                      <w:sz w:val="21"/>
                      <w:szCs w:val="21"/>
                      <w:highlight w:val="none"/>
                      <w:lang w:val="en-US" w:eastAsia="zh-CN"/>
                    </w:rPr>
                    <w:t>无组织排放监控位置</w:t>
                  </w:r>
                </w:p>
              </w:tc>
            </w:tr>
            <w:tr w14:paraId="610A71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0" w:type="pct"/>
                  <w:vMerge w:val="restart"/>
                  <w:vAlign w:val="center"/>
                </w:tcPr>
                <w:p w14:paraId="7D08E856">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rFonts w:hint="default" w:ascii="Times New Roman" w:hAnsi="Times New Roman" w:cs="Times New Roman"/>
                      <w:bCs/>
                      <w:snapToGrid w:val="0"/>
                      <w:color w:val="auto"/>
                      <w:kern w:val="0"/>
                      <w:sz w:val="21"/>
                      <w:szCs w:val="21"/>
                      <w:highlight w:val="none"/>
                      <w:lang w:val="en-US" w:eastAsia="zh-CN"/>
                    </w:rPr>
                  </w:pPr>
                  <w:r>
                    <w:rPr>
                      <w:rFonts w:hint="eastAsia" w:cs="Times New Roman"/>
                      <w:bCs/>
                      <w:snapToGrid w:val="0"/>
                      <w:color w:val="auto"/>
                      <w:kern w:val="0"/>
                      <w:sz w:val="21"/>
                      <w:szCs w:val="21"/>
                      <w:highlight w:val="none"/>
                      <w:lang w:val="en-US" w:eastAsia="zh-CN"/>
                    </w:rPr>
                    <w:t>非甲烷总烃</w:t>
                  </w:r>
                </w:p>
              </w:tc>
              <w:tc>
                <w:tcPr>
                  <w:tcW w:w="1015" w:type="pct"/>
                </w:tcPr>
                <w:p w14:paraId="4286BB38">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rFonts w:hint="default" w:ascii="Times New Roman" w:hAnsi="Times New Roman" w:cs="Times New Roman"/>
                      <w:bCs/>
                      <w:snapToGrid w:val="0"/>
                      <w:color w:val="auto"/>
                      <w:kern w:val="0"/>
                      <w:sz w:val="21"/>
                      <w:szCs w:val="21"/>
                      <w:highlight w:val="none"/>
                      <w:lang w:val="en-US" w:eastAsia="zh-CN"/>
                    </w:rPr>
                  </w:pPr>
                  <w:r>
                    <w:rPr>
                      <w:rFonts w:hint="eastAsia" w:cs="Times New Roman"/>
                      <w:bCs/>
                      <w:snapToGrid w:val="0"/>
                      <w:color w:val="auto"/>
                      <w:kern w:val="0"/>
                      <w:sz w:val="21"/>
                      <w:szCs w:val="21"/>
                      <w:highlight w:val="none"/>
                      <w:lang w:val="en-US" w:eastAsia="zh-CN"/>
                    </w:rPr>
                    <w:t>6</w:t>
                  </w:r>
                </w:p>
              </w:tc>
              <w:tc>
                <w:tcPr>
                  <w:tcW w:w="1665" w:type="pct"/>
                </w:tcPr>
                <w:p w14:paraId="4B24F9C6">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rFonts w:hint="eastAsia" w:ascii="Times New Roman" w:hAnsi="Times New Roman" w:cs="Times New Roman"/>
                      <w:bCs/>
                      <w:snapToGrid w:val="0"/>
                      <w:color w:val="auto"/>
                      <w:kern w:val="0"/>
                      <w:sz w:val="21"/>
                      <w:szCs w:val="21"/>
                      <w:highlight w:val="none"/>
                      <w:lang w:val="en-US" w:eastAsia="zh-CN"/>
                    </w:rPr>
                  </w:pPr>
                  <w:r>
                    <w:rPr>
                      <w:rFonts w:hint="eastAsia" w:ascii="Times New Roman" w:hAnsi="Times New Roman" w:cs="Times New Roman"/>
                      <w:bCs/>
                      <w:snapToGrid w:val="0"/>
                      <w:color w:val="auto"/>
                      <w:kern w:val="0"/>
                      <w:sz w:val="21"/>
                      <w:szCs w:val="21"/>
                      <w:highlight w:val="none"/>
                      <w:lang w:val="en-US" w:eastAsia="zh-CN"/>
                    </w:rPr>
                    <w:t>监控点处1h平均浓度值</w:t>
                  </w:r>
                </w:p>
              </w:tc>
              <w:tc>
                <w:tcPr>
                  <w:tcW w:w="1448" w:type="pct"/>
                  <w:vMerge w:val="restart"/>
                  <w:vAlign w:val="center"/>
                </w:tcPr>
                <w:p w14:paraId="6EA5D317">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rFonts w:hint="eastAsia" w:ascii="Times New Roman" w:hAnsi="Times New Roman" w:cs="Times New Roman"/>
                      <w:bCs/>
                      <w:snapToGrid w:val="0"/>
                      <w:color w:val="auto"/>
                      <w:kern w:val="0"/>
                      <w:sz w:val="21"/>
                      <w:szCs w:val="21"/>
                      <w:highlight w:val="none"/>
                      <w:lang w:val="en-US" w:eastAsia="zh-CN"/>
                    </w:rPr>
                  </w:pPr>
                  <w:r>
                    <w:rPr>
                      <w:rFonts w:hint="eastAsia"/>
                      <w:color w:val="auto"/>
                    </w:rPr>
                    <w:t>在厂房外设置监控点</w:t>
                  </w:r>
                </w:p>
              </w:tc>
            </w:tr>
            <w:tr w14:paraId="6292FC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0" w:type="pct"/>
                  <w:vMerge w:val="continue"/>
                </w:tcPr>
                <w:p w14:paraId="75CBCBE4">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rFonts w:hint="eastAsia" w:ascii="Times New Roman" w:hAnsi="Times New Roman" w:cs="Times New Roman"/>
                      <w:bCs/>
                      <w:snapToGrid w:val="0"/>
                      <w:color w:val="auto"/>
                      <w:kern w:val="0"/>
                      <w:sz w:val="21"/>
                      <w:szCs w:val="21"/>
                      <w:highlight w:val="none"/>
                      <w:lang w:val="en-US" w:eastAsia="zh-CN"/>
                    </w:rPr>
                  </w:pPr>
                </w:p>
              </w:tc>
              <w:tc>
                <w:tcPr>
                  <w:tcW w:w="1015" w:type="pct"/>
                </w:tcPr>
                <w:p w14:paraId="425C77A1">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rFonts w:hint="default" w:ascii="Times New Roman" w:hAnsi="Times New Roman" w:cs="Times New Roman"/>
                      <w:bCs/>
                      <w:snapToGrid w:val="0"/>
                      <w:color w:val="auto"/>
                      <w:kern w:val="0"/>
                      <w:sz w:val="21"/>
                      <w:szCs w:val="21"/>
                      <w:highlight w:val="none"/>
                      <w:lang w:val="en-US" w:eastAsia="zh-CN"/>
                    </w:rPr>
                  </w:pPr>
                  <w:r>
                    <w:rPr>
                      <w:rFonts w:hint="eastAsia" w:cs="Times New Roman"/>
                      <w:bCs/>
                      <w:snapToGrid w:val="0"/>
                      <w:color w:val="auto"/>
                      <w:kern w:val="0"/>
                      <w:sz w:val="21"/>
                      <w:szCs w:val="21"/>
                      <w:highlight w:val="none"/>
                      <w:lang w:val="en-US" w:eastAsia="zh-CN"/>
                    </w:rPr>
                    <w:t>20</w:t>
                  </w:r>
                </w:p>
              </w:tc>
              <w:tc>
                <w:tcPr>
                  <w:tcW w:w="1665" w:type="pct"/>
                </w:tcPr>
                <w:p w14:paraId="3158B699">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rFonts w:hint="eastAsia" w:ascii="Times New Roman" w:hAnsi="Times New Roman" w:cs="Times New Roman"/>
                      <w:bCs/>
                      <w:snapToGrid w:val="0"/>
                      <w:color w:val="auto"/>
                      <w:kern w:val="0"/>
                      <w:sz w:val="21"/>
                      <w:szCs w:val="21"/>
                      <w:highlight w:val="none"/>
                      <w:lang w:val="en-US" w:eastAsia="zh-CN"/>
                    </w:rPr>
                  </w:pPr>
                  <w:r>
                    <w:rPr>
                      <w:rFonts w:hint="eastAsia" w:ascii="Times New Roman" w:hAnsi="Times New Roman" w:cs="Times New Roman"/>
                      <w:bCs/>
                      <w:snapToGrid w:val="0"/>
                      <w:color w:val="auto"/>
                      <w:kern w:val="0"/>
                      <w:sz w:val="21"/>
                      <w:szCs w:val="21"/>
                      <w:highlight w:val="none"/>
                      <w:lang w:val="en-US" w:eastAsia="zh-CN"/>
                    </w:rPr>
                    <w:t>监控点处任意一次浓度值</w:t>
                  </w:r>
                </w:p>
              </w:tc>
              <w:tc>
                <w:tcPr>
                  <w:tcW w:w="1448" w:type="pct"/>
                  <w:vMerge w:val="continue"/>
                </w:tcPr>
                <w:p w14:paraId="293CF667">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rFonts w:hint="eastAsia" w:ascii="Times New Roman" w:hAnsi="Times New Roman" w:cs="Times New Roman"/>
                      <w:bCs/>
                      <w:snapToGrid w:val="0"/>
                      <w:color w:val="auto"/>
                      <w:kern w:val="0"/>
                      <w:sz w:val="21"/>
                      <w:szCs w:val="21"/>
                      <w:highlight w:val="none"/>
                      <w:lang w:val="en-US" w:eastAsia="zh-CN"/>
                    </w:rPr>
                  </w:pPr>
                </w:p>
              </w:tc>
            </w:tr>
          </w:tbl>
          <w:p w14:paraId="1B7EC1D1">
            <w:pPr>
              <w:pStyle w:val="23"/>
              <w:keepNext w:val="0"/>
              <w:keepLines w:val="0"/>
              <w:pageBreakBefore w:val="0"/>
              <w:widowControl/>
              <w:numPr>
                <w:ilvl w:val="0"/>
                <w:numId w:val="26"/>
              </w:numPr>
              <w:kinsoku/>
              <w:wordWrap/>
              <w:overflowPunct/>
              <w:topLinePunct w:val="0"/>
              <w:autoSpaceDE/>
              <w:autoSpaceDN/>
              <w:bidi w:val="0"/>
              <w:adjustRightInd w:val="0"/>
              <w:snapToGrid w:val="0"/>
              <w:spacing w:before="0" w:beforeAutospacing="0" w:after="0" w:afterAutospacing="0" w:line="360" w:lineRule="auto"/>
              <w:ind w:firstLine="480" w:firstLineChars="200"/>
              <w:jc w:val="both"/>
              <w:textAlignment w:val="auto"/>
              <w:rPr>
                <w:rFonts w:hint="eastAsia" w:ascii="Times New Roman" w:hAnsi="Times New Roman"/>
                <w:color w:val="auto"/>
                <w:szCs w:val="24"/>
                <w:lang w:val="en-US" w:eastAsia="zh-CN"/>
              </w:rPr>
            </w:pPr>
            <w:r>
              <w:rPr>
                <w:rFonts w:hint="eastAsia" w:ascii="Times New Roman" w:hAnsi="Times New Roman"/>
                <w:color w:val="auto"/>
                <w:szCs w:val="24"/>
                <w:lang w:val="en-US" w:eastAsia="zh-CN"/>
              </w:rPr>
              <w:t>废水</w:t>
            </w:r>
          </w:p>
          <w:p w14:paraId="58597D9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cs="Times New Roman"/>
                <w:color w:val="auto"/>
                <w:sz w:val="24"/>
                <w:lang w:val="en-US" w:eastAsia="zh-CN"/>
              </w:rPr>
            </w:pPr>
            <w:r>
              <w:rPr>
                <w:rFonts w:hint="eastAsia" w:cs="Times New Roman"/>
                <w:color w:val="auto"/>
                <w:sz w:val="24"/>
                <w:lang w:val="en-US" w:eastAsia="zh-CN"/>
              </w:rPr>
              <w:t>项目废水为生活污水，经化粪池暂存后，由环卫部门清运。</w:t>
            </w:r>
          </w:p>
          <w:p w14:paraId="2CAD632E">
            <w:pPr>
              <w:pStyle w:val="23"/>
              <w:keepNext w:val="0"/>
              <w:keepLines w:val="0"/>
              <w:pageBreakBefore w:val="0"/>
              <w:widowControl/>
              <w:numPr>
                <w:ilvl w:val="0"/>
                <w:numId w:val="26"/>
              </w:numPr>
              <w:kinsoku/>
              <w:wordWrap/>
              <w:overflowPunct/>
              <w:topLinePunct w:val="0"/>
              <w:autoSpaceDE/>
              <w:autoSpaceDN/>
              <w:bidi w:val="0"/>
              <w:adjustRightInd w:val="0"/>
              <w:snapToGrid w:val="0"/>
              <w:spacing w:before="0" w:beforeAutospacing="0" w:after="0" w:afterAutospacing="0" w:line="360" w:lineRule="auto"/>
              <w:ind w:firstLine="480" w:firstLineChars="200"/>
              <w:jc w:val="both"/>
              <w:textAlignment w:val="auto"/>
              <w:rPr>
                <w:rFonts w:hint="eastAsia" w:ascii="Times New Roman" w:hAnsi="Times New Roman"/>
                <w:color w:val="auto"/>
                <w:szCs w:val="24"/>
                <w:lang w:val="en-US" w:eastAsia="zh-CN"/>
              </w:rPr>
            </w:pPr>
            <w:r>
              <w:rPr>
                <w:rFonts w:hint="eastAsia" w:ascii="Times New Roman" w:hAnsi="Times New Roman"/>
                <w:color w:val="auto"/>
                <w:szCs w:val="24"/>
                <w:lang w:val="en-US" w:eastAsia="zh-CN"/>
              </w:rPr>
              <w:t>噪声</w:t>
            </w:r>
          </w:p>
          <w:p w14:paraId="556E0A5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cs="Times New Roman"/>
                <w:color w:val="auto"/>
                <w:sz w:val="24"/>
                <w:lang w:val="en-US" w:eastAsia="zh-CN"/>
              </w:rPr>
            </w:pPr>
            <w:r>
              <w:rPr>
                <w:rFonts w:hint="eastAsia" w:cs="Times New Roman"/>
                <w:color w:val="auto"/>
                <w:sz w:val="24"/>
                <w:lang w:val="en-US" w:eastAsia="zh-CN"/>
              </w:rPr>
              <w:t>施工期噪声执行《建筑施工噪声排放标准》（GB12523-2025）标准。运营期噪声执行《工业企业厂界环境噪声排放标准》（GB12348-2008）中2类标准。</w:t>
            </w:r>
          </w:p>
          <w:p w14:paraId="3FF20298">
            <w:pPr>
              <w:keepNext w:val="0"/>
              <w:keepLines w:val="0"/>
              <w:pageBreakBefore w:val="0"/>
              <w:widowControl w:val="0"/>
              <w:numPr>
                <w:ilvl w:val="0"/>
                <w:numId w:val="25"/>
              </w:numPr>
              <w:kinsoku/>
              <w:wordWrap/>
              <w:overflowPunct/>
              <w:topLinePunct w:val="0"/>
              <w:autoSpaceDE w:val="0"/>
              <w:autoSpaceDN w:val="0"/>
              <w:bidi w:val="0"/>
              <w:adjustRightInd w:val="0"/>
              <w:snapToGrid/>
              <w:spacing w:line="360" w:lineRule="auto"/>
              <w:ind w:left="3150" w:leftChars="0" w:hanging="3110" w:firstLineChars="0"/>
              <w:jc w:val="center"/>
              <w:textAlignment w:val="auto"/>
              <w:rPr>
                <w:rFonts w:hint="default" w:ascii="宋体" w:hAnsi="宋体" w:eastAsia="宋体" w:cs="宋体"/>
                <w:b/>
                <w:bCs/>
                <w:color w:val="auto"/>
                <w:kern w:val="0"/>
                <w:sz w:val="24"/>
                <w:szCs w:val="24"/>
                <w:lang w:val="en-US" w:eastAsia="zh-CN" w:bidi="ar"/>
              </w:rPr>
            </w:pPr>
            <w:r>
              <w:rPr>
                <w:rFonts w:hint="default" w:ascii="宋体" w:hAnsi="宋体" w:eastAsia="宋体" w:cs="宋体"/>
                <w:b/>
                <w:bCs/>
                <w:color w:val="auto"/>
                <w:kern w:val="0"/>
                <w:sz w:val="24"/>
                <w:szCs w:val="24"/>
                <w:lang w:val="en-US" w:eastAsia="zh-CN" w:bidi="ar"/>
              </w:rPr>
              <w:t>工业企业厂界环境噪声排放标准</w:t>
            </w:r>
          </w:p>
          <w:tbl>
            <w:tblPr>
              <w:tblStyle w:val="2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83"/>
              <w:gridCol w:w="3189"/>
              <w:gridCol w:w="1879"/>
              <w:gridCol w:w="1879"/>
            </w:tblGrid>
            <w:tr w14:paraId="361672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jc w:val="center"/>
              </w:trPr>
              <w:tc>
                <w:tcPr>
                  <w:tcW w:w="779" w:type="pct"/>
                  <w:vAlign w:val="center"/>
                </w:tcPr>
                <w:p w14:paraId="76542BFF">
                  <w:pPr>
                    <w:pStyle w:val="97"/>
                    <w:keepNext w:val="0"/>
                    <w:keepLines w:val="0"/>
                    <w:pageBreakBefore w:val="0"/>
                    <w:widowControl w:val="0"/>
                    <w:kinsoku/>
                    <w:wordWrap/>
                    <w:overflowPunct/>
                    <w:topLinePunct w:val="0"/>
                    <w:autoSpaceDE/>
                    <w:autoSpaceDN/>
                    <w:bidi w:val="0"/>
                    <w:adjustRightInd/>
                    <w:snapToGrid/>
                    <w:spacing w:line="240" w:lineRule="auto"/>
                    <w:jc w:val="center"/>
                    <w:textAlignment w:val="auto"/>
                    <w:rPr>
                      <w:b/>
                      <w:color w:val="auto"/>
                    </w:rPr>
                  </w:pPr>
                  <w:r>
                    <w:rPr>
                      <w:rFonts w:hint="eastAsia"/>
                      <w:b/>
                      <w:color w:val="auto"/>
                    </w:rPr>
                    <w:t>时期</w:t>
                  </w:r>
                </w:p>
              </w:tc>
              <w:tc>
                <w:tcPr>
                  <w:tcW w:w="1936" w:type="pct"/>
                  <w:vAlign w:val="center"/>
                </w:tcPr>
                <w:p w14:paraId="171F5CFD">
                  <w:pPr>
                    <w:pStyle w:val="97"/>
                    <w:keepNext w:val="0"/>
                    <w:keepLines w:val="0"/>
                    <w:pageBreakBefore w:val="0"/>
                    <w:widowControl w:val="0"/>
                    <w:kinsoku/>
                    <w:wordWrap/>
                    <w:overflowPunct/>
                    <w:topLinePunct w:val="0"/>
                    <w:autoSpaceDE/>
                    <w:autoSpaceDN/>
                    <w:bidi w:val="0"/>
                    <w:adjustRightInd/>
                    <w:snapToGrid/>
                    <w:spacing w:line="240" w:lineRule="auto"/>
                    <w:jc w:val="center"/>
                    <w:textAlignment w:val="auto"/>
                    <w:rPr>
                      <w:b/>
                      <w:color w:val="auto"/>
                    </w:rPr>
                  </w:pPr>
                  <w:r>
                    <w:rPr>
                      <w:b/>
                      <w:color w:val="auto"/>
                    </w:rPr>
                    <w:t>执行时段</w:t>
                  </w:r>
                </w:p>
              </w:tc>
              <w:tc>
                <w:tcPr>
                  <w:tcW w:w="1141" w:type="pct"/>
                  <w:vAlign w:val="center"/>
                </w:tcPr>
                <w:p w14:paraId="60BBD7F3">
                  <w:pPr>
                    <w:pStyle w:val="97"/>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eastAsia="宋体"/>
                      <w:b/>
                      <w:color w:val="auto"/>
                      <w:lang w:eastAsia="zh-CN"/>
                    </w:rPr>
                  </w:pPr>
                  <w:r>
                    <w:rPr>
                      <w:b/>
                      <w:color w:val="auto"/>
                    </w:rPr>
                    <w:t>昼间dB</w:t>
                  </w:r>
                  <w:r>
                    <w:rPr>
                      <w:rFonts w:hint="eastAsia"/>
                      <w:b/>
                      <w:color w:val="auto"/>
                      <w:lang w:eastAsia="zh-CN"/>
                    </w:rPr>
                    <w:t>（</w:t>
                  </w:r>
                  <w:r>
                    <w:rPr>
                      <w:b/>
                      <w:color w:val="auto"/>
                    </w:rPr>
                    <w:t>A</w:t>
                  </w:r>
                  <w:r>
                    <w:rPr>
                      <w:rFonts w:hint="eastAsia"/>
                      <w:b/>
                      <w:color w:val="auto"/>
                      <w:lang w:eastAsia="zh-CN"/>
                    </w:rPr>
                    <w:t>）</w:t>
                  </w:r>
                </w:p>
              </w:tc>
              <w:tc>
                <w:tcPr>
                  <w:tcW w:w="1141" w:type="pct"/>
                  <w:vAlign w:val="center"/>
                </w:tcPr>
                <w:p w14:paraId="3C649247">
                  <w:pPr>
                    <w:pStyle w:val="97"/>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eastAsia="宋体"/>
                      <w:b/>
                      <w:color w:val="auto"/>
                      <w:lang w:eastAsia="zh-CN"/>
                    </w:rPr>
                  </w:pPr>
                  <w:r>
                    <w:rPr>
                      <w:b/>
                      <w:color w:val="auto"/>
                    </w:rPr>
                    <w:t>夜间dB</w:t>
                  </w:r>
                  <w:r>
                    <w:rPr>
                      <w:rFonts w:hint="eastAsia"/>
                      <w:b/>
                      <w:color w:val="auto"/>
                      <w:lang w:eastAsia="zh-CN"/>
                    </w:rPr>
                    <w:t>（</w:t>
                  </w:r>
                  <w:r>
                    <w:rPr>
                      <w:b/>
                      <w:color w:val="auto"/>
                    </w:rPr>
                    <w:t>A</w:t>
                  </w:r>
                  <w:r>
                    <w:rPr>
                      <w:rFonts w:hint="eastAsia"/>
                      <w:b/>
                      <w:color w:val="auto"/>
                      <w:lang w:eastAsia="zh-CN"/>
                    </w:rPr>
                    <w:t>）</w:t>
                  </w:r>
                </w:p>
              </w:tc>
            </w:tr>
            <w:tr w14:paraId="6C22D9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79" w:type="pct"/>
                  <w:vAlign w:val="center"/>
                </w:tcPr>
                <w:p w14:paraId="045B69F4">
                  <w:pPr>
                    <w:pStyle w:val="97"/>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rFonts w:hint="eastAsia"/>
                      <w:color w:val="auto"/>
                    </w:rPr>
                    <w:t>运行期</w:t>
                  </w:r>
                </w:p>
              </w:tc>
              <w:tc>
                <w:tcPr>
                  <w:tcW w:w="1936" w:type="pct"/>
                  <w:vAlign w:val="center"/>
                </w:tcPr>
                <w:p w14:paraId="2E98445F">
                  <w:pPr>
                    <w:pStyle w:val="97"/>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GB12348-2008，</w:t>
                  </w:r>
                  <w:r>
                    <w:rPr>
                      <w:rFonts w:hint="eastAsia"/>
                      <w:color w:val="auto"/>
                      <w:lang w:val="en-US" w:eastAsia="zh-CN"/>
                    </w:rPr>
                    <w:t>2</w:t>
                  </w:r>
                  <w:r>
                    <w:rPr>
                      <w:color w:val="auto"/>
                    </w:rPr>
                    <w:t>类</w:t>
                  </w:r>
                </w:p>
              </w:tc>
              <w:tc>
                <w:tcPr>
                  <w:tcW w:w="1141" w:type="pct"/>
                  <w:vAlign w:val="center"/>
                </w:tcPr>
                <w:p w14:paraId="3CE1C52E">
                  <w:pPr>
                    <w:pStyle w:val="97"/>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eastAsia="宋体"/>
                      <w:color w:val="auto"/>
                      <w:lang w:val="en-US" w:eastAsia="zh-CN"/>
                    </w:rPr>
                  </w:pPr>
                  <w:r>
                    <w:rPr>
                      <w:rFonts w:hint="eastAsia"/>
                      <w:color w:val="auto"/>
                      <w:lang w:val="en-US" w:eastAsia="zh-CN"/>
                    </w:rPr>
                    <w:t>60</w:t>
                  </w:r>
                </w:p>
              </w:tc>
              <w:tc>
                <w:tcPr>
                  <w:tcW w:w="1141" w:type="pct"/>
                  <w:vAlign w:val="center"/>
                </w:tcPr>
                <w:p w14:paraId="6E78AA2A">
                  <w:pPr>
                    <w:pStyle w:val="97"/>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eastAsia="宋体"/>
                      <w:color w:val="auto"/>
                      <w:lang w:val="en-US" w:eastAsia="zh-CN"/>
                    </w:rPr>
                  </w:pPr>
                  <w:r>
                    <w:rPr>
                      <w:rFonts w:hint="eastAsia"/>
                      <w:color w:val="auto"/>
                      <w:lang w:val="en-US" w:eastAsia="zh-CN"/>
                    </w:rPr>
                    <w:t>50</w:t>
                  </w:r>
                </w:p>
              </w:tc>
            </w:tr>
            <w:tr w14:paraId="65F83A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79" w:type="pct"/>
                  <w:vAlign w:val="center"/>
                </w:tcPr>
                <w:p w14:paraId="2CEDB6D3">
                  <w:pPr>
                    <w:pStyle w:val="97"/>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rFonts w:hint="eastAsia"/>
                      <w:color w:val="auto"/>
                    </w:rPr>
                    <w:t>施工期</w:t>
                  </w:r>
                </w:p>
              </w:tc>
              <w:tc>
                <w:tcPr>
                  <w:tcW w:w="1936" w:type="pct"/>
                  <w:vAlign w:val="center"/>
                </w:tcPr>
                <w:p w14:paraId="303BB20A">
                  <w:pPr>
                    <w:pStyle w:val="97"/>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eastAsia="宋体"/>
                      <w:color w:val="auto"/>
                      <w:lang w:val="en-US" w:eastAsia="zh-CN"/>
                    </w:rPr>
                  </w:pPr>
                  <w:r>
                    <w:rPr>
                      <w:color w:val="auto"/>
                      <w:lang w:val="zh-CN"/>
                    </w:rPr>
                    <w:t>GB12523-20</w:t>
                  </w:r>
                  <w:r>
                    <w:rPr>
                      <w:rFonts w:hint="eastAsia"/>
                      <w:color w:val="auto"/>
                      <w:lang w:val="en-US" w:eastAsia="zh-CN"/>
                    </w:rPr>
                    <w:t>25</w:t>
                  </w:r>
                </w:p>
              </w:tc>
              <w:tc>
                <w:tcPr>
                  <w:tcW w:w="1141" w:type="pct"/>
                  <w:vAlign w:val="center"/>
                </w:tcPr>
                <w:p w14:paraId="0FA40EC4">
                  <w:pPr>
                    <w:pStyle w:val="97"/>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rFonts w:hint="eastAsia"/>
                      <w:color w:val="auto"/>
                    </w:rPr>
                    <w:t>70</w:t>
                  </w:r>
                </w:p>
              </w:tc>
              <w:tc>
                <w:tcPr>
                  <w:tcW w:w="1141" w:type="pct"/>
                  <w:vAlign w:val="center"/>
                </w:tcPr>
                <w:p w14:paraId="183786A3">
                  <w:pPr>
                    <w:pStyle w:val="97"/>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rFonts w:hint="eastAsia"/>
                      <w:color w:val="auto"/>
                    </w:rPr>
                    <w:t>55</w:t>
                  </w:r>
                </w:p>
              </w:tc>
            </w:tr>
          </w:tbl>
          <w:p w14:paraId="5DDA019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eastAsia="宋体"/>
                <w:color w:val="auto"/>
                <w:sz w:val="24"/>
                <w:lang w:val="en-US" w:eastAsia="zh-CN"/>
              </w:rPr>
            </w:pPr>
            <w:r>
              <w:rPr>
                <w:color w:val="auto"/>
                <w:sz w:val="24"/>
              </w:rPr>
              <w:t>4、</w:t>
            </w:r>
            <w:r>
              <w:rPr>
                <w:rFonts w:hint="eastAsia"/>
                <w:color w:val="auto"/>
                <w:sz w:val="24"/>
                <w:lang w:val="en-US" w:eastAsia="zh-CN"/>
              </w:rPr>
              <w:t>固废</w:t>
            </w:r>
          </w:p>
          <w:p w14:paraId="7881F2E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color w:val="auto"/>
                <w:sz w:val="24"/>
              </w:rPr>
            </w:pPr>
            <w:r>
              <w:rPr>
                <w:rFonts w:hint="eastAsia"/>
                <w:color w:val="auto"/>
                <w:sz w:val="24"/>
                <w:lang w:val="en-US" w:eastAsia="zh-CN"/>
              </w:rPr>
              <w:t>危险废物贮存执行《危险废物贮存污染控制标准》（GB18597-2023）、</w:t>
            </w:r>
            <w:r>
              <w:rPr>
                <w:rFonts w:hint="eastAsia"/>
                <w:bCs/>
                <w:color w:val="auto"/>
                <w:sz w:val="24"/>
              </w:rPr>
              <w:t>《危险废物收集 贮存 运输技术规范》（HJ 2025-2012）</w:t>
            </w:r>
            <w:r>
              <w:rPr>
                <w:rFonts w:hint="default" w:ascii="Times New Roman" w:hAnsi="Times New Roman" w:eastAsia="宋体" w:cs="Times New Roman"/>
                <w:bCs/>
                <w:color w:val="auto"/>
                <w:sz w:val="24"/>
                <w:szCs w:val="24"/>
              </w:rPr>
              <w:t>中的有关规定</w:t>
            </w:r>
            <w:r>
              <w:rPr>
                <w:rFonts w:hint="default" w:ascii="Times New Roman" w:hAnsi="Times New Roman" w:eastAsia="宋体" w:cs="Times New Roman"/>
                <w:color w:val="auto"/>
                <w:kern w:val="0"/>
                <w:sz w:val="24"/>
                <w:szCs w:val="24"/>
              </w:rPr>
              <w:t>。</w:t>
            </w:r>
            <w:r>
              <w:rPr>
                <w:rFonts w:hint="eastAsia"/>
                <w:color w:val="auto"/>
                <w:sz w:val="24"/>
                <w:lang w:val="en-US" w:eastAsia="zh-CN"/>
              </w:rPr>
              <w:t>危险废物标识执行《危险废物识别标志设置技术规范》（HJ1276-2022），危险废物转移执行《危险废物转移管理办法》中相关要求。</w:t>
            </w:r>
          </w:p>
        </w:tc>
      </w:tr>
      <w:tr w14:paraId="5F9A4C4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523" w:hRule="atLeast"/>
          <w:jc w:val="center"/>
        </w:trPr>
        <w:tc>
          <w:tcPr>
            <w:tcW w:w="444" w:type="pct"/>
            <w:vAlign w:val="center"/>
          </w:tcPr>
          <w:p w14:paraId="59CDA61D">
            <w:pPr>
              <w:adjustRightInd w:val="0"/>
              <w:snapToGrid w:val="0"/>
              <w:jc w:val="center"/>
              <w:rPr>
                <w:color w:val="auto"/>
                <w:kern w:val="0"/>
                <w:sz w:val="24"/>
              </w:rPr>
            </w:pPr>
            <w:r>
              <w:rPr>
                <w:color w:val="auto"/>
                <w:kern w:val="0"/>
                <w:sz w:val="24"/>
              </w:rPr>
              <w:t>总量</w:t>
            </w:r>
          </w:p>
          <w:p w14:paraId="70DBCC3A">
            <w:pPr>
              <w:adjustRightInd w:val="0"/>
              <w:snapToGrid w:val="0"/>
              <w:jc w:val="center"/>
              <w:rPr>
                <w:color w:val="auto"/>
                <w:kern w:val="0"/>
                <w:sz w:val="24"/>
              </w:rPr>
            </w:pPr>
            <w:r>
              <w:rPr>
                <w:color w:val="auto"/>
                <w:kern w:val="0"/>
                <w:sz w:val="24"/>
              </w:rPr>
              <w:t>控制</w:t>
            </w:r>
          </w:p>
          <w:p w14:paraId="281AF8FF">
            <w:pPr>
              <w:adjustRightInd w:val="0"/>
              <w:snapToGrid w:val="0"/>
              <w:jc w:val="center"/>
              <w:rPr>
                <w:color w:val="FF0000"/>
                <w:kern w:val="0"/>
                <w:sz w:val="24"/>
              </w:rPr>
            </w:pPr>
            <w:r>
              <w:rPr>
                <w:color w:val="auto"/>
                <w:kern w:val="0"/>
                <w:sz w:val="24"/>
              </w:rPr>
              <w:t>指标</w:t>
            </w:r>
          </w:p>
        </w:tc>
        <w:tc>
          <w:tcPr>
            <w:tcW w:w="4555" w:type="pct"/>
            <w:vAlign w:val="center"/>
          </w:tcPr>
          <w:p w14:paraId="40D4F803">
            <w:pPr>
              <w:keepNext w:val="0"/>
              <w:keepLines w:val="0"/>
              <w:pageBreakBefore w:val="0"/>
              <w:widowControl w:val="0"/>
              <w:numPr>
                <w:ilvl w:val="0"/>
                <w:numId w:val="27"/>
              </w:numPr>
              <w:kinsoku/>
              <w:wordWrap/>
              <w:overflowPunct/>
              <w:topLinePunct w:val="0"/>
              <w:autoSpaceDE/>
              <w:autoSpaceDN/>
              <w:bidi w:val="0"/>
              <w:adjustRightInd w:val="0"/>
              <w:snapToGrid w:val="0"/>
              <w:spacing w:line="360" w:lineRule="auto"/>
              <w:ind w:left="0" w:leftChars="0" w:firstLine="480" w:firstLineChars="200"/>
              <w:textAlignment w:val="auto"/>
              <w:rPr>
                <w:color w:val="auto"/>
                <w:sz w:val="24"/>
              </w:rPr>
            </w:pPr>
            <w:r>
              <w:rPr>
                <w:color w:val="auto"/>
                <w:sz w:val="24"/>
              </w:rPr>
              <w:t>总量控制对象</w:t>
            </w:r>
          </w:p>
          <w:p w14:paraId="77BA386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color w:val="auto"/>
                <w:sz w:val="24"/>
              </w:rPr>
            </w:pPr>
            <w:r>
              <w:rPr>
                <w:color w:val="auto"/>
                <w:sz w:val="24"/>
              </w:rPr>
              <w:t>根据《山东省建设项目主要大气污染物排放总量替代指标核算及管理办法》（鲁环发[2019]132号）以及《关于统筹使用“十四五”建设项目主要大气污染物总量指标的通知》（淄环函[2021]55号），若上一年度细颗粒物年平均浓度超标，实行二氧化硫、氮氧化物、颗粒物、挥发性有机物四项污染物排放总量指标</w:t>
            </w:r>
            <w:r>
              <w:rPr>
                <w:rFonts w:hint="eastAsia"/>
                <w:color w:val="auto"/>
                <w:sz w:val="24"/>
                <w:lang w:val="en-US" w:eastAsia="zh-CN"/>
              </w:rPr>
              <w:t>2</w:t>
            </w:r>
            <w:r>
              <w:rPr>
                <w:color w:val="auto"/>
                <w:sz w:val="24"/>
              </w:rPr>
              <w:t>倍消减替代。本项目所在</w:t>
            </w:r>
            <w:r>
              <w:rPr>
                <w:rFonts w:hint="eastAsia"/>
                <w:color w:val="auto"/>
                <w:sz w:val="24"/>
                <w:lang w:val="en-US" w:eastAsia="zh-CN"/>
              </w:rPr>
              <w:t>区</w:t>
            </w:r>
            <w:r>
              <w:rPr>
                <w:color w:val="auto"/>
                <w:sz w:val="24"/>
              </w:rPr>
              <w:t>上一年度细颗粒物年平均浓度超标，</w:t>
            </w:r>
            <w:r>
              <w:rPr>
                <w:rFonts w:hint="eastAsia"/>
                <w:color w:val="auto"/>
                <w:sz w:val="24"/>
                <w:lang w:val="en-US" w:eastAsia="zh-CN"/>
              </w:rPr>
              <w:t>因此，</w:t>
            </w:r>
            <w:r>
              <w:rPr>
                <w:color w:val="auto"/>
                <w:sz w:val="24"/>
              </w:rPr>
              <w:t>应进行</w:t>
            </w:r>
            <w:r>
              <w:rPr>
                <w:rFonts w:hint="eastAsia"/>
                <w:color w:val="auto"/>
                <w:sz w:val="24"/>
                <w:lang w:val="en-US" w:eastAsia="zh-CN"/>
              </w:rPr>
              <w:t>2</w:t>
            </w:r>
            <w:r>
              <w:rPr>
                <w:color w:val="auto"/>
                <w:sz w:val="24"/>
              </w:rPr>
              <w:t>倍消减替代。</w:t>
            </w:r>
          </w:p>
          <w:p w14:paraId="5E5A8052">
            <w:pPr>
              <w:keepNext w:val="0"/>
              <w:keepLines w:val="0"/>
              <w:pageBreakBefore w:val="0"/>
              <w:widowControl w:val="0"/>
              <w:numPr>
                <w:ilvl w:val="0"/>
                <w:numId w:val="27"/>
              </w:numPr>
              <w:kinsoku/>
              <w:wordWrap/>
              <w:overflowPunct/>
              <w:topLinePunct w:val="0"/>
              <w:autoSpaceDE/>
              <w:autoSpaceDN/>
              <w:bidi w:val="0"/>
              <w:adjustRightInd w:val="0"/>
              <w:snapToGrid w:val="0"/>
              <w:spacing w:line="360" w:lineRule="auto"/>
              <w:ind w:left="0" w:leftChars="0" w:firstLine="480" w:firstLineChars="200"/>
              <w:textAlignment w:val="auto"/>
              <w:rPr>
                <w:color w:val="auto"/>
                <w:sz w:val="24"/>
              </w:rPr>
            </w:pPr>
            <w:r>
              <w:rPr>
                <w:color w:val="auto"/>
                <w:sz w:val="24"/>
              </w:rPr>
              <w:t>总量控制指标</w:t>
            </w:r>
          </w:p>
          <w:p w14:paraId="6B90B58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color w:val="auto"/>
                <w:sz w:val="24"/>
                <w:lang w:val="en-US" w:eastAsia="zh-CN"/>
              </w:rPr>
            </w:pPr>
            <w:r>
              <w:rPr>
                <w:rFonts w:hint="eastAsia"/>
                <w:color w:val="auto"/>
                <w:sz w:val="24"/>
                <w:lang w:val="en-US" w:eastAsia="zh-CN"/>
              </w:rPr>
              <w:t>本项目生活污水经化粪池暂存后由环卫部门清运，不外排，无需申请总量。</w:t>
            </w:r>
          </w:p>
          <w:p w14:paraId="73F3DD0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color w:val="auto"/>
                <w:lang w:val="en-US"/>
              </w:rPr>
            </w:pPr>
            <w:r>
              <w:rPr>
                <w:rFonts w:hint="eastAsia"/>
                <w:color w:val="auto"/>
                <w:sz w:val="24"/>
                <w:lang w:val="en-US" w:eastAsia="zh-CN"/>
              </w:rPr>
              <w:t>本项目涉及的总量控制对象为VOCs（以非甲烷总烃计），排放量为0.0586t/a。根据企业的《</w:t>
            </w:r>
            <w:r>
              <w:rPr>
                <w:sz w:val="24"/>
              </w:rPr>
              <w:t>建设项目污染物总量确认书（</w:t>
            </w:r>
            <w:r>
              <w:rPr>
                <w:rFonts w:ascii="Times New Roman" w:eastAsia="Times New Roman"/>
                <w:sz w:val="24"/>
              </w:rPr>
              <w:t>ZBZL</w:t>
            </w:r>
            <w:r>
              <w:rPr>
                <w:sz w:val="24"/>
              </w:rPr>
              <w:t>（</w:t>
            </w:r>
            <w:r>
              <w:rPr>
                <w:rFonts w:ascii="Times New Roman" w:eastAsia="Times New Roman"/>
                <w:sz w:val="24"/>
              </w:rPr>
              <w:t>2019</w:t>
            </w:r>
            <w:r>
              <w:rPr>
                <w:sz w:val="24"/>
              </w:rPr>
              <w:t>）</w:t>
            </w:r>
            <w:r>
              <w:rPr>
                <w:rFonts w:ascii="Times New Roman" w:eastAsia="Times New Roman"/>
                <w:sz w:val="24"/>
              </w:rPr>
              <w:t>108</w:t>
            </w:r>
            <w:r>
              <w:rPr>
                <w:sz w:val="24"/>
              </w:rPr>
              <w:t>号）</w:t>
            </w:r>
            <w:r>
              <w:rPr>
                <w:rFonts w:hint="eastAsia"/>
                <w:color w:val="auto"/>
                <w:sz w:val="24"/>
                <w:lang w:val="en-US" w:eastAsia="zh-CN"/>
              </w:rPr>
              <w:t>》</w:t>
            </w:r>
            <w:r>
              <w:rPr>
                <w:rFonts w:hint="eastAsia" w:cs="Times New Roman"/>
                <w:color w:val="auto"/>
                <w:sz w:val="24"/>
                <w:lang w:val="en-US" w:eastAsia="zh-CN"/>
              </w:rPr>
              <w:t>，现有VOCs总量为0.12t/a,满足搬迁后项目污染物排放量，无需申请。</w:t>
            </w:r>
          </w:p>
          <w:p w14:paraId="2F249F48">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color w:val="auto"/>
              </w:rPr>
            </w:pPr>
          </w:p>
          <w:p w14:paraId="42084F09">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color w:val="FF0000"/>
              </w:rPr>
            </w:pPr>
          </w:p>
          <w:p w14:paraId="3E50132F">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color w:val="FF0000"/>
              </w:rPr>
            </w:pPr>
          </w:p>
          <w:p w14:paraId="44005A29">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color w:val="FF0000"/>
              </w:rPr>
            </w:pPr>
          </w:p>
          <w:p w14:paraId="29440076">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color w:val="FF0000"/>
              </w:rPr>
            </w:pPr>
          </w:p>
          <w:p w14:paraId="0403E626">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color w:val="FF0000"/>
              </w:rPr>
            </w:pPr>
          </w:p>
          <w:p w14:paraId="389B76C5">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color w:val="FF0000"/>
              </w:rPr>
            </w:pPr>
          </w:p>
          <w:p w14:paraId="416DBFD2">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color w:val="FF0000"/>
              </w:rPr>
            </w:pPr>
          </w:p>
          <w:p w14:paraId="6C7B1335">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color w:val="FF0000"/>
              </w:rPr>
            </w:pPr>
          </w:p>
          <w:p w14:paraId="57DDE540">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color w:val="FF0000"/>
              </w:rPr>
            </w:pPr>
          </w:p>
          <w:p w14:paraId="183D1AE9">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color w:val="FF0000"/>
              </w:rPr>
            </w:pPr>
          </w:p>
          <w:p w14:paraId="649558BA">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color w:val="FF0000"/>
              </w:rPr>
            </w:pPr>
          </w:p>
          <w:p w14:paraId="05540F4C">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color w:val="FF0000"/>
              </w:rPr>
            </w:pPr>
          </w:p>
          <w:p w14:paraId="7411FA7B">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color w:val="FF0000"/>
              </w:rPr>
            </w:pPr>
          </w:p>
          <w:p w14:paraId="6F32670D">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color w:val="FF0000"/>
              </w:rPr>
            </w:pPr>
          </w:p>
          <w:p w14:paraId="65023249">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color w:val="FF0000"/>
              </w:rPr>
            </w:pPr>
          </w:p>
          <w:p w14:paraId="0DF2EC22">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color w:val="FF0000"/>
              </w:rPr>
            </w:pPr>
          </w:p>
          <w:p w14:paraId="1D6D8E10">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color w:val="FF0000"/>
              </w:rPr>
            </w:pPr>
          </w:p>
        </w:tc>
      </w:tr>
    </w:tbl>
    <w:p w14:paraId="4D016F52">
      <w:pPr>
        <w:pStyle w:val="23"/>
        <w:keepNext w:val="0"/>
        <w:keepLines w:val="0"/>
        <w:pageBreakBefore w:val="0"/>
        <w:widowControl/>
        <w:kinsoku/>
        <w:wordWrap/>
        <w:overflowPunct/>
        <w:topLinePunct w:val="0"/>
        <w:autoSpaceDE/>
        <w:autoSpaceDN/>
        <w:bidi w:val="0"/>
        <w:adjustRightInd w:val="0"/>
        <w:snapToGrid w:val="0"/>
        <w:spacing w:before="0" w:beforeAutospacing="0" w:after="0" w:afterAutospacing="0" w:line="360" w:lineRule="auto"/>
        <w:jc w:val="center"/>
        <w:textAlignment w:val="auto"/>
        <w:outlineLvl w:val="0"/>
        <w:rPr>
          <w:rFonts w:ascii="Times New Roman" w:hAnsi="Times New Roman"/>
          <w:b/>
          <w:snapToGrid w:val="0"/>
          <w:color w:val="FF0000"/>
          <w:sz w:val="30"/>
          <w:szCs w:val="30"/>
        </w:rPr>
      </w:pPr>
      <w:r>
        <w:rPr>
          <w:rFonts w:ascii="Times New Roman" w:hAnsi="Times New Roman"/>
          <w:snapToGrid w:val="0"/>
          <w:color w:val="FF0000"/>
          <w:sz w:val="36"/>
          <w:szCs w:val="36"/>
        </w:rPr>
        <w:br w:type="page"/>
      </w:r>
      <w:r>
        <w:rPr>
          <w:rFonts w:ascii="Times New Roman" w:hAnsi="Times New Roman"/>
          <w:b/>
          <w:snapToGrid w:val="0"/>
          <w:color w:val="auto"/>
          <w:sz w:val="30"/>
          <w:szCs w:val="30"/>
        </w:rPr>
        <w:t>四、主要环境影响和保护措施</w:t>
      </w:r>
    </w:p>
    <w:tbl>
      <w:tblPr>
        <w:tblStyle w:val="27"/>
        <w:tblW w:w="4999"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360"/>
        <w:gridCol w:w="8874"/>
      </w:tblGrid>
      <w:tr w14:paraId="0BCB233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976" w:hRule="atLeast"/>
          <w:jc w:val="center"/>
        </w:trPr>
        <w:tc>
          <w:tcPr>
            <w:tcW w:w="195" w:type="pct"/>
            <w:tcMar>
              <w:left w:w="57" w:type="dxa"/>
              <w:right w:w="57" w:type="dxa"/>
            </w:tcMar>
            <w:vAlign w:val="center"/>
          </w:tcPr>
          <w:p w14:paraId="4CA406F0">
            <w:pPr>
              <w:pStyle w:val="23"/>
              <w:adjustRightInd w:val="0"/>
              <w:snapToGrid w:val="0"/>
              <w:spacing w:before="0" w:beforeAutospacing="0" w:after="0" w:afterAutospacing="0"/>
              <w:jc w:val="center"/>
              <w:rPr>
                <w:rFonts w:ascii="Times New Roman" w:hAnsi="Times New Roman"/>
                <w:bCs/>
                <w:color w:val="auto"/>
                <w:kern w:val="2"/>
                <w:sz w:val="21"/>
                <w:szCs w:val="21"/>
              </w:rPr>
            </w:pPr>
            <w:r>
              <w:rPr>
                <w:rFonts w:ascii="Times New Roman" w:hAnsi="Times New Roman"/>
                <w:color w:val="auto"/>
                <w:kern w:val="2"/>
                <w:szCs w:val="24"/>
              </w:rPr>
              <w:t>施工期环境保护措施</w:t>
            </w:r>
          </w:p>
        </w:tc>
        <w:tc>
          <w:tcPr>
            <w:tcW w:w="4804" w:type="pct"/>
            <w:vAlign w:val="center"/>
          </w:tcPr>
          <w:p w14:paraId="1444EA3E">
            <w:pPr>
              <w:keepNext w:val="0"/>
              <w:keepLines w:val="0"/>
              <w:pageBreakBefore w:val="0"/>
              <w:widowControl w:val="0"/>
              <w:kinsoku/>
              <w:wordWrap/>
              <w:overflowPunct/>
              <w:topLinePunct w:val="0"/>
              <w:autoSpaceDE/>
              <w:autoSpaceDN/>
              <w:bidi w:val="0"/>
              <w:adjustRightInd w:val="0"/>
              <w:snapToGrid/>
              <w:spacing w:line="460" w:lineRule="exact"/>
              <w:ind w:firstLine="480" w:firstLineChars="200"/>
              <w:textAlignment w:val="auto"/>
              <w:rPr>
                <w:color w:val="auto"/>
                <w:sz w:val="24"/>
              </w:rPr>
            </w:pPr>
            <w:r>
              <w:rPr>
                <w:color w:val="auto"/>
                <w:sz w:val="24"/>
              </w:rPr>
              <w:t>本项目施工期会对周围环境产生一定的影响，主要表现为施工扬尘、废水、噪声及弃渣等对环境的影响。</w:t>
            </w:r>
          </w:p>
          <w:p w14:paraId="2AA7E716">
            <w:pPr>
              <w:keepNext w:val="0"/>
              <w:keepLines w:val="0"/>
              <w:pageBreakBefore w:val="0"/>
              <w:widowControl w:val="0"/>
              <w:numPr>
                <w:ilvl w:val="0"/>
                <w:numId w:val="28"/>
              </w:numPr>
              <w:kinsoku/>
              <w:wordWrap/>
              <w:overflowPunct/>
              <w:topLinePunct w:val="0"/>
              <w:autoSpaceDE/>
              <w:autoSpaceDN/>
              <w:bidi w:val="0"/>
              <w:adjustRightInd w:val="0"/>
              <w:snapToGrid/>
              <w:spacing w:line="460" w:lineRule="exact"/>
              <w:ind w:left="0" w:leftChars="0" w:firstLine="480" w:firstLineChars="200"/>
              <w:textAlignment w:val="auto"/>
              <w:rPr>
                <w:color w:val="auto"/>
                <w:sz w:val="24"/>
              </w:rPr>
            </w:pPr>
            <w:r>
              <w:rPr>
                <w:color w:val="auto"/>
                <w:sz w:val="24"/>
              </w:rPr>
              <w:t>大气污染防治措施</w:t>
            </w:r>
          </w:p>
          <w:p w14:paraId="7F517D4C">
            <w:pPr>
              <w:keepNext w:val="0"/>
              <w:keepLines w:val="0"/>
              <w:pageBreakBefore w:val="0"/>
              <w:widowControl w:val="0"/>
              <w:kinsoku/>
              <w:wordWrap/>
              <w:overflowPunct/>
              <w:topLinePunct w:val="0"/>
              <w:autoSpaceDE/>
              <w:autoSpaceDN/>
              <w:bidi w:val="0"/>
              <w:adjustRightInd w:val="0"/>
              <w:snapToGrid/>
              <w:spacing w:line="460" w:lineRule="exact"/>
              <w:ind w:firstLine="480" w:firstLineChars="200"/>
              <w:textAlignment w:val="auto"/>
              <w:rPr>
                <w:rFonts w:hint="eastAsia" w:eastAsia="宋体"/>
                <w:color w:val="auto"/>
                <w:sz w:val="24"/>
                <w:lang w:eastAsia="zh-CN"/>
              </w:rPr>
            </w:pPr>
            <w:r>
              <w:rPr>
                <w:rFonts w:hint="eastAsia"/>
                <w:color w:val="auto"/>
                <w:sz w:val="24"/>
              </w:rPr>
              <w:t>为把本项目施工期的扬尘污染降到最低，针对施工阶段提出如下防治措施</w:t>
            </w:r>
            <w:r>
              <w:rPr>
                <w:rFonts w:hint="eastAsia"/>
                <w:color w:val="auto"/>
                <w:sz w:val="24"/>
                <w:lang w:eastAsia="zh-CN"/>
              </w:rPr>
              <w:t>：</w:t>
            </w:r>
          </w:p>
          <w:p w14:paraId="71FFC63C">
            <w:pPr>
              <w:keepNext w:val="0"/>
              <w:keepLines w:val="0"/>
              <w:pageBreakBefore w:val="0"/>
              <w:widowControl w:val="0"/>
              <w:kinsoku/>
              <w:wordWrap/>
              <w:overflowPunct/>
              <w:topLinePunct w:val="0"/>
              <w:autoSpaceDE/>
              <w:autoSpaceDN/>
              <w:bidi w:val="0"/>
              <w:adjustRightInd w:val="0"/>
              <w:snapToGrid/>
              <w:spacing w:line="460" w:lineRule="exact"/>
              <w:ind w:firstLine="480" w:firstLineChars="200"/>
              <w:textAlignment w:val="auto"/>
              <w:rPr>
                <w:rFonts w:hint="eastAsia" w:eastAsia="宋体"/>
                <w:color w:val="auto"/>
                <w:sz w:val="24"/>
                <w:lang w:eastAsia="zh-CN"/>
              </w:rPr>
            </w:pPr>
            <w:r>
              <w:rPr>
                <w:rFonts w:hint="eastAsia"/>
                <w:color w:val="auto"/>
                <w:sz w:val="24"/>
              </w:rPr>
              <w:t>①严格控制施工作业范围，施工车辆必须行驶在规定道路范围内</w:t>
            </w:r>
            <w:r>
              <w:rPr>
                <w:rFonts w:hint="eastAsia"/>
                <w:color w:val="auto"/>
                <w:sz w:val="24"/>
                <w:lang w:eastAsia="zh-CN"/>
              </w:rPr>
              <w:t>；</w:t>
            </w:r>
          </w:p>
          <w:p w14:paraId="71E55BD1">
            <w:pPr>
              <w:keepNext w:val="0"/>
              <w:keepLines w:val="0"/>
              <w:pageBreakBefore w:val="0"/>
              <w:widowControl w:val="0"/>
              <w:kinsoku/>
              <w:wordWrap/>
              <w:overflowPunct/>
              <w:topLinePunct w:val="0"/>
              <w:autoSpaceDE/>
              <w:autoSpaceDN/>
              <w:bidi w:val="0"/>
              <w:adjustRightInd w:val="0"/>
              <w:snapToGrid/>
              <w:spacing w:line="460" w:lineRule="exact"/>
              <w:ind w:firstLine="480" w:firstLineChars="200"/>
              <w:textAlignment w:val="auto"/>
              <w:rPr>
                <w:rFonts w:hint="eastAsia" w:eastAsia="宋体"/>
                <w:color w:val="auto"/>
                <w:sz w:val="24"/>
                <w:lang w:eastAsia="zh-CN"/>
              </w:rPr>
            </w:pPr>
            <w:r>
              <w:rPr>
                <w:rFonts w:hint="eastAsia"/>
                <w:color w:val="auto"/>
                <w:sz w:val="24"/>
              </w:rPr>
              <w:t>②施工过程中通过及时洒水以减少汽车行驶扬尘</w:t>
            </w:r>
            <w:r>
              <w:rPr>
                <w:rFonts w:hint="eastAsia"/>
                <w:color w:val="auto"/>
                <w:sz w:val="24"/>
                <w:lang w:eastAsia="zh-CN"/>
              </w:rPr>
              <w:t>；</w:t>
            </w:r>
          </w:p>
          <w:p w14:paraId="562695C2">
            <w:pPr>
              <w:keepNext w:val="0"/>
              <w:keepLines w:val="0"/>
              <w:pageBreakBefore w:val="0"/>
              <w:widowControl w:val="0"/>
              <w:kinsoku/>
              <w:wordWrap/>
              <w:overflowPunct/>
              <w:topLinePunct w:val="0"/>
              <w:autoSpaceDE/>
              <w:autoSpaceDN/>
              <w:bidi w:val="0"/>
              <w:adjustRightInd w:val="0"/>
              <w:snapToGrid/>
              <w:spacing w:line="460" w:lineRule="exact"/>
              <w:ind w:firstLine="480" w:firstLineChars="200"/>
              <w:textAlignment w:val="auto"/>
              <w:rPr>
                <w:rFonts w:hint="eastAsia" w:eastAsia="宋体"/>
                <w:color w:val="auto"/>
                <w:sz w:val="24"/>
                <w:lang w:eastAsia="zh-CN"/>
              </w:rPr>
            </w:pPr>
            <w:r>
              <w:rPr>
                <w:rFonts w:hint="eastAsia"/>
                <w:color w:val="auto"/>
                <w:sz w:val="24"/>
              </w:rPr>
              <w:t>③限制运输车辆的行驶速度，场地内行车速度不得超过15km/h</w:t>
            </w:r>
            <w:r>
              <w:rPr>
                <w:rFonts w:hint="eastAsia"/>
                <w:color w:val="auto"/>
                <w:sz w:val="24"/>
                <w:lang w:eastAsia="zh-CN"/>
              </w:rPr>
              <w:t>；</w:t>
            </w:r>
          </w:p>
          <w:p w14:paraId="7CBA572A">
            <w:pPr>
              <w:keepNext w:val="0"/>
              <w:keepLines w:val="0"/>
              <w:pageBreakBefore w:val="0"/>
              <w:widowControl w:val="0"/>
              <w:kinsoku/>
              <w:wordWrap/>
              <w:overflowPunct/>
              <w:topLinePunct w:val="0"/>
              <w:autoSpaceDE/>
              <w:autoSpaceDN/>
              <w:bidi w:val="0"/>
              <w:adjustRightInd w:val="0"/>
              <w:snapToGrid/>
              <w:spacing w:line="460" w:lineRule="exact"/>
              <w:ind w:firstLine="480" w:firstLineChars="200"/>
              <w:textAlignment w:val="auto"/>
              <w:rPr>
                <w:rFonts w:hint="eastAsia" w:eastAsia="宋体"/>
                <w:color w:val="auto"/>
                <w:sz w:val="24"/>
                <w:lang w:eastAsia="zh-CN"/>
              </w:rPr>
            </w:pPr>
            <w:r>
              <w:rPr>
                <w:rFonts w:hint="eastAsia"/>
                <w:color w:val="auto"/>
                <w:sz w:val="24"/>
              </w:rPr>
              <w:t>④起尘原材料覆盖存放</w:t>
            </w:r>
            <w:r>
              <w:rPr>
                <w:rFonts w:hint="eastAsia"/>
                <w:color w:val="auto"/>
                <w:sz w:val="24"/>
                <w:lang w:eastAsia="zh-CN"/>
              </w:rPr>
              <w:t>；</w:t>
            </w:r>
          </w:p>
          <w:p w14:paraId="1F5A559C">
            <w:pPr>
              <w:keepNext w:val="0"/>
              <w:keepLines w:val="0"/>
              <w:pageBreakBefore w:val="0"/>
              <w:widowControl w:val="0"/>
              <w:kinsoku/>
              <w:wordWrap/>
              <w:overflowPunct/>
              <w:topLinePunct w:val="0"/>
              <w:autoSpaceDE/>
              <w:autoSpaceDN/>
              <w:bidi w:val="0"/>
              <w:adjustRightInd w:val="0"/>
              <w:snapToGrid/>
              <w:spacing w:line="460" w:lineRule="exact"/>
              <w:ind w:firstLine="480" w:firstLineChars="200"/>
              <w:textAlignment w:val="auto"/>
              <w:rPr>
                <w:rFonts w:hint="default" w:eastAsia="宋体"/>
                <w:color w:val="auto"/>
                <w:sz w:val="24"/>
                <w:lang w:val="en-US" w:eastAsia="zh-CN"/>
              </w:rPr>
            </w:pPr>
            <w:r>
              <w:rPr>
                <w:rFonts w:hint="eastAsia"/>
                <w:color w:val="auto"/>
                <w:sz w:val="24"/>
              </w:rPr>
              <w:t>通过采取以上措施后，工地扬尘量可减少70%~80%，可大幅度降低施工造成的大气污染，施工期扬尘基本控制在施工现场范围内，可满足《大气污染物综合排放标准》</w:t>
            </w:r>
            <w:r>
              <w:rPr>
                <w:rFonts w:hint="eastAsia"/>
                <w:color w:val="auto"/>
                <w:sz w:val="24"/>
                <w:lang w:eastAsia="zh-CN"/>
              </w:rPr>
              <w:t>（</w:t>
            </w:r>
            <w:r>
              <w:rPr>
                <w:rFonts w:hint="eastAsia"/>
                <w:color w:val="auto"/>
                <w:sz w:val="24"/>
              </w:rPr>
              <w:t>GB16297-1996</w:t>
            </w:r>
            <w:r>
              <w:rPr>
                <w:rFonts w:hint="eastAsia"/>
                <w:color w:val="auto"/>
                <w:sz w:val="24"/>
                <w:lang w:eastAsia="zh-CN"/>
              </w:rPr>
              <w:t>）</w:t>
            </w:r>
            <w:r>
              <w:rPr>
                <w:rFonts w:hint="eastAsia"/>
                <w:color w:val="auto"/>
                <w:sz w:val="24"/>
              </w:rPr>
              <w:t>表2新污染源大气污染物排放限值的要求。另外，施工产生的扬尘属短期污染，其影响将随施工行为的结束而结束。因此在采取严格的防尘措施后，施工期扬尘的影响将大大地降低，其对环境的影响也将随施工的结束而消失</w:t>
            </w:r>
            <w:r>
              <w:rPr>
                <w:rFonts w:hint="eastAsia"/>
                <w:color w:val="auto"/>
                <w:sz w:val="24"/>
                <w:lang w:val="en-US" w:eastAsia="zh-CN"/>
              </w:rPr>
              <w:t>。</w:t>
            </w:r>
          </w:p>
          <w:p w14:paraId="2FD312A8">
            <w:pPr>
              <w:keepNext w:val="0"/>
              <w:keepLines w:val="0"/>
              <w:pageBreakBefore w:val="0"/>
              <w:widowControl w:val="0"/>
              <w:numPr>
                <w:ilvl w:val="0"/>
                <w:numId w:val="28"/>
              </w:numPr>
              <w:kinsoku/>
              <w:wordWrap/>
              <w:overflowPunct/>
              <w:topLinePunct w:val="0"/>
              <w:autoSpaceDE/>
              <w:autoSpaceDN/>
              <w:bidi w:val="0"/>
              <w:adjustRightInd w:val="0"/>
              <w:snapToGrid/>
              <w:spacing w:line="460" w:lineRule="exact"/>
              <w:ind w:left="0" w:leftChars="0" w:firstLine="480" w:firstLineChars="200"/>
              <w:textAlignment w:val="auto"/>
              <w:rPr>
                <w:color w:val="auto"/>
                <w:sz w:val="24"/>
              </w:rPr>
            </w:pPr>
            <w:r>
              <w:rPr>
                <w:color w:val="auto"/>
                <w:sz w:val="24"/>
              </w:rPr>
              <w:t>水污染防治措施</w:t>
            </w:r>
          </w:p>
          <w:p w14:paraId="5764A64B">
            <w:pPr>
              <w:keepNext w:val="0"/>
              <w:keepLines w:val="0"/>
              <w:pageBreakBefore w:val="0"/>
              <w:widowControl w:val="0"/>
              <w:kinsoku/>
              <w:wordWrap/>
              <w:overflowPunct/>
              <w:topLinePunct w:val="0"/>
              <w:autoSpaceDE/>
              <w:autoSpaceDN/>
              <w:bidi w:val="0"/>
              <w:adjustRightInd w:val="0"/>
              <w:snapToGrid/>
              <w:spacing w:line="460" w:lineRule="exact"/>
              <w:ind w:firstLine="480" w:firstLineChars="200"/>
              <w:textAlignment w:val="auto"/>
              <w:rPr>
                <w:rFonts w:hint="eastAsia"/>
                <w:color w:val="auto"/>
                <w:sz w:val="24"/>
              </w:rPr>
            </w:pPr>
            <w:r>
              <w:rPr>
                <w:rFonts w:hint="eastAsia"/>
                <w:color w:val="auto"/>
                <w:sz w:val="24"/>
              </w:rPr>
              <w:t>为减少施工期间废水的污染，施工人员进入到现场建设临时设施后，应设置简易沉淀池，施工生产废水经沉淀后回用，不对外排放。生活污水经依托厂区现有</w:t>
            </w:r>
            <w:r>
              <w:rPr>
                <w:rFonts w:hint="eastAsia"/>
                <w:color w:val="auto"/>
                <w:sz w:val="24"/>
                <w:lang w:val="en-US" w:eastAsia="zh-CN"/>
              </w:rPr>
              <w:t>化粪池暂存后，环卫部门清运</w:t>
            </w:r>
            <w:r>
              <w:rPr>
                <w:rFonts w:hint="eastAsia"/>
                <w:color w:val="auto"/>
                <w:sz w:val="24"/>
              </w:rPr>
              <w:t>。</w:t>
            </w:r>
          </w:p>
          <w:p w14:paraId="5AF04444">
            <w:pPr>
              <w:keepNext w:val="0"/>
              <w:keepLines w:val="0"/>
              <w:pageBreakBefore w:val="0"/>
              <w:widowControl w:val="0"/>
              <w:kinsoku/>
              <w:wordWrap/>
              <w:overflowPunct/>
              <w:topLinePunct w:val="0"/>
              <w:autoSpaceDE/>
              <w:autoSpaceDN/>
              <w:bidi w:val="0"/>
              <w:adjustRightInd w:val="0"/>
              <w:snapToGrid/>
              <w:spacing w:line="460" w:lineRule="exact"/>
              <w:ind w:firstLine="480" w:firstLineChars="200"/>
              <w:textAlignment w:val="auto"/>
              <w:rPr>
                <w:color w:val="auto"/>
                <w:sz w:val="24"/>
                <w:lang w:val="en-GB"/>
              </w:rPr>
            </w:pPr>
            <w:r>
              <w:rPr>
                <w:rFonts w:hint="eastAsia"/>
                <w:color w:val="auto"/>
                <w:sz w:val="24"/>
              </w:rPr>
              <w:t>由于施工期较短，伴随施工期结束，该影响将会消除。在采取上述措施后，施工期废水对环境的影响是可以接受的</w:t>
            </w:r>
            <w:r>
              <w:rPr>
                <w:color w:val="auto"/>
                <w:sz w:val="24"/>
                <w:lang w:val="zh-CN"/>
              </w:rPr>
              <w:t>。</w:t>
            </w:r>
          </w:p>
          <w:p w14:paraId="415250EC">
            <w:pPr>
              <w:keepNext w:val="0"/>
              <w:keepLines w:val="0"/>
              <w:pageBreakBefore w:val="0"/>
              <w:widowControl w:val="0"/>
              <w:numPr>
                <w:ilvl w:val="0"/>
                <w:numId w:val="28"/>
              </w:numPr>
              <w:kinsoku/>
              <w:wordWrap/>
              <w:overflowPunct/>
              <w:topLinePunct w:val="0"/>
              <w:autoSpaceDE/>
              <w:autoSpaceDN/>
              <w:bidi w:val="0"/>
              <w:adjustRightInd w:val="0"/>
              <w:snapToGrid/>
              <w:spacing w:line="460" w:lineRule="exact"/>
              <w:ind w:left="0" w:leftChars="0" w:firstLine="480" w:firstLineChars="200"/>
              <w:textAlignment w:val="auto"/>
              <w:rPr>
                <w:color w:val="auto"/>
                <w:sz w:val="24"/>
              </w:rPr>
            </w:pPr>
            <w:r>
              <w:rPr>
                <w:color w:val="auto"/>
                <w:sz w:val="24"/>
              </w:rPr>
              <w:t>噪声污染防治措施</w:t>
            </w:r>
          </w:p>
          <w:p w14:paraId="4ACBFD64">
            <w:pPr>
              <w:keepNext w:val="0"/>
              <w:keepLines w:val="0"/>
              <w:pageBreakBefore w:val="0"/>
              <w:widowControl w:val="0"/>
              <w:kinsoku/>
              <w:wordWrap/>
              <w:overflowPunct/>
              <w:topLinePunct w:val="0"/>
              <w:autoSpaceDE/>
              <w:autoSpaceDN/>
              <w:bidi w:val="0"/>
              <w:adjustRightInd w:val="0"/>
              <w:snapToGrid/>
              <w:spacing w:line="460" w:lineRule="exact"/>
              <w:ind w:firstLine="480" w:firstLineChars="200"/>
              <w:textAlignment w:val="auto"/>
              <w:rPr>
                <w:color w:val="auto"/>
                <w:sz w:val="24"/>
              </w:rPr>
            </w:pPr>
            <w:r>
              <w:rPr>
                <w:color w:val="auto"/>
                <w:sz w:val="24"/>
              </w:rPr>
              <w:t>施工噪声是居民特别敏感的噪声源之一，根据目前的机械制造水平，只能通过加强施工产噪设备的管理，以减轻施工噪声对周围环境的影响。为了尽量减少因本项目施工而给周围人们生活等活动带来的不利影响，本次评价要求施工单位采取以下控制措施：</w:t>
            </w:r>
          </w:p>
          <w:p w14:paraId="34A5FE29">
            <w:pPr>
              <w:keepNext w:val="0"/>
              <w:keepLines w:val="0"/>
              <w:pageBreakBefore w:val="0"/>
              <w:widowControl w:val="0"/>
              <w:kinsoku/>
              <w:wordWrap/>
              <w:overflowPunct/>
              <w:topLinePunct w:val="0"/>
              <w:autoSpaceDE/>
              <w:autoSpaceDN/>
              <w:bidi w:val="0"/>
              <w:adjustRightInd w:val="0"/>
              <w:snapToGrid/>
              <w:spacing w:line="460" w:lineRule="exact"/>
              <w:ind w:firstLine="480" w:firstLineChars="200"/>
              <w:textAlignment w:val="auto"/>
              <w:rPr>
                <w:rFonts w:hint="eastAsia"/>
                <w:color w:val="auto"/>
                <w:sz w:val="24"/>
              </w:rPr>
            </w:pPr>
            <w:r>
              <w:rPr>
                <w:rFonts w:hint="eastAsia"/>
                <w:color w:val="auto"/>
                <w:sz w:val="24"/>
              </w:rPr>
              <w:t>①合理安排施工时间制定施工计划，尽可能避免大量高噪声设备同时施工。</w:t>
            </w:r>
          </w:p>
          <w:p w14:paraId="7872AD7C">
            <w:pPr>
              <w:keepNext w:val="0"/>
              <w:keepLines w:val="0"/>
              <w:pageBreakBefore w:val="0"/>
              <w:widowControl w:val="0"/>
              <w:kinsoku/>
              <w:wordWrap/>
              <w:overflowPunct/>
              <w:topLinePunct w:val="0"/>
              <w:autoSpaceDE/>
              <w:autoSpaceDN/>
              <w:bidi w:val="0"/>
              <w:adjustRightInd w:val="0"/>
              <w:snapToGrid/>
              <w:spacing w:line="460" w:lineRule="exact"/>
              <w:ind w:firstLine="480" w:firstLineChars="200"/>
              <w:textAlignment w:val="auto"/>
              <w:rPr>
                <w:rFonts w:hint="eastAsia"/>
                <w:color w:val="auto"/>
                <w:sz w:val="24"/>
              </w:rPr>
            </w:pPr>
            <w:r>
              <w:rPr>
                <w:rFonts w:hint="eastAsia"/>
                <w:color w:val="auto"/>
                <w:sz w:val="24"/>
              </w:rPr>
              <w:t>②施工时选用噪声符合国家相关标准的施工设备。加强设备维护和保养，保持机械润滑，减少运行噪声</w:t>
            </w:r>
            <w:r>
              <w:rPr>
                <w:rFonts w:hint="eastAsia"/>
                <w:color w:val="auto"/>
                <w:sz w:val="24"/>
                <w:lang w:eastAsia="zh-CN"/>
              </w:rPr>
              <w:t>；</w:t>
            </w:r>
            <w:r>
              <w:rPr>
                <w:rFonts w:hint="eastAsia"/>
                <w:color w:val="auto"/>
                <w:sz w:val="24"/>
              </w:rPr>
              <w:t>同时加强管理，以减少因施工设备维护和保养不当产生的噪声。</w:t>
            </w:r>
          </w:p>
          <w:p w14:paraId="46120A9A">
            <w:pPr>
              <w:keepNext w:val="0"/>
              <w:keepLines w:val="0"/>
              <w:pageBreakBefore w:val="0"/>
              <w:widowControl w:val="0"/>
              <w:kinsoku/>
              <w:wordWrap/>
              <w:overflowPunct/>
              <w:topLinePunct w:val="0"/>
              <w:autoSpaceDE/>
              <w:autoSpaceDN/>
              <w:bidi w:val="0"/>
              <w:adjustRightInd w:val="0"/>
              <w:snapToGrid/>
              <w:spacing w:line="460" w:lineRule="exact"/>
              <w:ind w:firstLine="480" w:firstLineChars="200"/>
              <w:textAlignment w:val="auto"/>
              <w:rPr>
                <w:rFonts w:hint="eastAsia"/>
                <w:color w:val="auto"/>
                <w:sz w:val="24"/>
              </w:rPr>
            </w:pPr>
            <w:r>
              <w:rPr>
                <w:rFonts w:hint="eastAsia"/>
                <w:color w:val="auto"/>
                <w:sz w:val="24"/>
              </w:rPr>
              <w:t>③按操作规范操作机械设备，减少操作过程中的碰撞噪声，并对工人进行环保方面的教育。</w:t>
            </w:r>
          </w:p>
          <w:p w14:paraId="56AEF3B6">
            <w:pPr>
              <w:keepNext w:val="0"/>
              <w:keepLines w:val="0"/>
              <w:pageBreakBefore w:val="0"/>
              <w:widowControl w:val="0"/>
              <w:kinsoku/>
              <w:wordWrap/>
              <w:overflowPunct/>
              <w:topLinePunct w:val="0"/>
              <w:autoSpaceDE/>
              <w:autoSpaceDN/>
              <w:bidi w:val="0"/>
              <w:adjustRightInd w:val="0"/>
              <w:snapToGrid/>
              <w:spacing w:line="460" w:lineRule="exact"/>
              <w:ind w:firstLine="480" w:firstLineChars="200"/>
              <w:textAlignment w:val="auto"/>
              <w:rPr>
                <w:rFonts w:hint="eastAsia"/>
                <w:color w:val="auto"/>
                <w:sz w:val="24"/>
              </w:rPr>
            </w:pPr>
            <w:r>
              <w:rPr>
                <w:rFonts w:hint="eastAsia"/>
                <w:color w:val="auto"/>
                <w:sz w:val="24"/>
              </w:rPr>
              <w:t>④加强施工管理，优化施工场地布置。</w:t>
            </w:r>
          </w:p>
          <w:p w14:paraId="5362CF9C">
            <w:pPr>
              <w:keepNext w:val="0"/>
              <w:keepLines w:val="0"/>
              <w:pageBreakBefore w:val="0"/>
              <w:widowControl w:val="0"/>
              <w:kinsoku/>
              <w:wordWrap/>
              <w:overflowPunct/>
              <w:topLinePunct w:val="0"/>
              <w:autoSpaceDE/>
              <w:autoSpaceDN/>
              <w:bidi w:val="0"/>
              <w:adjustRightInd w:val="0"/>
              <w:snapToGrid/>
              <w:spacing w:line="460" w:lineRule="exact"/>
              <w:ind w:firstLine="480" w:firstLineChars="200"/>
              <w:textAlignment w:val="auto"/>
              <w:rPr>
                <w:rFonts w:hint="eastAsia"/>
                <w:color w:val="auto"/>
                <w:sz w:val="24"/>
              </w:rPr>
            </w:pPr>
            <w:r>
              <w:rPr>
                <w:rFonts w:hint="eastAsia"/>
                <w:color w:val="auto"/>
                <w:sz w:val="24"/>
              </w:rPr>
              <w:t>⑤施工期交通运输噪声对环境影响较大，应尽量减少夜间运输</w:t>
            </w:r>
            <w:r>
              <w:rPr>
                <w:rFonts w:hint="eastAsia"/>
                <w:color w:val="auto"/>
                <w:sz w:val="24"/>
                <w:lang w:eastAsia="zh-CN"/>
              </w:rPr>
              <w:t>；</w:t>
            </w:r>
            <w:r>
              <w:rPr>
                <w:rFonts w:hint="eastAsia"/>
                <w:color w:val="auto"/>
                <w:sz w:val="24"/>
              </w:rPr>
              <w:t>对运输车辆定期维修、养护。</w:t>
            </w:r>
          </w:p>
          <w:p w14:paraId="440CBC10">
            <w:pPr>
              <w:keepNext w:val="0"/>
              <w:keepLines w:val="0"/>
              <w:pageBreakBefore w:val="0"/>
              <w:widowControl w:val="0"/>
              <w:kinsoku/>
              <w:wordWrap/>
              <w:overflowPunct/>
              <w:topLinePunct w:val="0"/>
              <w:autoSpaceDE/>
              <w:autoSpaceDN/>
              <w:bidi w:val="0"/>
              <w:adjustRightInd w:val="0"/>
              <w:snapToGrid/>
              <w:spacing w:line="460" w:lineRule="exact"/>
              <w:ind w:firstLine="480" w:firstLineChars="200"/>
              <w:textAlignment w:val="auto"/>
              <w:rPr>
                <w:rFonts w:hint="eastAsia"/>
                <w:color w:val="auto"/>
                <w:sz w:val="24"/>
              </w:rPr>
            </w:pPr>
            <w:r>
              <w:rPr>
                <w:rFonts w:hint="eastAsia"/>
                <w:color w:val="auto"/>
                <w:sz w:val="24"/>
              </w:rPr>
              <w:t>通过采取以上措施，施工期产生的噪声可满足《建筑施工噪声排放标准》</w:t>
            </w:r>
            <w:r>
              <w:rPr>
                <w:rFonts w:hint="eastAsia"/>
                <w:color w:val="auto"/>
                <w:sz w:val="24"/>
                <w:lang w:eastAsia="zh-CN"/>
              </w:rPr>
              <w:t>（</w:t>
            </w:r>
            <w:r>
              <w:rPr>
                <w:rFonts w:hint="eastAsia"/>
                <w:color w:val="auto"/>
                <w:sz w:val="24"/>
              </w:rPr>
              <w:t>GB12523-20</w:t>
            </w:r>
            <w:r>
              <w:rPr>
                <w:rFonts w:hint="eastAsia"/>
                <w:color w:val="auto"/>
                <w:sz w:val="24"/>
                <w:lang w:val="en-US" w:eastAsia="zh-CN"/>
              </w:rPr>
              <w:t>25</w:t>
            </w:r>
            <w:r>
              <w:rPr>
                <w:rFonts w:hint="eastAsia"/>
                <w:color w:val="auto"/>
                <w:sz w:val="24"/>
                <w:lang w:eastAsia="zh-CN"/>
              </w:rPr>
              <w:t>）</w:t>
            </w:r>
            <w:r>
              <w:rPr>
                <w:rFonts w:hint="eastAsia"/>
                <w:color w:val="auto"/>
                <w:sz w:val="24"/>
              </w:rPr>
              <w:t>，对周围环境影响较小。并且施工期噪声影响是一定时间、一定范围的，随着施工期的结束，噪声影响也将随之消失。</w:t>
            </w:r>
          </w:p>
          <w:p w14:paraId="58C60C21">
            <w:pPr>
              <w:keepNext w:val="0"/>
              <w:keepLines w:val="0"/>
              <w:pageBreakBefore w:val="0"/>
              <w:widowControl w:val="0"/>
              <w:numPr>
                <w:ilvl w:val="0"/>
                <w:numId w:val="28"/>
              </w:numPr>
              <w:kinsoku/>
              <w:wordWrap/>
              <w:overflowPunct/>
              <w:topLinePunct w:val="0"/>
              <w:autoSpaceDE/>
              <w:autoSpaceDN/>
              <w:bidi w:val="0"/>
              <w:adjustRightInd w:val="0"/>
              <w:snapToGrid/>
              <w:spacing w:line="460" w:lineRule="exact"/>
              <w:ind w:left="0" w:leftChars="0" w:firstLine="480" w:firstLineChars="200"/>
              <w:textAlignment w:val="auto"/>
              <w:rPr>
                <w:color w:val="auto"/>
                <w:sz w:val="24"/>
              </w:rPr>
            </w:pPr>
            <w:r>
              <w:rPr>
                <w:color w:val="auto"/>
                <w:sz w:val="24"/>
              </w:rPr>
              <w:t>固废污染防治措施</w:t>
            </w:r>
          </w:p>
          <w:p w14:paraId="12EECFBA">
            <w:pPr>
              <w:keepNext w:val="0"/>
              <w:keepLines w:val="0"/>
              <w:pageBreakBefore w:val="0"/>
              <w:widowControl w:val="0"/>
              <w:kinsoku/>
              <w:wordWrap/>
              <w:overflowPunct/>
              <w:topLinePunct w:val="0"/>
              <w:autoSpaceDE/>
              <w:autoSpaceDN/>
              <w:bidi w:val="0"/>
              <w:adjustRightInd w:val="0"/>
              <w:snapToGrid/>
              <w:spacing w:line="460" w:lineRule="exact"/>
              <w:ind w:firstLine="480" w:firstLineChars="200"/>
              <w:textAlignment w:val="auto"/>
              <w:rPr>
                <w:color w:val="auto"/>
                <w:sz w:val="24"/>
              </w:rPr>
            </w:pPr>
            <w:r>
              <w:rPr>
                <w:color w:val="auto"/>
                <w:sz w:val="24"/>
              </w:rPr>
              <w:t>施工期固体废物主要</w:t>
            </w:r>
            <w:r>
              <w:rPr>
                <w:rFonts w:hint="eastAsia"/>
                <w:color w:val="auto"/>
                <w:sz w:val="24"/>
                <w:lang w:val="en-US" w:eastAsia="zh-CN"/>
              </w:rPr>
              <w:t>为建筑垃圾</w:t>
            </w:r>
            <w:r>
              <w:rPr>
                <w:color w:val="auto"/>
                <w:sz w:val="24"/>
              </w:rPr>
              <w:t>和施工人员产生的生活垃圾。施工期的</w:t>
            </w:r>
            <w:r>
              <w:rPr>
                <w:rFonts w:hint="eastAsia"/>
                <w:color w:val="auto"/>
                <w:sz w:val="24"/>
                <w:lang w:val="en-US" w:eastAsia="zh-CN"/>
              </w:rPr>
              <w:t>建筑垃圾集中、分类收集后，可回收利用的固体废物回收利用，不能回收利用的运往指定的建筑垃圾存放点</w:t>
            </w:r>
            <w:r>
              <w:rPr>
                <w:color w:val="auto"/>
                <w:sz w:val="24"/>
              </w:rPr>
              <w:t>；生活垃圾及时清运，由环卫部门统一收集处理。</w:t>
            </w:r>
          </w:p>
          <w:p w14:paraId="540B1E4D">
            <w:pPr>
              <w:keepNext w:val="0"/>
              <w:keepLines w:val="0"/>
              <w:pageBreakBefore w:val="0"/>
              <w:widowControl w:val="0"/>
              <w:numPr>
                <w:ilvl w:val="0"/>
                <w:numId w:val="28"/>
              </w:numPr>
              <w:kinsoku/>
              <w:wordWrap/>
              <w:overflowPunct/>
              <w:topLinePunct w:val="0"/>
              <w:autoSpaceDE/>
              <w:autoSpaceDN/>
              <w:bidi w:val="0"/>
              <w:adjustRightInd w:val="0"/>
              <w:snapToGrid/>
              <w:spacing w:line="460" w:lineRule="exact"/>
              <w:ind w:left="0" w:leftChars="0" w:firstLine="480" w:firstLineChars="200"/>
              <w:textAlignment w:val="auto"/>
              <w:rPr>
                <w:rFonts w:hint="default"/>
                <w:color w:val="auto"/>
                <w:sz w:val="24"/>
              </w:rPr>
            </w:pPr>
            <w:r>
              <w:rPr>
                <w:rFonts w:hint="default"/>
                <w:color w:val="auto"/>
                <w:sz w:val="24"/>
              </w:rPr>
              <w:t>生态环境目标保护措施</w:t>
            </w:r>
          </w:p>
          <w:p w14:paraId="0B66DD7F">
            <w:pPr>
              <w:keepNext w:val="0"/>
              <w:keepLines w:val="0"/>
              <w:pageBreakBefore w:val="0"/>
              <w:widowControl w:val="0"/>
              <w:kinsoku/>
              <w:wordWrap/>
              <w:overflowPunct/>
              <w:topLinePunct w:val="0"/>
              <w:autoSpaceDE/>
              <w:autoSpaceDN/>
              <w:bidi w:val="0"/>
              <w:adjustRightInd w:val="0"/>
              <w:snapToGrid/>
              <w:spacing w:line="460" w:lineRule="exact"/>
              <w:ind w:firstLine="480" w:firstLineChars="200"/>
              <w:textAlignment w:val="auto"/>
              <w:rPr>
                <w:color w:val="auto"/>
                <w:sz w:val="24"/>
                <w:lang w:bidi="ar"/>
              </w:rPr>
            </w:pPr>
            <w:r>
              <w:rPr>
                <w:rFonts w:hint="eastAsia" w:ascii="Times New Roman" w:hAnsi="Times New Roman" w:eastAsia="宋体" w:cs="Times New Roman"/>
                <w:color w:val="auto"/>
                <w:kern w:val="0"/>
                <w:sz w:val="24"/>
                <w:szCs w:val="24"/>
                <w:lang w:val="en-US" w:eastAsia="zh-CN" w:bidi="ar-SA"/>
              </w:rPr>
              <w:t>本</w:t>
            </w:r>
            <w:r>
              <w:rPr>
                <w:rFonts w:hint="eastAsia" w:ascii="Times New Roman" w:hAnsi="Times New Roman" w:eastAsia="宋体" w:cs="Times New Roman"/>
                <w:color w:val="auto"/>
                <w:kern w:val="2"/>
                <w:sz w:val="24"/>
                <w:szCs w:val="24"/>
                <w:lang w:val="en-US" w:eastAsia="zh-CN" w:bidi="ar-SA"/>
              </w:rPr>
              <w:t>项目</w:t>
            </w:r>
            <w:r>
              <w:rPr>
                <w:rFonts w:hint="eastAsia" w:cs="Times New Roman"/>
                <w:color w:val="auto"/>
                <w:kern w:val="2"/>
                <w:sz w:val="24"/>
                <w:szCs w:val="24"/>
                <w:lang w:val="en-US" w:eastAsia="zh-CN" w:bidi="ar-SA"/>
              </w:rPr>
              <w:t>利用现有厂房</w:t>
            </w:r>
            <w:r>
              <w:rPr>
                <w:rFonts w:hint="eastAsia" w:ascii="Times New Roman" w:hAnsi="Times New Roman" w:eastAsia="宋体" w:cs="Times New Roman"/>
                <w:color w:val="auto"/>
                <w:kern w:val="2"/>
                <w:sz w:val="24"/>
                <w:szCs w:val="24"/>
                <w:lang w:val="en-US" w:eastAsia="zh-CN" w:bidi="ar-SA"/>
              </w:rPr>
              <w:t>，不新增占地，</w:t>
            </w:r>
            <w:r>
              <w:rPr>
                <w:rFonts w:hint="eastAsia" w:cs="Times New Roman"/>
                <w:color w:val="auto"/>
                <w:sz w:val="24"/>
                <w:szCs w:val="24"/>
                <w:highlight w:val="none"/>
                <w:u w:val="none"/>
                <w:lang w:eastAsia="zh-CN"/>
              </w:rPr>
              <w:t>厂房周边为其他工业企业，无</w:t>
            </w:r>
            <w:r>
              <w:rPr>
                <w:rFonts w:hint="default" w:ascii="Times New Roman" w:hAnsi="Times New Roman" w:eastAsia="宋体" w:cs="Times New Roman"/>
                <w:color w:val="auto"/>
                <w:sz w:val="24"/>
                <w:szCs w:val="24"/>
                <w:highlight w:val="none"/>
                <w:u w:val="none"/>
              </w:rPr>
              <w:t>生态环境保护目标，根据《建设项目环境影响报告表编制技术指南</w:t>
            </w:r>
            <w:r>
              <w:rPr>
                <w:rFonts w:hint="eastAsia" w:cs="Times New Roman"/>
                <w:color w:val="auto"/>
                <w:sz w:val="24"/>
                <w:szCs w:val="24"/>
                <w:highlight w:val="none"/>
                <w:u w:val="none"/>
                <w:lang w:eastAsia="zh-CN"/>
              </w:rPr>
              <w:t>（</w:t>
            </w:r>
            <w:r>
              <w:rPr>
                <w:rFonts w:hint="default" w:ascii="Times New Roman" w:hAnsi="Times New Roman" w:eastAsia="宋体" w:cs="Times New Roman"/>
                <w:color w:val="auto"/>
                <w:sz w:val="24"/>
                <w:szCs w:val="24"/>
                <w:highlight w:val="none"/>
                <w:u w:val="none"/>
              </w:rPr>
              <w:t>污染影响类</w:t>
            </w:r>
            <w:r>
              <w:rPr>
                <w:rFonts w:hint="eastAsia" w:cs="Times New Roman"/>
                <w:color w:val="auto"/>
                <w:sz w:val="24"/>
                <w:szCs w:val="24"/>
                <w:highlight w:val="none"/>
                <w:u w:val="none"/>
                <w:lang w:eastAsia="zh-CN"/>
              </w:rPr>
              <w:t>）（</w:t>
            </w:r>
            <w:r>
              <w:rPr>
                <w:rFonts w:hint="default" w:ascii="Times New Roman" w:hAnsi="Times New Roman" w:eastAsia="宋体" w:cs="Times New Roman"/>
                <w:color w:val="auto"/>
                <w:sz w:val="24"/>
                <w:szCs w:val="24"/>
                <w:highlight w:val="none"/>
                <w:u w:val="none"/>
              </w:rPr>
              <w:t>试行</w:t>
            </w:r>
            <w:r>
              <w:rPr>
                <w:rFonts w:hint="eastAsia" w:cs="Times New Roman"/>
                <w:color w:val="auto"/>
                <w:sz w:val="24"/>
                <w:szCs w:val="24"/>
                <w:highlight w:val="none"/>
                <w:u w:val="none"/>
                <w:lang w:eastAsia="zh-CN"/>
              </w:rPr>
              <w:t>）</w:t>
            </w:r>
            <w:r>
              <w:rPr>
                <w:rFonts w:hint="default" w:ascii="Times New Roman" w:hAnsi="Times New Roman" w:eastAsia="宋体" w:cs="Times New Roman"/>
                <w:color w:val="auto"/>
                <w:sz w:val="24"/>
                <w:szCs w:val="24"/>
                <w:highlight w:val="none"/>
                <w:u w:val="none"/>
              </w:rPr>
              <w:t>》，</w:t>
            </w:r>
            <w:r>
              <w:rPr>
                <w:rFonts w:hint="default" w:ascii="Times New Roman" w:hAnsi="Times New Roman" w:eastAsia="宋体" w:cs="Times New Roman"/>
                <w:color w:val="auto"/>
                <w:sz w:val="24"/>
                <w:szCs w:val="24"/>
                <w:highlight w:val="none"/>
              </w:rPr>
              <w:t>无需明确生态环境保护目标的保护措施。</w:t>
            </w:r>
          </w:p>
          <w:p w14:paraId="6147111B">
            <w:pPr>
              <w:keepNext w:val="0"/>
              <w:keepLines w:val="0"/>
              <w:pageBreakBefore w:val="0"/>
              <w:widowControl w:val="0"/>
              <w:kinsoku/>
              <w:wordWrap/>
              <w:overflowPunct/>
              <w:topLinePunct w:val="0"/>
              <w:autoSpaceDE/>
              <w:autoSpaceDN/>
              <w:bidi w:val="0"/>
              <w:adjustRightInd w:val="0"/>
              <w:snapToGrid/>
              <w:spacing w:line="460" w:lineRule="exact"/>
              <w:ind w:firstLine="480" w:firstLineChars="200"/>
              <w:textAlignment w:val="auto"/>
              <w:rPr>
                <w:color w:val="auto"/>
                <w:szCs w:val="21"/>
                <w:lang w:bidi="ar"/>
              </w:rPr>
            </w:pPr>
            <w:r>
              <w:rPr>
                <w:color w:val="auto"/>
                <w:sz w:val="24"/>
                <w:lang w:bidi="ar"/>
              </w:rPr>
              <w:t>综上所述，通过加强作业管理和采取相关环保措施，可将施工过程对环境的影响降至最低</w:t>
            </w:r>
            <w:r>
              <w:rPr>
                <w:color w:val="auto"/>
                <w:szCs w:val="21"/>
                <w:lang w:bidi="ar"/>
              </w:rPr>
              <w:t>。</w:t>
            </w:r>
          </w:p>
          <w:p w14:paraId="78BB2497">
            <w:pPr>
              <w:rPr>
                <w:color w:val="auto"/>
              </w:rPr>
            </w:pPr>
          </w:p>
          <w:p w14:paraId="501EA0BD">
            <w:pPr>
              <w:rPr>
                <w:color w:val="auto"/>
              </w:rPr>
            </w:pPr>
          </w:p>
          <w:p w14:paraId="53AE806E">
            <w:pPr>
              <w:rPr>
                <w:color w:val="auto"/>
              </w:rPr>
            </w:pPr>
          </w:p>
          <w:p w14:paraId="5CD02B00">
            <w:pPr>
              <w:rPr>
                <w:color w:val="auto"/>
              </w:rPr>
            </w:pPr>
          </w:p>
          <w:p w14:paraId="4034C97E">
            <w:pPr>
              <w:rPr>
                <w:color w:val="auto"/>
              </w:rPr>
            </w:pPr>
          </w:p>
          <w:p w14:paraId="16607BFD">
            <w:pPr>
              <w:rPr>
                <w:color w:val="auto"/>
              </w:rPr>
            </w:pPr>
          </w:p>
          <w:p w14:paraId="04CBC780">
            <w:pPr>
              <w:rPr>
                <w:color w:val="auto"/>
              </w:rPr>
            </w:pPr>
          </w:p>
          <w:p w14:paraId="0749061D">
            <w:pPr>
              <w:rPr>
                <w:color w:val="auto"/>
              </w:rPr>
            </w:pPr>
          </w:p>
          <w:p w14:paraId="46D79134">
            <w:pPr>
              <w:rPr>
                <w:color w:val="auto"/>
              </w:rPr>
            </w:pPr>
          </w:p>
          <w:p w14:paraId="55A7949F">
            <w:pPr>
              <w:rPr>
                <w:color w:val="auto"/>
              </w:rPr>
            </w:pPr>
          </w:p>
          <w:p w14:paraId="79856ABC">
            <w:pPr>
              <w:rPr>
                <w:color w:val="auto"/>
              </w:rPr>
            </w:pPr>
          </w:p>
          <w:p w14:paraId="2B07E97B">
            <w:pPr>
              <w:rPr>
                <w:color w:val="auto"/>
              </w:rPr>
            </w:pPr>
          </w:p>
          <w:p w14:paraId="1F7AD561">
            <w:pPr>
              <w:rPr>
                <w:color w:val="auto"/>
              </w:rPr>
            </w:pPr>
          </w:p>
          <w:p w14:paraId="62CD6E2C">
            <w:pPr>
              <w:rPr>
                <w:color w:val="auto"/>
              </w:rPr>
            </w:pPr>
          </w:p>
          <w:p w14:paraId="325A3ADD">
            <w:pPr>
              <w:rPr>
                <w:color w:val="auto"/>
              </w:rPr>
            </w:pPr>
          </w:p>
          <w:p w14:paraId="33F72155">
            <w:pPr>
              <w:rPr>
                <w:color w:val="auto"/>
              </w:rPr>
            </w:pPr>
          </w:p>
          <w:p w14:paraId="2B591B5D">
            <w:pPr>
              <w:rPr>
                <w:color w:val="auto"/>
              </w:rPr>
            </w:pPr>
          </w:p>
          <w:p w14:paraId="05985721">
            <w:pPr>
              <w:rPr>
                <w:color w:val="auto"/>
              </w:rPr>
            </w:pPr>
          </w:p>
          <w:p w14:paraId="69C16F39">
            <w:pPr>
              <w:rPr>
                <w:color w:val="auto"/>
              </w:rPr>
            </w:pPr>
          </w:p>
          <w:p w14:paraId="37B3AD9A">
            <w:pPr>
              <w:rPr>
                <w:color w:val="auto"/>
              </w:rPr>
            </w:pPr>
          </w:p>
          <w:p w14:paraId="5B70FF2F">
            <w:pPr>
              <w:rPr>
                <w:color w:val="auto"/>
              </w:rPr>
            </w:pPr>
          </w:p>
        </w:tc>
      </w:tr>
    </w:tbl>
    <w:p w14:paraId="5FE7C120">
      <w:pPr>
        <w:rPr>
          <w:color w:val="FF0000"/>
        </w:rPr>
        <w:sectPr>
          <w:pgSz w:w="11905" w:h="16838"/>
          <w:pgMar w:top="1417" w:right="1417" w:bottom="1417" w:left="1417" w:header="851" w:footer="850" w:gutter="0"/>
          <w:pgBorders>
            <w:top w:val="none" w:sz="0" w:space="0"/>
            <w:left w:val="none" w:sz="0" w:space="0"/>
            <w:bottom w:val="none" w:sz="0" w:space="0"/>
            <w:right w:val="none" w:sz="0" w:space="0"/>
          </w:pgBorders>
          <w:pgNumType w:fmt="decimal"/>
          <w:cols w:space="0" w:num="1"/>
          <w:rtlGutter w:val="0"/>
          <w:docGrid w:linePitch="312" w:charSpace="0"/>
        </w:sectPr>
      </w:pPr>
    </w:p>
    <w:tbl>
      <w:tblPr>
        <w:tblStyle w:val="27"/>
        <w:tblW w:w="5068"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405"/>
        <w:gridCol w:w="8927"/>
      </w:tblGrid>
      <w:tr w14:paraId="78ADDB9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7945" w:hRule="atLeast"/>
          <w:jc w:val="center"/>
        </w:trPr>
        <w:tc>
          <w:tcPr>
            <w:tcW w:w="217" w:type="pct"/>
            <w:tcBorders>
              <w:tl2br w:val="nil"/>
              <w:tr2bl w:val="nil"/>
            </w:tcBorders>
            <w:noWrap w:val="0"/>
            <w:tcMar>
              <w:left w:w="28" w:type="dxa"/>
              <w:right w:w="28" w:type="dxa"/>
            </w:tcMar>
            <w:vAlign w:val="center"/>
          </w:tcPr>
          <w:p w14:paraId="4762014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宋体" w:hAnsi="宋体" w:cs="宋体"/>
                <w:b w:val="0"/>
                <w:bCs/>
                <w:color w:val="auto"/>
                <w:sz w:val="24"/>
                <w:szCs w:val="24"/>
                <w:highlight w:val="none"/>
              </w:rPr>
            </w:pPr>
            <w:r>
              <w:rPr>
                <w:rFonts w:hint="eastAsia" w:ascii="宋体" w:hAnsi="宋体" w:cs="宋体"/>
                <w:b w:val="0"/>
                <w:bCs/>
                <w:color w:val="auto"/>
                <w:sz w:val="24"/>
                <w:szCs w:val="24"/>
                <w:highlight w:val="none"/>
              </w:rPr>
              <w:t>运营</w:t>
            </w:r>
          </w:p>
          <w:p w14:paraId="6D286CC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宋体" w:hAnsi="宋体" w:cs="宋体"/>
                <w:b w:val="0"/>
                <w:bCs/>
                <w:color w:val="auto"/>
                <w:sz w:val="24"/>
                <w:szCs w:val="24"/>
                <w:highlight w:val="none"/>
              </w:rPr>
            </w:pPr>
            <w:r>
              <w:rPr>
                <w:rFonts w:hint="eastAsia" w:ascii="宋体" w:hAnsi="宋体" w:cs="宋体"/>
                <w:b w:val="0"/>
                <w:bCs/>
                <w:color w:val="auto"/>
                <w:sz w:val="24"/>
                <w:szCs w:val="24"/>
                <w:highlight w:val="none"/>
              </w:rPr>
              <w:t>期环</w:t>
            </w:r>
          </w:p>
          <w:p w14:paraId="6490C53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宋体" w:hAnsi="宋体" w:cs="宋体"/>
                <w:b w:val="0"/>
                <w:bCs/>
                <w:color w:val="auto"/>
                <w:sz w:val="24"/>
                <w:szCs w:val="24"/>
                <w:highlight w:val="none"/>
              </w:rPr>
            </w:pPr>
            <w:r>
              <w:rPr>
                <w:rFonts w:hint="eastAsia" w:ascii="宋体" w:hAnsi="宋体" w:cs="宋体"/>
                <w:b w:val="0"/>
                <w:bCs/>
                <w:color w:val="auto"/>
                <w:sz w:val="24"/>
                <w:szCs w:val="24"/>
                <w:highlight w:val="none"/>
              </w:rPr>
              <w:t>境影</w:t>
            </w:r>
          </w:p>
          <w:p w14:paraId="312F54B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宋体" w:hAnsi="宋体" w:cs="宋体"/>
                <w:b w:val="0"/>
                <w:bCs/>
                <w:color w:val="auto"/>
                <w:sz w:val="24"/>
                <w:szCs w:val="24"/>
                <w:highlight w:val="none"/>
              </w:rPr>
            </w:pPr>
            <w:r>
              <w:rPr>
                <w:rFonts w:hint="eastAsia" w:ascii="宋体" w:hAnsi="宋体" w:cs="宋体"/>
                <w:b w:val="0"/>
                <w:bCs/>
                <w:color w:val="auto"/>
                <w:sz w:val="24"/>
                <w:szCs w:val="24"/>
                <w:highlight w:val="none"/>
              </w:rPr>
              <w:t>响和</w:t>
            </w:r>
          </w:p>
          <w:p w14:paraId="2D60D01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宋体" w:hAnsi="宋体" w:cs="宋体"/>
                <w:b w:val="0"/>
                <w:bCs/>
                <w:color w:val="auto"/>
                <w:sz w:val="24"/>
                <w:szCs w:val="24"/>
                <w:highlight w:val="none"/>
              </w:rPr>
            </w:pPr>
            <w:r>
              <w:rPr>
                <w:rFonts w:hint="eastAsia" w:ascii="宋体" w:hAnsi="宋体" w:cs="宋体"/>
                <w:b w:val="0"/>
                <w:bCs/>
                <w:color w:val="auto"/>
                <w:sz w:val="24"/>
                <w:szCs w:val="24"/>
                <w:highlight w:val="none"/>
              </w:rPr>
              <w:t>保护</w:t>
            </w:r>
          </w:p>
          <w:p w14:paraId="1D84927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宋体" w:hAnsi="宋体" w:cs="宋体"/>
                <w:b w:val="0"/>
                <w:bCs/>
                <w:color w:val="FF0000"/>
                <w:sz w:val="24"/>
                <w:szCs w:val="24"/>
                <w:highlight w:val="none"/>
              </w:rPr>
            </w:pPr>
            <w:r>
              <w:rPr>
                <w:rFonts w:hint="eastAsia" w:ascii="宋体" w:hAnsi="宋体" w:cs="宋体"/>
                <w:b w:val="0"/>
                <w:bCs/>
                <w:color w:val="auto"/>
                <w:sz w:val="24"/>
                <w:szCs w:val="24"/>
                <w:highlight w:val="none"/>
              </w:rPr>
              <w:t>措施</w:t>
            </w:r>
          </w:p>
        </w:tc>
        <w:tc>
          <w:tcPr>
            <w:tcW w:w="4782" w:type="pct"/>
            <w:tcBorders>
              <w:tl2br w:val="nil"/>
              <w:tr2bl w:val="nil"/>
            </w:tcBorders>
            <w:noWrap w:val="0"/>
            <w:vAlign w:val="top"/>
          </w:tcPr>
          <w:p w14:paraId="56167050">
            <w:pPr>
              <w:keepNext w:val="0"/>
              <w:keepLines w:val="0"/>
              <w:pageBreakBefore w:val="0"/>
              <w:widowControl w:val="0"/>
              <w:numPr>
                <w:ilvl w:val="0"/>
                <w:numId w:val="29"/>
              </w:numPr>
              <w:kinsoku/>
              <w:wordWrap/>
              <w:overflowPunct/>
              <w:topLinePunct w:val="0"/>
              <w:autoSpaceDE/>
              <w:autoSpaceDN/>
              <w:bidi w:val="0"/>
              <w:adjustRightInd w:val="0"/>
              <w:snapToGrid/>
              <w:spacing w:line="360" w:lineRule="auto"/>
              <w:ind w:left="0" w:leftChars="0" w:firstLine="420" w:firstLineChars="0"/>
              <w:jc w:val="left"/>
              <w:textAlignment w:val="auto"/>
              <w:rPr>
                <w:rFonts w:hint="eastAsia"/>
                <w:b/>
                <w:bCs/>
                <w:color w:val="auto"/>
                <w:sz w:val="24"/>
                <w:szCs w:val="24"/>
                <w:highlight w:val="none"/>
                <w:lang w:eastAsia="zh-CN"/>
              </w:rPr>
            </w:pPr>
            <w:r>
              <w:rPr>
                <w:rFonts w:hint="eastAsia"/>
                <w:b/>
                <w:bCs/>
                <w:color w:val="auto"/>
                <w:sz w:val="24"/>
                <w:szCs w:val="24"/>
                <w:highlight w:val="none"/>
                <w:lang w:eastAsia="zh-CN"/>
              </w:rPr>
              <w:t>废气</w:t>
            </w:r>
          </w:p>
          <w:p w14:paraId="4D48D533">
            <w:pPr>
              <w:pStyle w:val="36"/>
              <w:keepNext w:val="0"/>
              <w:keepLines w:val="0"/>
              <w:pageBreakBefore w:val="0"/>
              <w:widowControl w:val="0"/>
              <w:numPr>
                <w:ilvl w:val="0"/>
                <w:numId w:val="30"/>
              </w:numPr>
              <w:kinsoku/>
              <w:wordWrap/>
              <w:overflowPunct/>
              <w:topLinePunct w:val="0"/>
              <w:bidi w:val="0"/>
              <w:adjustRightInd w:val="0"/>
              <w:snapToGrid/>
              <w:spacing w:before="0" w:beforeLines="0" w:line="360" w:lineRule="auto"/>
              <w:ind w:left="0" w:leftChars="0" w:firstLine="482" w:firstLineChars="200"/>
              <w:jc w:val="left"/>
              <w:textAlignment w:val="auto"/>
              <w:rPr>
                <w:rFonts w:hint="default" w:ascii="Times New Roman" w:hAnsi="Times New Roman" w:cs="Times New Roman"/>
                <w:b/>
                <w:bCs/>
                <w:color w:val="auto"/>
                <w:sz w:val="24"/>
                <w:szCs w:val="24"/>
                <w:highlight w:val="none"/>
                <w:lang w:val="en-US" w:eastAsia="zh-CN"/>
              </w:rPr>
            </w:pPr>
            <w:r>
              <w:rPr>
                <w:rFonts w:hint="eastAsia" w:ascii="Times New Roman" w:hAnsi="Times New Roman" w:cs="Times New Roman"/>
                <w:b/>
                <w:bCs/>
                <w:color w:val="auto"/>
                <w:sz w:val="24"/>
                <w:szCs w:val="24"/>
                <w:highlight w:val="none"/>
                <w:lang w:val="en-US" w:eastAsia="zh-CN"/>
              </w:rPr>
              <w:t>废气产生及排放情况</w:t>
            </w:r>
          </w:p>
          <w:p w14:paraId="2D17CC94">
            <w:pPr>
              <w:pStyle w:val="36"/>
              <w:keepNext w:val="0"/>
              <w:keepLines w:val="0"/>
              <w:pageBreakBefore w:val="0"/>
              <w:widowControl w:val="0"/>
              <w:numPr>
                <w:ilvl w:val="0"/>
                <w:numId w:val="0"/>
              </w:numPr>
              <w:kinsoku/>
              <w:wordWrap/>
              <w:overflowPunct/>
              <w:topLinePunct w:val="0"/>
              <w:bidi w:val="0"/>
              <w:adjustRightInd w:val="0"/>
              <w:snapToGrid/>
              <w:spacing w:before="0" w:beforeLines="0" w:line="360" w:lineRule="auto"/>
              <w:ind w:firstLine="480" w:firstLineChars="200"/>
              <w:jc w:val="left"/>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本项目仅对危险废物进行中转暂存，不对危险废物进行分析检测、利用处置</w:t>
            </w:r>
            <w:r>
              <w:rPr>
                <w:rFonts w:hint="eastAsia" w:ascii="Times New Roman" w:hAnsi="Times New Roman" w:cs="Times New Roman"/>
                <w:color w:val="auto"/>
                <w:sz w:val="24"/>
                <w:szCs w:val="24"/>
                <w:highlight w:val="none"/>
                <w:lang w:val="en-US" w:eastAsia="zh-CN"/>
              </w:rPr>
              <w:t>。</w:t>
            </w:r>
            <w:r>
              <w:rPr>
                <w:rFonts w:hint="eastAsia" w:ascii="Times New Roman" w:cs="Times New Roman"/>
                <w:color w:val="auto"/>
                <w:sz w:val="24"/>
                <w:szCs w:val="24"/>
                <w:highlight w:val="none"/>
                <w:lang w:val="en-US" w:eastAsia="zh-CN"/>
              </w:rPr>
              <w:t>废气主要产生于贮存过程。</w:t>
            </w:r>
          </w:p>
          <w:p w14:paraId="3E553622">
            <w:pPr>
              <w:pStyle w:val="36"/>
              <w:keepNext w:val="0"/>
              <w:keepLines w:val="0"/>
              <w:pageBreakBefore w:val="0"/>
              <w:widowControl w:val="0"/>
              <w:numPr>
                <w:ilvl w:val="0"/>
                <w:numId w:val="0"/>
              </w:numPr>
              <w:kinsoku/>
              <w:wordWrap/>
              <w:overflowPunct/>
              <w:topLinePunct w:val="0"/>
              <w:bidi w:val="0"/>
              <w:adjustRightInd w:val="0"/>
              <w:snapToGrid/>
              <w:spacing w:before="0" w:beforeLines="0" w:line="360" w:lineRule="auto"/>
              <w:ind w:firstLine="480" w:firstLineChars="200"/>
              <w:jc w:val="left"/>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项目接收入场贮存的危险废物均已在产废单位包装完好，</w:t>
            </w:r>
            <w:r>
              <w:rPr>
                <w:rFonts w:hint="eastAsia" w:ascii="Times New Roman" w:hAnsi="Times New Roman" w:cs="Times New Roman"/>
                <w:color w:val="auto"/>
                <w:sz w:val="24"/>
                <w:szCs w:val="24"/>
                <w:highlight w:val="none"/>
                <w:lang w:val="en-US" w:eastAsia="zh-CN"/>
              </w:rPr>
              <w:t>满足</w:t>
            </w:r>
            <w:r>
              <w:rPr>
                <w:rFonts w:hint="default" w:ascii="Times New Roman" w:hAnsi="Times New Roman" w:cs="Times New Roman"/>
                <w:color w:val="auto"/>
                <w:sz w:val="24"/>
                <w:szCs w:val="24"/>
                <w:highlight w:val="none"/>
                <w:lang w:val="en-US" w:eastAsia="zh-CN"/>
              </w:rPr>
              <w:t>《危险废物贮存污染控制标准》</w:t>
            </w:r>
            <w:r>
              <w:rPr>
                <w:rFonts w:hint="eastAsia" w:ascii="Times New Roman"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GB18597-2023</w:t>
            </w:r>
            <w:r>
              <w:rPr>
                <w:rFonts w:hint="eastAsia" w:ascii="Times New Roman" w:cs="Times New Roman"/>
                <w:color w:val="auto"/>
                <w:sz w:val="24"/>
                <w:szCs w:val="24"/>
                <w:highlight w:val="none"/>
                <w:lang w:val="en-US" w:eastAsia="zh-CN"/>
              </w:rPr>
              <w:t>）</w:t>
            </w:r>
            <w:r>
              <w:rPr>
                <w:rFonts w:hint="eastAsia" w:ascii="Times New Roman" w:hAnsi="Times New Roman" w:cs="Times New Roman"/>
                <w:color w:val="auto"/>
                <w:sz w:val="24"/>
                <w:szCs w:val="24"/>
                <w:highlight w:val="none"/>
                <w:lang w:val="en-US" w:eastAsia="zh-CN"/>
              </w:rPr>
              <w:t>、《危险废物收集 贮存 运输技术规范》（HJ 2025-2012）</w:t>
            </w:r>
            <w:r>
              <w:rPr>
                <w:rFonts w:hint="default" w:ascii="Times New Roman" w:hAnsi="Times New Roman" w:cs="Times New Roman"/>
                <w:color w:val="auto"/>
                <w:sz w:val="24"/>
                <w:szCs w:val="24"/>
                <w:highlight w:val="none"/>
                <w:lang w:val="en-US" w:eastAsia="zh-CN"/>
              </w:rPr>
              <w:t>中的有关规定</w:t>
            </w:r>
            <w:r>
              <w:rPr>
                <w:rFonts w:hint="eastAsia" w:ascii="Times New Roman" w:hAnsi="Times New Roman" w:cs="Times New Roman"/>
                <w:color w:val="auto"/>
                <w:sz w:val="24"/>
                <w:szCs w:val="24"/>
                <w:highlight w:val="none"/>
                <w:lang w:val="en-US" w:eastAsia="zh-CN"/>
              </w:rPr>
              <w:t>方可允许入场</w:t>
            </w:r>
            <w:r>
              <w:rPr>
                <w:rFonts w:hint="default" w:ascii="Times New Roman" w:hAnsi="Times New Roman" w:cs="Times New Roman"/>
                <w:color w:val="auto"/>
                <w:sz w:val="24"/>
                <w:szCs w:val="24"/>
                <w:highlight w:val="none"/>
                <w:lang w:val="en-US" w:eastAsia="zh-CN"/>
              </w:rPr>
              <w:t>。收集的各类危险废物入库和转运出库的包装方式不变，不倒罐不分装，均采用密闭包装容器进行贮存。</w:t>
            </w:r>
          </w:p>
          <w:p w14:paraId="536F8050">
            <w:pPr>
              <w:pStyle w:val="36"/>
              <w:keepNext w:val="0"/>
              <w:keepLines w:val="0"/>
              <w:pageBreakBefore w:val="0"/>
              <w:widowControl w:val="0"/>
              <w:numPr>
                <w:ilvl w:val="0"/>
                <w:numId w:val="0"/>
              </w:numPr>
              <w:kinsoku/>
              <w:wordWrap/>
              <w:overflowPunct/>
              <w:topLinePunct w:val="0"/>
              <w:bidi w:val="0"/>
              <w:adjustRightInd w:val="0"/>
              <w:snapToGrid/>
              <w:spacing w:before="0" w:beforeLines="0" w:line="360" w:lineRule="auto"/>
              <w:ind w:firstLine="480" w:firstLineChars="200"/>
              <w:jc w:val="left"/>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本项目含汞废物</w:t>
            </w:r>
            <w:r>
              <w:rPr>
                <w:rFonts w:hint="eastAsia" w:ascii="Times New Roman"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HW29</w:t>
            </w:r>
            <w:r>
              <w:rPr>
                <w:rFonts w:hint="eastAsia" w:ascii="Times New Roman"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和其他废物</w:t>
            </w:r>
            <w:r>
              <w:rPr>
                <w:rFonts w:hint="eastAsia" w:ascii="Times New Roman"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HW49</w:t>
            </w:r>
            <w:r>
              <w:rPr>
                <w:rFonts w:hint="eastAsia" w:ascii="Times New Roman"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900-044-49中含有收贮一定量的废含汞开关、废荧光粉、废含汞荧光灯管、废阴极射线管等，不进行含汞灯管、电源的拆解及后续加工工作，</w:t>
            </w:r>
            <w:r>
              <w:rPr>
                <w:rFonts w:hint="eastAsia" w:ascii="Times New Roman" w:cs="Times New Roman"/>
                <w:color w:val="auto"/>
                <w:sz w:val="24"/>
                <w:szCs w:val="24"/>
                <w:highlight w:val="none"/>
                <w:lang w:val="en-US" w:eastAsia="zh-CN"/>
              </w:rPr>
              <w:t>灯管</w:t>
            </w:r>
            <w:r>
              <w:rPr>
                <w:rFonts w:hint="default" w:ascii="Times New Roman" w:hAnsi="Times New Roman" w:cs="Times New Roman"/>
                <w:color w:val="auto"/>
                <w:sz w:val="24"/>
                <w:szCs w:val="24"/>
                <w:highlight w:val="none"/>
                <w:lang w:val="en-US" w:eastAsia="zh-CN"/>
              </w:rPr>
              <w:t>未破损时不会产生汞蒸汽，当灯管破损后，汞蒸气会扩散到大气中，造成污染，而本项目废含汞荧光灯管在装车过程中破碎的含汞荧光灯管采用密封桶进行包装</w:t>
            </w:r>
            <w:r>
              <w:rPr>
                <w:rFonts w:hint="eastAsia" w:ascii="Times New Roman"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外观完好的含汞荧光灯管采用密封箱进行包装，不会导致汞蒸气扩散，因此，在严格按照规范进行转运、收贮过程中不会产生含汞废气产生。</w:t>
            </w:r>
          </w:p>
          <w:p w14:paraId="667293D5">
            <w:pPr>
              <w:pStyle w:val="36"/>
              <w:keepNext w:val="0"/>
              <w:keepLines w:val="0"/>
              <w:pageBreakBefore w:val="0"/>
              <w:widowControl w:val="0"/>
              <w:numPr>
                <w:ilvl w:val="0"/>
                <w:numId w:val="0"/>
              </w:numPr>
              <w:kinsoku/>
              <w:wordWrap/>
              <w:overflowPunct/>
              <w:topLinePunct w:val="0"/>
              <w:bidi w:val="0"/>
              <w:adjustRightInd w:val="0"/>
              <w:snapToGrid/>
              <w:spacing w:before="0" w:beforeLines="0" w:line="360" w:lineRule="auto"/>
              <w:ind w:firstLine="480" w:firstLineChars="200"/>
              <w:jc w:val="left"/>
              <w:textAlignment w:val="auto"/>
              <w:rPr>
                <w:rFonts w:hint="default" w:ascii="Times New Roman" w:hAnsi="Times New Roman" w:eastAsia="宋体" w:cs="Times New Roman"/>
                <w:color w:val="auto"/>
                <w:sz w:val="24"/>
                <w:szCs w:val="24"/>
                <w:highlight w:val="none"/>
                <w:lang w:val="en-US" w:eastAsia="zh-CN"/>
              </w:rPr>
            </w:pPr>
            <w:r>
              <w:rPr>
                <w:rFonts w:hint="eastAsia" w:ascii="Times New Roman" w:cs="Times New Roman"/>
                <w:color w:val="auto"/>
                <w:sz w:val="24"/>
                <w:szCs w:val="24"/>
                <w:highlight w:val="none"/>
                <w:lang w:val="en-US" w:eastAsia="zh-CN"/>
              </w:rPr>
              <w:t>本项目不收集HW06废有机溶剂与含有机溶剂废物，对于HW38有机氰化物废物进行进场检验，如会产生氰化物气体，则不予接收。</w:t>
            </w:r>
          </w:p>
          <w:p w14:paraId="1EBF62F3">
            <w:pPr>
              <w:pStyle w:val="36"/>
              <w:keepNext w:val="0"/>
              <w:keepLines w:val="0"/>
              <w:pageBreakBefore w:val="0"/>
              <w:widowControl w:val="0"/>
              <w:numPr>
                <w:ilvl w:val="0"/>
                <w:numId w:val="0"/>
              </w:numPr>
              <w:kinsoku/>
              <w:wordWrap/>
              <w:overflowPunct/>
              <w:topLinePunct w:val="0"/>
              <w:bidi w:val="0"/>
              <w:adjustRightInd w:val="0"/>
              <w:snapToGrid/>
              <w:spacing w:before="0" w:beforeLines="0" w:line="360" w:lineRule="auto"/>
              <w:ind w:firstLine="480" w:firstLineChars="200"/>
              <w:jc w:val="left"/>
              <w:textAlignment w:val="auto"/>
              <w:rPr>
                <w:rFonts w:hint="default" w:ascii="Times New Roman" w:hAnsi="Times New Roman" w:cs="Times New Roman"/>
                <w:color w:val="auto"/>
                <w:sz w:val="24"/>
                <w:szCs w:val="24"/>
                <w:highlight w:val="none"/>
                <w:lang w:val="en-US" w:eastAsia="zh-CN"/>
              </w:rPr>
            </w:pPr>
            <w:r>
              <w:rPr>
                <w:rFonts w:hint="eastAsia" w:ascii="Times New Roman" w:cs="Times New Roman"/>
                <w:color w:val="auto"/>
                <w:sz w:val="24"/>
                <w:szCs w:val="24"/>
                <w:highlight w:val="none"/>
                <w:lang w:val="en-US" w:eastAsia="zh-CN"/>
              </w:rPr>
              <w:t>项目废气污染物主要为废矿物油及其他有机危废贮存过程产生的异味气体，主要为有机废气VOCs（以非甲烷总烃计），废酸贮存过程中产生的硫酸雾、氯化氢。具体情况见下表：</w:t>
            </w:r>
          </w:p>
          <w:p w14:paraId="1360FC7B">
            <w:pPr>
              <w:pStyle w:val="35"/>
              <w:tabs>
                <w:tab w:val="left" w:pos="1470"/>
              </w:tabs>
              <w:spacing w:line="240" w:lineRule="auto"/>
              <w:ind w:firstLine="480" w:firstLineChars="200"/>
              <w:rPr>
                <w:rFonts w:hint="eastAsia" w:ascii="Times New Roman" w:hAnsi="Times New Roman" w:eastAsia="宋体" w:cs="Times New Roman"/>
                <w:color w:val="FF0000"/>
                <w:kern w:val="2"/>
                <w:sz w:val="24"/>
                <w:szCs w:val="24"/>
                <w:highlight w:val="none"/>
                <w:lang w:val="en-US" w:eastAsia="zh-CN" w:bidi="ar-SA"/>
              </w:rPr>
            </w:pPr>
          </w:p>
          <w:p w14:paraId="3171144F">
            <w:pPr>
              <w:rPr>
                <w:rFonts w:hint="eastAsia" w:ascii="Times New Roman" w:hAnsi="Times New Roman" w:eastAsia="宋体" w:cs="Times New Roman"/>
                <w:color w:val="FF0000"/>
                <w:kern w:val="2"/>
                <w:sz w:val="24"/>
                <w:szCs w:val="24"/>
                <w:highlight w:val="none"/>
                <w:lang w:val="en-US" w:eastAsia="zh-CN" w:bidi="ar-SA"/>
              </w:rPr>
            </w:pPr>
          </w:p>
          <w:p w14:paraId="10CAB20D">
            <w:pPr>
              <w:rPr>
                <w:rFonts w:hint="eastAsia" w:ascii="Times New Roman" w:hAnsi="Times New Roman" w:eastAsia="宋体" w:cs="Times New Roman"/>
                <w:color w:val="FF0000"/>
                <w:kern w:val="2"/>
                <w:sz w:val="24"/>
                <w:szCs w:val="24"/>
                <w:highlight w:val="none"/>
                <w:lang w:val="en-US" w:eastAsia="zh-CN" w:bidi="ar-SA"/>
              </w:rPr>
            </w:pPr>
          </w:p>
          <w:p w14:paraId="6074CECC">
            <w:pPr>
              <w:rPr>
                <w:rFonts w:hint="eastAsia" w:ascii="Times New Roman" w:hAnsi="Times New Roman" w:eastAsia="宋体" w:cs="Times New Roman"/>
                <w:color w:val="FF0000"/>
                <w:kern w:val="2"/>
                <w:sz w:val="24"/>
                <w:szCs w:val="24"/>
                <w:highlight w:val="none"/>
                <w:lang w:val="en-US" w:eastAsia="zh-CN" w:bidi="ar-SA"/>
              </w:rPr>
            </w:pPr>
          </w:p>
          <w:p w14:paraId="2A802E39">
            <w:pPr>
              <w:rPr>
                <w:rFonts w:hint="eastAsia" w:ascii="Times New Roman" w:hAnsi="Times New Roman" w:eastAsia="宋体" w:cs="Times New Roman"/>
                <w:color w:val="FF0000"/>
                <w:kern w:val="2"/>
                <w:sz w:val="24"/>
                <w:szCs w:val="24"/>
                <w:highlight w:val="none"/>
                <w:lang w:val="en-US" w:eastAsia="zh-CN" w:bidi="ar-SA"/>
              </w:rPr>
            </w:pPr>
          </w:p>
          <w:p w14:paraId="5FA55DC4">
            <w:pPr>
              <w:rPr>
                <w:rFonts w:hint="eastAsia" w:ascii="Times New Roman" w:hAnsi="Times New Roman" w:eastAsia="宋体" w:cs="Times New Roman"/>
                <w:color w:val="FF0000"/>
                <w:kern w:val="2"/>
                <w:sz w:val="24"/>
                <w:szCs w:val="24"/>
                <w:highlight w:val="none"/>
                <w:lang w:val="en-US" w:eastAsia="zh-CN" w:bidi="ar-SA"/>
              </w:rPr>
            </w:pPr>
          </w:p>
          <w:p w14:paraId="5493440F">
            <w:pPr>
              <w:rPr>
                <w:rFonts w:hint="eastAsia" w:ascii="Times New Roman" w:hAnsi="Times New Roman" w:eastAsia="宋体" w:cs="Times New Roman"/>
                <w:color w:val="FF0000"/>
                <w:kern w:val="2"/>
                <w:sz w:val="24"/>
                <w:szCs w:val="24"/>
                <w:highlight w:val="none"/>
                <w:lang w:val="en-US" w:eastAsia="zh-CN" w:bidi="ar-SA"/>
              </w:rPr>
            </w:pPr>
          </w:p>
          <w:p w14:paraId="6878E905">
            <w:pPr>
              <w:rPr>
                <w:rFonts w:hint="eastAsia" w:ascii="Times New Roman" w:hAnsi="Times New Roman" w:eastAsia="宋体" w:cs="Times New Roman"/>
                <w:color w:val="FF0000"/>
                <w:kern w:val="2"/>
                <w:sz w:val="24"/>
                <w:szCs w:val="24"/>
                <w:highlight w:val="none"/>
                <w:lang w:val="en-US" w:eastAsia="zh-CN" w:bidi="ar-SA"/>
              </w:rPr>
            </w:pPr>
          </w:p>
          <w:p w14:paraId="2281C28B">
            <w:pPr>
              <w:rPr>
                <w:rFonts w:hint="eastAsia" w:ascii="Times New Roman" w:hAnsi="Times New Roman" w:eastAsia="宋体" w:cs="Times New Roman"/>
                <w:color w:val="FF0000"/>
                <w:kern w:val="2"/>
                <w:sz w:val="24"/>
                <w:szCs w:val="24"/>
                <w:highlight w:val="none"/>
                <w:lang w:val="en-US" w:eastAsia="zh-CN" w:bidi="ar-SA"/>
              </w:rPr>
            </w:pPr>
          </w:p>
          <w:p w14:paraId="7F5023B5">
            <w:pPr>
              <w:rPr>
                <w:rFonts w:hint="eastAsia" w:ascii="Times New Roman" w:hAnsi="Times New Roman" w:eastAsia="宋体" w:cs="Times New Roman"/>
                <w:color w:val="FF0000"/>
                <w:kern w:val="2"/>
                <w:sz w:val="24"/>
                <w:szCs w:val="24"/>
                <w:highlight w:val="none"/>
                <w:lang w:val="en-US" w:eastAsia="zh-CN" w:bidi="ar-SA"/>
              </w:rPr>
            </w:pPr>
          </w:p>
          <w:p w14:paraId="6E29642A">
            <w:pPr>
              <w:rPr>
                <w:rFonts w:hint="eastAsia" w:ascii="Times New Roman" w:hAnsi="Times New Roman" w:eastAsia="宋体" w:cs="Times New Roman"/>
                <w:color w:val="FF0000"/>
                <w:kern w:val="2"/>
                <w:sz w:val="24"/>
                <w:szCs w:val="24"/>
                <w:highlight w:val="none"/>
                <w:lang w:val="en-US" w:eastAsia="zh-CN" w:bidi="ar-SA"/>
              </w:rPr>
            </w:pPr>
          </w:p>
          <w:p w14:paraId="630EE4C1">
            <w:pPr>
              <w:rPr>
                <w:rFonts w:hint="eastAsia" w:ascii="Times New Roman" w:hAnsi="Times New Roman" w:eastAsia="宋体" w:cs="Times New Roman"/>
                <w:color w:val="FF0000"/>
                <w:kern w:val="2"/>
                <w:sz w:val="24"/>
                <w:szCs w:val="24"/>
                <w:highlight w:val="none"/>
                <w:lang w:val="en-US" w:eastAsia="zh-CN" w:bidi="ar-SA"/>
              </w:rPr>
            </w:pPr>
          </w:p>
          <w:p w14:paraId="4240B1A0">
            <w:pPr>
              <w:rPr>
                <w:rFonts w:hint="eastAsia" w:ascii="Times New Roman" w:hAnsi="Times New Roman" w:eastAsia="宋体" w:cs="Times New Roman"/>
                <w:color w:val="FF0000"/>
                <w:kern w:val="2"/>
                <w:sz w:val="24"/>
                <w:szCs w:val="24"/>
                <w:highlight w:val="none"/>
                <w:lang w:val="en-US" w:eastAsia="zh-CN" w:bidi="ar-SA"/>
              </w:rPr>
            </w:pPr>
          </w:p>
          <w:p w14:paraId="5562757E">
            <w:pPr>
              <w:rPr>
                <w:rFonts w:hint="eastAsia" w:ascii="Times New Roman" w:hAnsi="Times New Roman" w:eastAsia="宋体" w:cs="Times New Roman"/>
                <w:color w:val="FF0000"/>
                <w:kern w:val="2"/>
                <w:sz w:val="24"/>
                <w:szCs w:val="24"/>
                <w:highlight w:val="none"/>
                <w:lang w:val="en-US" w:eastAsia="zh-CN" w:bidi="ar-SA"/>
              </w:rPr>
            </w:pPr>
          </w:p>
          <w:p w14:paraId="44F101E7">
            <w:pPr>
              <w:rPr>
                <w:rFonts w:hint="eastAsia" w:ascii="Times New Roman" w:hAnsi="Times New Roman" w:eastAsia="宋体" w:cs="Times New Roman"/>
                <w:color w:val="FF0000"/>
                <w:kern w:val="2"/>
                <w:sz w:val="24"/>
                <w:szCs w:val="24"/>
                <w:highlight w:val="none"/>
                <w:lang w:val="en-US" w:eastAsia="zh-CN" w:bidi="ar-SA"/>
              </w:rPr>
            </w:pPr>
          </w:p>
          <w:p w14:paraId="5254E2D8">
            <w:pPr>
              <w:rPr>
                <w:rFonts w:hint="eastAsia" w:ascii="Times New Roman" w:hAnsi="Times New Roman" w:eastAsia="宋体" w:cs="Times New Roman"/>
                <w:color w:val="FF0000"/>
                <w:kern w:val="2"/>
                <w:sz w:val="24"/>
                <w:szCs w:val="24"/>
                <w:highlight w:val="none"/>
                <w:lang w:val="en-US" w:eastAsia="zh-CN" w:bidi="ar-SA"/>
              </w:rPr>
            </w:pPr>
          </w:p>
        </w:tc>
      </w:tr>
    </w:tbl>
    <w:p w14:paraId="1B709ECD">
      <w:pPr>
        <w:rPr>
          <w:color w:val="FF0000"/>
        </w:rPr>
        <w:sectPr>
          <w:pgSz w:w="11905" w:h="16838"/>
          <w:pgMar w:top="1417" w:right="1417" w:bottom="1417" w:left="1417" w:header="851" w:footer="850" w:gutter="0"/>
          <w:pgBorders>
            <w:top w:val="none" w:sz="0" w:space="0"/>
            <w:left w:val="none" w:sz="0" w:space="0"/>
            <w:bottom w:val="none" w:sz="0" w:space="0"/>
            <w:right w:val="none" w:sz="0" w:space="0"/>
          </w:pgBorders>
          <w:pgNumType w:fmt="decimal"/>
          <w:cols w:space="0" w:num="1"/>
          <w:rtlGutter w:val="0"/>
          <w:docGrid w:linePitch="312" w:charSpace="0"/>
        </w:sectPr>
      </w:pPr>
    </w:p>
    <w:p w14:paraId="19EEF506">
      <w:pPr>
        <w:rPr>
          <w:color w:val="FF0000"/>
        </w:rPr>
      </w:pPr>
    </w:p>
    <w:tbl>
      <w:tblPr>
        <w:tblStyle w:val="27"/>
        <w:tblW w:w="5068"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622"/>
        <w:gridCol w:w="13710"/>
      </w:tblGrid>
      <w:tr w14:paraId="6FD98EE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528" w:hRule="atLeast"/>
          <w:jc w:val="center"/>
        </w:trPr>
        <w:tc>
          <w:tcPr>
            <w:tcW w:w="217" w:type="pct"/>
            <w:tcBorders>
              <w:tl2br w:val="nil"/>
              <w:tr2bl w:val="nil"/>
            </w:tcBorders>
            <w:noWrap w:val="0"/>
            <w:tcMar>
              <w:left w:w="28" w:type="dxa"/>
              <w:right w:w="28" w:type="dxa"/>
            </w:tcMar>
            <w:vAlign w:val="center"/>
          </w:tcPr>
          <w:p w14:paraId="4A9CCB9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宋体" w:hAnsi="宋体" w:cs="宋体"/>
                <w:b w:val="0"/>
                <w:bCs/>
                <w:color w:val="auto"/>
                <w:sz w:val="24"/>
                <w:szCs w:val="24"/>
                <w:highlight w:val="none"/>
              </w:rPr>
            </w:pPr>
            <w:r>
              <w:rPr>
                <w:rFonts w:hint="eastAsia" w:ascii="宋体" w:hAnsi="宋体" w:cs="宋体"/>
                <w:b w:val="0"/>
                <w:bCs/>
                <w:color w:val="auto"/>
                <w:sz w:val="24"/>
                <w:szCs w:val="24"/>
                <w:highlight w:val="none"/>
              </w:rPr>
              <w:t>运营</w:t>
            </w:r>
          </w:p>
          <w:p w14:paraId="610FE00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宋体" w:hAnsi="宋体" w:cs="宋体"/>
                <w:b w:val="0"/>
                <w:bCs/>
                <w:color w:val="auto"/>
                <w:sz w:val="24"/>
                <w:szCs w:val="24"/>
                <w:highlight w:val="none"/>
              </w:rPr>
            </w:pPr>
            <w:r>
              <w:rPr>
                <w:rFonts w:hint="eastAsia" w:ascii="宋体" w:hAnsi="宋体" w:cs="宋体"/>
                <w:b w:val="0"/>
                <w:bCs/>
                <w:color w:val="auto"/>
                <w:sz w:val="24"/>
                <w:szCs w:val="24"/>
                <w:highlight w:val="none"/>
              </w:rPr>
              <w:t>期环</w:t>
            </w:r>
          </w:p>
          <w:p w14:paraId="34FFA98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宋体" w:hAnsi="宋体" w:cs="宋体"/>
                <w:b w:val="0"/>
                <w:bCs/>
                <w:color w:val="auto"/>
                <w:sz w:val="24"/>
                <w:szCs w:val="24"/>
                <w:highlight w:val="none"/>
              </w:rPr>
            </w:pPr>
            <w:r>
              <w:rPr>
                <w:rFonts w:hint="eastAsia" w:ascii="宋体" w:hAnsi="宋体" w:cs="宋体"/>
                <w:b w:val="0"/>
                <w:bCs/>
                <w:color w:val="auto"/>
                <w:sz w:val="24"/>
                <w:szCs w:val="24"/>
                <w:highlight w:val="none"/>
              </w:rPr>
              <w:t>境影</w:t>
            </w:r>
          </w:p>
          <w:p w14:paraId="0DE4C53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宋体" w:hAnsi="宋体" w:cs="宋体"/>
                <w:b w:val="0"/>
                <w:bCs/>
                <w:color w:val="auto"/>
                <w:sz w:val="24"/>
                <w:szCs w:val="24"/>
                <w:highlight w:val="none"/>
              </w:rPr>
            </w:pPr>
            <w:r>
              <w:rPr>
                <w:rFonts w:hint="eastAsia" w:ascii="宋体" w:hAnsi="宋体" w:cs="宋体"/>
                <w:b w:val="0"/>
                <w:bCs/>
                <w:color w:val="auto"/>
                <w:sz w:val="24"/>
                <w:szCs w:val="24"/>
                <w:highlight w:val="none"/>
              </w:rPr>
              <w:t>响和</w:t>
            </w:r>
          </w:p>
          <w:p w14:paraId="51E2D46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宋体" w:hAnsi="宋体" w:cs="宋体"/>
                <w:b w:val="0"/>
                <w:bCs/>
                <w:color w:val="auto"/>
                <w:sz w:val="24"/>
                <w:szCs w:val="24"/>
                <w:highlight w:val="none"/>
              </w:rPr>
            </w:pPr>
            <w:r>
              <w:rPr>
                <w:rFonts w:hint="eastAsia" w:ascii="宋体" w:hAnsi="宋体" w:cs="宋体"/>
                <w:b w:val="0"/>
                <w:bCs/>
                <w:color w:val="auto"/>
                <w:sz w:val="24"/>
                <w:szCs w:val="24"/>
                <w:highlight w:val="none"/>
              </w:rPr>
              <w:t>保护</w:t>
            </w:r>
          </w:p>
          <w:p w14:paraId="132DF0B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宋体" w:hAnsi="宋体" w:cs="宋体"/>
                <w:b w:val="0"/>
                <w:bCs/>
                <w:color w:val="FF0000"/>
                <w:sz w:val="24"/>
                <w:szCs w:val="24"/>
                <w:highlight w:val="none"/>
              </w:rPr>
            </w:pPr>
            <w:r>
              <w:rPr>
                <w:rFonts w:hint="eastAsia" w:ascii="宋体" w:hAnsi="宋体" w:cs="宋体"/>
                <w:b w:val="0"/>
                <w:bCs/>
                <w:color w:val="auto"/>
                <w:sz w:val="24"/>
                <w:szCs w:val="24"/>
                <w:highlight w:val="none"/>
              </w:rPr>
              <w:t>措施</w:t>
            </w:r>
          </w:p>
        </w:tc>
        <w:tc>
          <w:tcPr>
            <w:tcW w:w="4782" w:type="pct"/>
            <w:tcBorders>
              <w:tl2br w:val="nil"/>
              <w:tr2bl w:val="nil"/>
            </w:tcBorders>
            <w:noWrap w:val="0"/>
            <w:vAlign w:val="top"/>
          </w:tcPr>
          <w:p w14:paraId="0016D52F">
            <w:pPr>
              <w:keepNext w:val="0"/>
              <w:keepLines w:val="0"/>
              <w:pageBreakBefore w:val="0"/>
              <w:widowControl w:val="0"/>
              <w:numPr>
                <w:ilvl w:val="0"/>
                <w:numId w:val="31"/>
              </w:numPr>
              <w:kinsoku/>
              <w:wordWrap/>
              <w:overflowPunct/>
              <w:topLinePunct w:val="0"/>
              <w:autoSpaceDE w:val="0"/>
              <w:autoSpaceDN w:val="0"/>
              <w:bidi w:val="0"/>
              <w:adjustRightInd w:val="0"/>
              <w:snapToGrid/>
              <w:spacing w:line="360" w:lineRule="auto"/>
              <w:ind w:left="3150" w:leftChars="0" w:hanging="3110" w:firstLineChars="0"/>
              <w:jc w:val="center"/>
              <w:textAlignment w:val="auto"/>
              <w:rPr>
                <w:rFonts w:hint="default" w:ascii="宋体" w:hAnsi="宋体" w:eastAsia="宋体" w:cs="宋体"/>
                <w:b/>
                <w:bCs/>
                <w:color w:val="auto"/>
                <w:kern w:val="0"/>
                <w:sz w:val="24"/>
                <w:szCs w:val="24"/>
                <w:lang w:val="en-US" w:eastAsia="zh-CN" w:bidi="ar"/>
              </w:rPr>
            </w:pPr>
            <w:r>
              <w:rPr>
                <w:rFonts w:hint="eastAsia" w:ascii="宋体" w:hAnsi="宋体" w:eastAsia="宋体" w:cs="宋体"/>
                <w:b/>
                <w:bCs/>
                <w:color w:val="auto"/>
                <w:kern w:val="0"/>
                <w:sz w:val="24"/>
                <w:szCs w:val="24"/>
                <w:lang w:val="en-US" w:eastAsia="zh-CN" w:bidi="ar"/>
              </w:rPr>
              <w:t>大气污染物排放情况表</w:t>
            </w:r>
          </w:p>
          <w:tbl>
            <w:tblPr>
              <w:tblStyle w:val="28"/>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42"/>
              <w:gridCol w:w="642"/>
              <w:gridCol w:w="855"/>
              <w:gridCol w:w="852"/>
              <w:gridCol w:w="1486"/>
              <w:gridCol w:w="855"/>
              <w:gridCol w:w="1065"/>
              <w:gridCol w:w="855"/>
              <w:gridCol w:w="1071"/>
              <w:gridCol w:w="1696"/>
              <w:gridCol w:w="642"/>
              <w:gridCol w:w="642"/>
              <w:gridCol w:w="642"/>
              <w:gridCol w:w="1534"/>
            </w:tblGrid>
            <w:tr w14:paraId="0511F5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38" w:type="pct"/>
                  <w:vMerge w:val="restart"/>
                  <w:noWrap w:val="0"/>
                  <w:vAlign w:val="center"/>
                </w:tcPr>
                <w:p w14:paraId="5C22536C">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jc w:val="center"/>
                    <w:textAlignment w:val="auto"/>
                    <w:rPr>
                      <w:rFonts w:hint="default" w:ascii="Times New Roman" w:hAnsi="Times New Roman" w:cs="Times New Roman"/>
                      <w:b/>
                      <w:bCs/>
                      <w:color w:val="auto"/>
                      <w:sz w:val="21"/>
                      <w:szCs w:val="21"/>
                      <w:highlight w:val="none"/>
                      <w:vertAlign w:val="baseline"/>
                      <w:lang w:val="en-US" w:eastAsia="zh-CN"/>
                    </w:rPr>
                  </w:pPr>
                  <w:r>
                    <w:rPr>
                      <w:rFonts w:hint="eastAsia" w:ascii="Times New Roman" w:hAnsi="Times New Roman" w:cs="Times New Roman"/>
                      <w:b/>
                      <w:bCs/>
                      <w:color w:val="auto"/>
                      <w:sz w:val="21"/>
                      <w:szCs w:val="21"/>
                      <w:highlight w:val="none"/>
                      <w:vertAlign w:val="baseline"/>
                      <w:lang w:val="en-US" w:eastAsia="zh-CN"/>
                    </w:rPr>
                    <w:t>序号</w:t>
                  </w:r>
                </w:p>
              </w:tc>
              <w:tc>
                <w:tcPr>
                  <w:tcW w:w="238" w:type="pct"/>
                  <w:vMerge w:val="restart"/>
                  <w:noWrap w:val="0"/>
                  <w:vAlign w:val="center"/>
                </w:tcPr>
                <w:p w14:paraId="52ADE33D">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jc w:val="center"/>
                    <w:textAlignment w:val="auto"/>
                    <w:rPr>
                      <w:rFonts w:hint="eastAsia" w:ascii="Times New Roman" w:hAnsi="Times New Roman" w:cs="Times New Roman"/>
                      <w:b/>
                      <w:bCs/>
                      <w:color w:val="auto"/>
                      <w:sz w:val="21"/>
                      <w:szCs w:val="21"/>
                      <w:highlight w:val="none"/>
                      <w:vertAlign w:val="baseline"/>
                      <w:lang w:val="en-US" w:eastAsia="zh-CN"/>
                    </w:rPr>
                  </w:pPr>
                  <w:r>
                    <w:rPr>
                      <w:rFonts w:hint="eastAsia" w:ascii="Times New Roman" w:hAnsi="Times New Roman" w:cs="Times New Roman"/>
                      <w:b/>
                      <w:bCs/>
                      <w:color w:val="auto"/>
                      <w:sz w:val="21"/>
                      <w:szCs w:val="21"/>
                      <w:highlight w:val="none"/>
                      <w:vertAlign w:val="baseline"/>
                      <w:lang w:val="en-US" w:eastAsia="zh-CN"/>
                    </w:rPr>
                    <w:t>产污</w:t>
                  </w:r>
                </w:p>
                <w:p w14:paraId="4BDA8F87">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jc w:val="center"/>
                    <w:textAlignment w:val="auto"/>
                    <w:rPr>
                      <w:rFonts w:hint="default" w:ascii="Times New Roman" w:hAnsi="Times New Roman" w:cs="Times New Roman"/>
                      <w:b/>
                      <w:bCs/>
                      <w:color w:val="auto"/>
                      <w:sz w:val="21"/>
                      <w:szCs w:val="21"/>
                      <w:highlight w:val="none"/>
                      <w:vertAlign w:val="baseline"/>
                      <w:lang w:val="en-US" w:eastAsia="zh-CN"/>
                    </w:rPr>
                  </w:pPr>
                  <w:r>
                    <w:rPr>
                      <w:rFonts w:hint="eastAsia" w:ascii="Times New Roman" w:hAnsi="Times New Roman" w:cs="Times New Roman"/>
                      <w:b/>
                      <w:bCs/>
                      <w:color w:val="auto"/>
                      <w:sz w:val="21"/>
                      <w:szCs w:val="21"/>
                      <w:highlight w:val="none"/>
                      <w:vertAlign w:val="baseline"/>
                      <w:lang w:val="en-US" w:eastAsia="zh-CN"/>
                    </w:rPr>
                    <w:t>环节</w:t>
                  </w:r>
                </w:p>
              </w:tc>
              <w:tc>
                <w:tcPr>
                  <w:tcW w:w="317" w:type="pct"/>
                  <w:vMerge w:val="restart"/>
                  <w:noWrap w:val="0"/>
                  <w:vAlign w:val="center"/>
                </w:tcPr>
                <w:p w14:paraId="30083816">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jc w:val="center"/>
                    <w:textAlignment w:val="auto"/>
                    <w:rPr>
                      <w:rFonts w:hint="eastAsia" w:ascii="Times New Roman" w:hAnsi="Times New Roman" w:cs="Times New Roman"/>
                      <w:b/>
                      <w:bCs/>
                      <w:color w:val="auto"/>
                      <w:sz w:val="21"/>
                      <w:szCs w:val="21"/>
                      <w:highlight w:val="none"/>
                      <w:vertAlign w:val="baseline"/>
                      <w:lang w:val="en-US" w:eastAsia="zh-CN"/>
                    </w:rPr>
                  </w:pPr>
                  <w:r>
                    <w:rPr>
                      <w:rFonts w:hint="eastAsia" w:ascii="Times New Roman" w:hAnsi="Times New Roman" w:cs="Times New Roman"/>
                      <w:b/>
                      <w:bCs/>
                      <w:color w:val="auto"/>
                      <w:sz w:val="21"/>
                      <w:szCs w:val="21"/>
                      <w:highlight w:val="none"/>
                      <w:vertAlign w:val="baseline"/>
                      <w:lang w:val="en-US" w:eastAsia="zh-CN"/>
                    </w:rPr>
                    <w:t>污染物</w:t>
                  </w:r>
                </w:p>
                <w:p w14:paraId="5E5855C8">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jc w:val="center"/>
                    <w:textAlignment w:val="auto"/>
                    <w:rPr>
                      <w:rFonts w:hint="default" w:ascii="Times New Roman" w:hAnsi="Times New Roman" w:cs="Times New Roman"/>
                      <w:b/>
                      <w:bCs/>
                      <w:color w:val="auto"/>
                      <w:sz w:val="21"/>
                      <w:szCs w:val="21"/>
                      <w:highlight w:val="none"/>
                      <w:vertAlign w:val="baseline"/>
                      <w:lang w:val="en-US" w:eastAsia="zh-CN"/>
                    </w:rPr>
                  </w:pPr>
                  <w:r>
                    <w:rPr>
                      <w:rFonts w:hint="eastAsia" w:ascii="Times New Roman" w:hAnsi="Times New Roman" w:cs="Times New Roman"/>
                      <w:b/>
                      <w:bCs/>
                      <w:color w:val="auto"/>
                      <w:sz w:val="21"/>
                      <w:szCs w:val="21"/>
                      <w:highlight w:val="none"/>
                      <w:vertAlign w:val="baseline"/>
                      <w:lang w:val="en-US" w:eastAsia="zh-CN"/>
                    </w:rPr>
                    <w:t>种类</w:t>
                  </w:r>
                </w:p>
              </w:tc>
              <w:tc>
                <w:tcPr>
                  <w:tcW w:w="316" w:type="pct"/>
                  <w:vMerge w:val="restart"/>
                  <w:noWrap w:val="0"/>
                  <w:vAlign w:val="center"/>
                </w:tcPr>
                <w:p w14:paraId="7A7D2F57">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jc w:val="center"/>
                    <w:textAlignment w:val="auto"/>
                    <w:rPr>
                      <w:rFonts w:hint="eastAsia" w:ascii="Times New Roman" w:hAnsi="Times New Roman" w:cs="Times New Roman"/>
                      <w:b/>
                      <w:bCs/>
                      <w:color w:val="auto"/>
                      <w:sz w:val="21"/>
                      <w:szCs w:val="21"/>
                      <w:highlight w:val="none"/>
                      <w:vertAlign w:val="baseline"/>
                      <w:lang w:val="en-US" w:eastAsia="zh-CN"/>
                    </w:rPr>
                  </w:pPr>
                  <w:r>
                    <w:rPr>
                      <w:rFonts w:hint="eastAsia" w:ascii="Times New Roman" w:hAnsi="Times New Roman" w:cs="Times New Roman"/>
                      <w:b/>
                      <w:bCs/>
                      <w:color w:val="auto"/>
                      <w:sz w:val="21"/>
                      <w:szCs w:val="21"/>
                      <w:highlight w:val="none"/>
                      <w:vertAlign w:val="baseline"/>
                      <w:lang w:val="en-US" w:eastAsia="zh-CN"/>
                    </w:rPr>
                    <w:t>排放</w:t>
                  </w:r>
                </w:p>
                <w:p w14:paraId="5BBF9153">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jc w:val="center"/>
                    <w:textAlignment w:val="auto"/>
                    <w:rPr>
                      <w:rFonts w:hint="default" w:ascii="Times New Roman" w:hAnsi="Times New Roman" w:cs="Times New Roman"/>
                      <w:b/>
                      <w:bCs/>
                      <w:color w:val="auto"/>
                      <w:sz w:val="21"/>
                      <w:szCs w:val="21"/>
                      <w:highlight w:val="none"/>
                      <w:vertAlign w:val="baseline"/>
                      <w:lang w:val="en-US" w:eastAsia="zh-CN"/>
                    </w:rPr>
                  </w:pPr>
                  <w:r>
                    <w:rPr>
                      <w:rFonts w:hint="eastAsia" w:ascii="Times New Roman" w:hAnsi="Times New Roman" w:cs="Times New Roman"/>
                      <w:b/>
                      <w:bCs/>
                      <w:color w:val="auto"/>
                      <w:sz w:val="21"/>
                      <w:szCs w:val="21"/>
                      <w:highlight w:val="none"/>
                      <w:vertAlign w:val="baseline"/>
                      <w:lang w:val="en-US" w:eastAsia="zh-CN"/>
                    </w:rPr>
                    <w:t>形式</w:t>
                  </w:r>
                </w:p>
              </w:tc>
              <w:tc>
                <w:tcPr>
                  <w:tcW w:w="1977" w:type="pct"/>
                  <w:gridSpan w:val="5"/>
                  <w:noWrap w:val="0"/>
                  <w:vAlign w:val="center"/>
                </w:tcPr>
                <w:p w14:paraId="74BC7C96">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jc w:val="center"/>
                    <w:textAlignment w:val="auto"/>
                    <w:rPr>
                      <w:rFonts w:hint="default" w:ascii="Times New Roman" w:hAnsi="Times New Roman" w:cs="Times New Roman"/>
                      <w:b/>
                      <w:bCs/>
                      <w:color w:val="auto"/>
                      <w:sz w:val="21"/>
                      <w:szCs w:val="21"/>
                      <w:highlight w:val="none"/>
                      <w:vertAlign w:val="baseline"/>
                      <w:lang w:val="en-US" w:eastAsia="zh-CN"/>
                    </w:rPr>
                  </w:pPr>
                  <w:r>
                    <w:rPr>
                      <w:rFonts w:hint="eastAsia" w:ascii="Times New Roman" w:hAnsi="Times New Roman" w:cs="Times New Roman"/>
                      <w:b/>
                      <w:bCs/>
                      <w:color w:val="auto"/>
                      <w:sz w:val="21"/>
                      <w:szCs w:val="21"/>
                      <w:highlight w:val="none"/>
                      <w:vertAlign w:val="baseline"/>
                      <w:lang w:val="en-US" w:eastAsia="zh-CN"/>
                    </w:rPr>
                    <w:t>污染物治理设施</w:t>
                  </w:r>
                </w:p>
              </w:tc>
              <w:tc>
                <w:tcPr>
                  <w:tcW w:w="629" w:type="pct"/>
                  <w:vMerge w:val="restart"/>
                  <w:noWrap w:val="0"/>
                  <w:vAlign w:val="center"/>
                </w:tcPr>
                <w:p w14:paraId="299C32B8">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jc w:val="center"/>
                    <w:textAlignment w:val="auto"/>
                    <w:rPr>
                      <w:rFonts w:hint="eastAsia" w:ascii="Times New Roman" w:hAnsi="Times New Roman" w:cs="Times New Roman"/>
                      <w:b/>
                      <w:bCs/>
                      <w:color w:val="auto"/>
                      <w:sz w:val="21"/>
                      <w:szCs w:val="21"/>
                      <w:highlight w:val="none"/>
                      <w:vertAlign w:val="baseline"/>
                      <w:lang w:val="en-US" w:eastAsia="zh-CN"/>
                    </w:rPr>
                  </w:pPr>
                  <w:r>
                    <w:rPr>
                      <w:rFonts w:hint="eastAsia" w:ascii="Times New Roman" w:hAnsi="Times New Roman" w:cs="Times New Roman"/>
                      <w:b/>
                      <w:bCs/>
                      <w:color w:val="auto"/>
                      <w:sz w:val="21"/>
                      <w:szCs w:val="21"/>
                      <w:highlight w:val="none"/>
                      <w:vertAlign w:val="baseline"/>
                      <w:lang w:val="en-US" w:eastAsia="zh-CN"/>
                    </w:rPr>
                    <w:t>排放</w:t>
                  </w:r>
                </w:p>
                <w:p w14:paraId="631EC83A">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jc w:val="center"/>
                    <w:textAlignment w:val="auto"/>
                    <w:rPr>
                      <w:rFonts w:hint="default" w:ascii="Times New Roman" w:hAnsi="Times New Roman" w:cs="Times New Roman"/>
                      <w:b/>
                      <w:bCs/>
                      <w:color w:val="auto"/>
                      <w:sz w:val="21"/>
                      <w:szCs w:val="21"/>
                      <w:highlight w:val="none"/>
                      <w:vertAlign w:val="baseline"/>
                      <w:lang w:val="en-US" w:eastAsia="zh-CN"/>
                    </w:rPr>
                  </w:pPr>
                  <w:r>
                    <w:rPr>
                      <w:rFonts w:hint="eastAsia" w:ascii="Times New Roman" w:hAnsi="Times New Roman" w:cs="Times New Roman"/>
                      <w:b/>
                      <w:bCs/>
                      <w:color w:val="auto"/>
                      <w:sz w:val="21"/>
                      <w:szCs w:val="21"/>
                      <w:highlight w:val="none"/>
                      <w:vertAlign w:val="baseline"/>
                      <w:lang w:val="en-US" w:eastAsia="zh-CN"/>
                    </w:rPr>
                    <w:t>去向</w:t>
                  </w:r>
                </w:p>
              </w:tc>
              <w:tc>
                <w:tcPr>
                  <w:tcW w:w="1283" w:type="pct"/>
                  <w:gridSpan w:val="4"/>
                  <w:noWrap w:val="0"/>
                  <w:vAlign w:val="center"/>
                </w:tcPr>
                <w:p w14:paraId="4966CD1C">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jc w:val="center"/>
                    <w:textAlignment w:val="auto"/>
                    <w:rPr>
                      <w:rFonts w:hint="default" w:ascii="Times New Roman" w:hAnsi="Times New Roman" w:cs="Times New Roman"/>
                      <w:b/>
                      <w:bCs/>
                      <w:color w:val="auto"/>
                      <w:sz w:val="21"/>
                      <w:szCs w:val="21"/>
                      <w:highlight w:val="none"/>
                      <w:vertAlign w:val="baseline"/>
                      <w:lang w:val="en-US" w:eastAsia="zh-CN"/>
                    </w:rPr>
                  </w:pPr>
                  <w:r>
                    <w:rPr>
                      <w:rFonts w:hint="eastAsia" w:ascii="Times New Roman" w:cs="Times New Roman"/>
                      <w:b/>
                      <w:bCs/>
                      <w:color w:val="auto"/>
                      <w:sz w:val="21"/>
                      <w:szCs w:val="21"/>
                      <w:highlight w:val="none"/>
                      <w:vertAlign w:val="baseline"/>
                      <w:lang w:val="en-US" w:eastAsia="zh-CN"/>
                    </w:rPr>
                    <w:t>排放口情况</w:t>
                  </w:r>
                </w:p>
              </w:tc>
            </w:tr>
            <w:tr w14:paraId="07131C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38" w:type="pct"/>
                  <w:vMerge w:val="continue"/>
                  <w:noWrap w:val="0"/>
                  <w:vAlign w:val="center"/>
                </w:tcPr>
                <w:p w14:paraId="67DA8274">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jc w:val="center"/>
                    <w:textAlignment w:val="auto"/>
                    <w:rPr>
                      <w:rFonts w:hint="default" w:ascii="Times New Roman" w:hAnsi="Times New Roman" w:cs="Times New Roman"/>
                      <w:color w:val="auto"/>
                      <w:sz w:val="21"/>
                      <w:szCs w:val="21"/>
                      <w:highlight w:val="none"/>
                      <w:vertAlign w:val="baseline"/>
                      <w:lang w:val="en-US" w:eastAsia="zh-CN"/>
                    </w:rPr>
                  </w:pPr>
                </w:p>
              </w:tc>
              <w:tc>
                <w:tcPr>
                  <w:tcW w:w="238" w:type="pct"/>
                  <w:vMerge w:val="continue"/>
                  <w:noWrap w:val="0"/>
                  <w:vAlign w:val="center"/>
                </w:tcPr>
                <w:p w14:paraId="25799A6D">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jc w:val="center"/>
                    <w:textAlignment w:val="auto"/>
                    <w:rPr>
                      <w:rFonts w:hint="default" w:ascii="Times New Roman" w:hAnsi="Times New Roman" w:cs="Times New Roman"/>
                      <w:color w:val="auto"/>
                      <w:sz w:val="21"/>
                      <w:szCs w:val="21"/>
                      <w:highlight w:val="none"/>
                      <w:vertAlign w:val="baseline"/>
                      <w:lang w:val="en-US" w:eastAsia="zh-CN"/>
                    </w:rPr>
                  </w:pPr>
                </w:p>
              </w:tc>
              <w:tc>
                <w:tcPr>
                  <w:tcW w:w="317" w:type="pct"/>
                  <w:vMerge w:val="continue"/>
                  <w:noWrap w:val="0"/>
                  <w:vAlign w:val="center"/>
                </w:tcPr>
                <w:p w14:paraId="11454A38">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jc w:val="center"/>
                    <w:textAlignment w:val="auto"/>
                    <w:rPr>
                      <w:rFonts w:hint="default" w:ascii="Times New Roman" w:hAnsi="Times New Roman" w:cs="Times New Roman"/>
                      <w:color w:val="auto"/>
                      <w:sz w:val="21"/>
                      <w:szCs w:val="21"/>
                      <w:highlight w:val="none"/>
                      <w:vertAlign w:val="baseline"/>
                      <w:lang w:val="en-US" w:eastAsia="zh-CN"/>
                    </w:rPr>
                  </w:pPr>
                </w:p>
              </w:tc>
              <w:tc>
                <w:tcPr>
                  <w:tcW w:w="316" w:type="pct"/>
                  <w:vMerge w:val="continue"/>
                  <w:noWrap w:val="0"/>
                  <w:vAlign w:val="center"/>
                </w:tcPr>
                <w:p w14:paraId="3EF0BB98">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jc w:val="center"/>
                    <w:textAlignment w:val="auto"/>
                    <w:rPr>
                      <w:rFonts w:hint="default" w:ascii="Times New Roman" w:hAnsi="Times New Roman" w:cs="Times New Roman"/>
                      <w:color w:val="auto"/>
                      <w:sz w:val="21"/>
                      <w:szCs w:val="21"/>
                      <w:highlight w:val="none"/>
                      <w:vertAlign w:val="baseline"/>
                      <w:lang w:val="en-US" w:eastAsia="zh-CN"/>
                    </w:rPr>
                  </w:pPr>
                </w:p>
              </w:tc>
              <w:tc>
                <w:tcPr>
                  <w:tcW w:w="551" w:type="pct"/>
                  <w:noWrap w:val="0"/>
                  <w:vAlign w:val="center"/>
                </w:tcPr>
                <w:p w14:paraId="6D521690">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jc w:val="center"/>
                    <w:textAlignment w:val="auto"/>
                    <w:rPr>
                      <w:rFonts w:hint="eastAsia" w:ascii="Times New Roman" w:hAnsi="Times New Roman" w:cs="Times New Roman"/>
                      <w:b/>
                      <w:bCs/>
                      <w:color w:val="auto"/>
                      <w:sz w:val="21"/>
                      <w:szCs w:val="21"/>
                      <w:highlight w:val="none"/>
                      <w:vertAlign w:val="baseline"/>
                      <w:lang w:val="en-US" w:eastAsia="zh-CN"/>
                    </w:rPr>
                  </w:pPr>
                  <w:r>
                    <w:rPr>
                      <w:rFonts w:hint="eastAsia" w:ascii="Times New Roman" w:hAnsi="Times New Roman" w:cs="Times New Roman"/>
                      <w:b/>
                      <w:bCs/>
                      <w:color w:val="auto"/>
                      <w:sz w:val="21"/>
                      <w:szCs w:val="21"/>
                      <w:highlight w:val="none"/>
                      <w:vertAlign w:val="baseline"/>
                      <w:lang w:val="en-US" w:eastAsia="zh-CN"/>
                    </w:rPr>
                    <w:t>设施名称</w:t>
                  </w:r>
                </w:p>
                <w:p w14:paraId="7AD10C40">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jc w:val="center"/>
                    <w:textAlignment w:val="auto"/>
                    <w:rPr>
                      <w:rFonts w:hint="default" w:ascii="Times New Roman" w:hAnsi="Times New Roman" w:cs="Times New Roman"/>
                      <w:b/>
                      <w:bCs/>
                      <w:color w:val="auto"/>
                      <w:sz w:val="21"/>
                      <w:szCs w:val="21"/>
                      <w:highlight w:val="none"/>
                      <w:vertAlign w:val="baseline"/>
                      <w:lang w:val="en-US" w:eastAsia="zh-CN"/>
                    </w:rPr>
                  </w:pPr>
                  <w:r>
                    <w:rPr>
                      <w:rFonts w:hint="eastAsia" w:ascii="Times New Roman" w:hAnsi="Times New Roman" w:cs="Times New Roman"/>
                      <w:b/>
                      <w:bCs/>
                      <w:color w:val="auto"/>
                      <w:sz w:val="21"/>
                      <w:szCs w:val="21"/>
                      <w:highlight w:val="none"/>
                      <w:vertAlign w:val="baseline"/>
                      <w:lang w:val="en-US" w:eastAsia="zh-CN"/>
                    </w:rPr>
                    <w:t>及工艺</w:t>
                  </w:r>
                </w:p>
              </w:tc>
              <w:tc>
                <w:tcPr>
                  <w:tcW w:w="317" w:type="pct"/>
                  <w:noWrap w:val="0"/>
                  <w:vAlign w:val="center"/>
                </w:tcPr>
                <w:p w14:paraId="5062BD02">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jc w:val="center"/>
                    <w:textAlignment w:val="auto"/>
                    <w:rPr>
                      <w:rFonts w:hint="eastAsia" w:ascii="Times New Roman" w:hAnsi="Times New Roman" w:eastAsia="宋体" w:cs="Times New Roman"/>
                      <w:b/>
                      <w:bCs/>
                      <w:color w:val="auto"/>
                      <w:sz w:val="21"/>
                      <w:szCs w:val="21"/>
                      <w:highlight w:val="none"/>
                      <w:vertAlign w:val="baseline"/>
                      <w:lang w:val="en-US" w:eastAsia="zh-CN"/>
                    </w:rPr>
                  </w:pPr>
                  <w:r>
                    <w:rPr>
                      <w:rFonts w:hint="eastAsia" w:ascii="Times New Roman" w:hAnsi="Times New Roman" w:eastAsia="宋体" w:cs="Times New Roman"/>
                      <w:b/>
                      <w:bCs/>
                      <w:color w:val="auto"/>
                      <w:sz w:val="21"/>
                      <w:szCs w:val="21"/>
                      <w:highlight w:val="none"/>
                      <w:vertAlign w:val="baseline"/>
                      <w:lang w:val="en-US" w:eastAsia="zh-CN"/>
                    </w:rPr>
                    <w:t>废气量</w:t>
                  </w:r>
                </w:p>
                <w:p w14:paraId="5CED2034">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eastAsia" w:ascii="Times New Roman" w:hAnsi="Times New Roman" w:eastAsia="宋体" w:cs="Times New Roman"/>
                      <w:b/>
                      <w:bCs/>
                      <w:color w:val="auto"/>
                      <w:sz w:val="21"/>
                      <w:szCs w:val="21"/>
                      <w:highlight w:val="none"/>
                      <w:vertAlign w:val="baseline"/>
                      <w:lang w:val="en-US" w:eastAsia="zh-CN"/>
                    </w:rPr>
                    <w:t>m</w:t>
                  </w:r>
                  <w:r>
                    <w:rPr>
                      <w:rFonts w:hint="eastAsia" w:ascii="Times New Roman" w:hAnsi="Times New Roman" w:eastAsia="宋体" w:cs="Times New Roman"/>
                      <w:b/>
                      <w:bCs/>
                      <w:color w:val="auto"/>
                      <w:sz w:val="21"/>
                      <w:szCs w:val="21"/>
                      <w:highlight w:val="none"/>
                      <w:vertAlign w:val="superscript"/>
                      <w:lang w:val="en-US" w:eastAsia="zh-CN"/>
                    </w:rPr>
                    <w:t>3</w:t>
                  </w:r>
                  <w:r>
                    <w:rPr>
                      <w:rFonts w:hint="eastAsia" w:ascii="Times New Roman" w:hAnsi="Times New Roman" w:eastAsia="宋体" w:cs="Times New Roman"/>
                      <w:b/>
                      <w:bCs/>
                      <w:color w:val="auto"/>
                      <w:sz w:val="21"/>
                      <w:szCs w:val="21"/>
                      <w:highlight w:val="none"/>
                      <w:vertAlign w:val="baseline"/>
                      <w:lang w:val="en-US" w:eastAsia="zh-CN"/>
                    </w:rPr>
                    <w:t>/h</w:t>
                  </w:r>
                </w:p>
              </w:tc>
              <w:tc>
                <w:tcPr>
                  <w:tcW w:w="395" w:type="pct"/>
                  <w:noWrap w:val="0"/>
                  <w:vAlign w:val="center"/>
                </w:tcPr>
                <w:p w14:paraId="741E9435">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jc w:val="center"/>
                    <w:textAlignment w:val="auto"/>
                    <w:rPr>
                      <w:rFonts w:hint="eastAsia" w:ascii="Times New Roman" w:hAnsi="Times New Roman" w:eastAsia="宋体" w:cs="Times New Roman"/>
                      <w:b/>
                      <w:bCs/>
                      <w:color w:val="auto"/>
                      <w:sz w:val="21"/>
                      <w:szCs w:val="21"/>
                      <w:highlight w:val="none"/>
                      <w:vertAlign w:val="baseline"/>
                      <w:lang w:val="en-US" w:eastAsia="zh-CN"/>
                    </w:rPr>
                  </w:pPr>
                  <w:r>
                    <w:rPr>
                      <w:rFonts w:hint="eastAsia" w:ascii="Times New Roman" w:hAnsi="Times New Roman" w:eastAsia="宋体" w:cs="Times New Roman"/>
                      <w:b/>
                      <w:bCs/>
                      <w:color w:val="auto"/>
                      <w:sz w:val="21"/>
                      <w:szCs w:val="21"/>
                      <w:highlight w:val="none"/>
                      <w:vertAlign w:val="baseline"/>
                      <w:lang w:val="en-US" w:eastAsia="zh-CN"/>
                    </w:rPr>
                    <w:t>收集效率</w:t>
                  </w:r>
                </w:p>
                <w:p w14:paraId="6B0E9813">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eastAsia" w:ascii="Times New Roman" w:hAnsi="Times New Roman" w:eastAsia="宋体" w:cs="Times New Roman"/>
                      <w:b/>
                      <w:bCs/>
                      <w:color w:val="auto"/>
                      <w:sz w:val="21"/>
                      <w:szCs w:val="21"/>
                      <w:highlight w:val="none"/>
                      <w:vertAlign w:val="baseline"/>
                      <w:lang w:val="en-US" w:eastAsia="zh-CN"/>
                    </w:rPr>
                    <w:t>%</w:t>
                  </w:r>
                </w:p>
              </w:tc>
              <w:tc>
                <w:tcPr>
                  <w:tcW w:w="317" w:type="pct"/>
                  <w:noWrap w:val="0"/>
                  <w:vAlign w:val="center"/>
                </w:tcPr>
                <w:p w14:paraId="6092F6E7">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jc w:val="center"/>
                    <w:textAlignment w:val="auto"/>
                    <w:rPr>
                      <w:rFonts w:hint="eastAsia" w:ascii="Times New Roman" w:hAnsi="Times New Roman" w:eastAsia="宋体" w:cs="Times New Roman"/>
                      <w:b/>
                      <w:bCs/>
                      <w:color w:val="auto"/>
                      <w:sz w:val="21"/>
                      <w:szCs w:val="21"/>
                      <w:highlight w:val="none"/>
                      <w:vertAlign w:val="baseline"/>
                      <w:lang w:val="en-US" w:eastAsia="zh-CN"/>
                    </w:rPr>
                  </w:pPr>
                  <w:r>
                    <w:rPr>
                      <w:rFonts w:hint="eastAsia" w:ascii="Times New Roman" w:hAnsi="Times New Roman" w:eastAsia="宋体" w:cs="Times New Roman"/>
                      <w:b/>
                      <w:bCs/>
                      <w:color w:val="auto"/>
                      <w:sz w:val="21"/>
                      <w:szCs w:val="21"/>
                      <w:highlight w:val="none"/>
                      <w:vertAlign w:val="baseline"/>
                      <w:lang w:val="en-US" w:eastAsia="zh-CN"/>
                    </w:rPr>
                    <w:t>去除率</w:t>
                  </w:r>
                </w:p>
                <w:p w14:paraId="3FCCC32B">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eastAsia" w:ascii="Times New Roman" w:hAnsi="Times New Roman" w:eastAsia="宋体" w:cs="Times New Roman"/>
                      <w:b/>
                      <w:bCs/>
                      <w:color w:val="auto"/>
                      <w:sz w:val="21"/>
                      <w:szCs w:val="21"/>
                      <w:highlight w:val="none"/>
                      <w:vertAlign w:val="baseline"/>
                      <w:lang w:val="en-US" w:eastAsia="zh-CN"/>
                    </w:rPr>
                    <w:t>%</w:t>
                  </w:r>
                </w:p>
              </w:tc>
              <w:tc>
                <w:tcPr>
                  <w:tcW w:w="397" w:type="pct"/>
                  <w:noWrap w:val="0"/>
                  <w:vAlign w:val="center"/>
                </w:tcPr>
                <w:p w14:paraId="32BD1FD2">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jc w:val="center"/>
                    <w:textAlignment w:val="auto"/>
                    <w:rPr>
                      <w:rFonts w:hint="eastAsia" w:ascii="Times New Roman" w:hAnsi="Times New Roman" w:eastAsia="宋体" w:cs="Times New Roman"/>
                      <w:b/>
                      <w:bCs/>
                      <w:color w:val="auto"/>
                      <w:sz w:val="21"/>
                      <w:szCs w:val="21"/>
                      <w:highlight w:val="none"/>
                      <w:vertAlign w:val="baseline"/>
                      <w:lang w:val="en-US" w:eastAsia="zh-CN"/>
                    </w:rPr>
                  </w:pPr>
                  <w:r>
                    <w:rPr>
                      <w:rFonts w:hint="eastAsia" w:ascii="Times New Roman" w:hAnsi="Times New Roman" w:eastAsia="宋体" w:cs="Times New Roman"/>
                      <w:b/>
                      <w:bCs/>
                      <w:color w:val="auto"/>
                      <w:sz w:val="21"/>
                      <w:szCs w:val="21"/>
                      <w:highlight w:val="none"/>
                      <w:vertAlign w:val="baseline"/>
                      <w:lang w:val="en-US" w:eastAsia="zh-CN"/>
                    </w:rPr>
                    <w:t>是否为可</w:t>
                  </w:r>
                </w:p>
                <w:p w14:paraId="11B69325">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eastAsia" w:ascii="Times New Roman" w:hAnsi="Times New Roman" w:eastAsia="宋体" w:cs="Times New Roman"/>
                      <w:b/>
                      <w:bCs/>
                      <w:color w:val="auto"/>
                      <w:sz w:val="21"/>
                      <w:szCs w:val="21"/>
                      <w:highlight w:val="none"/>
                      <w:vertAlign w:val="baseline"/>
                      <w:lang w:val="en-US" w:eastAsia="zh-CN"/>
                    </w:rPr>
                    <w:t>行性技术</w:t>
                  </w:r>
                </w:p>
              </w:tc>
              <w:tc>
                <w:tcPr>
                  <w:tcW w:w="629" w:type="pct"/>
                  <w:vMerge w:val="continue"/>
                  <w:noWrap w:val="0"/>
                  <w:vAlign w:val="center"/>
                </w:tcPr>
                <w:p w14:paraId="3666018E">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jc w:val="center"/>
                    <w:textAlignment w:val="auto"/>
                    <w:rPr>
                      <w:rFonts w:hint="default" w:ascii="Times New Roman" w:hAnsi="Times New Roman" w:cs="Times New Roman"/>
                      <w:color w:val="auto"/>
                      <w:sz w:val="21"/>
                      <w:szCs w:val="21"/>
                      <w:highlight w:val="none"/>
                      <w:vertAlign w:val="baseline"/>
                      <w:lang w:val="en-US" w:eastAsia="zh-CN"/>
                    </w:rPr>
                  </w:pPr>
                </w:p>
              </w:tc>
              <w:tc>
                <w:tcPr>
                  <w:tcW w:w="238" w:type="pct"/>
                  <w:noWrap w:val="0"/>
                  <w:vAlign w:val="center"/>
                </w:tcPr>
                <w:p w14:paraId="078A223B">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jc w:val="center"/>
                    <w:textAlignment w:val="auto"/>
                    <w:rPr>
                      <w:rFonts w:hint="eastAsia" w:ascii="Times New Roman" w:hAnsi="Times New Roman" w:eastAsia="宋体" w:cs="Times New Roman"/>
                      <w:b/>
                      <w:bCs/>
                      <w:color w:val="auto"/>
                      <w:sz w:val="21"/>
                      <w:szCs w:val="21"/>
                      <w:highlight w:val="none"/>
                      <w:vertAlign w:val="baseline"/>
                      <w:lang w:val="en-US" w:eastAsia="zh-CN"/>
                    </w:rPr>
                  </w:pPr>
                  <w:r>
                    <w:rPr>
                      <w:rFonts w:hint="eastAsia" w:ascii="Times New Roman" w:hAnsi="Times New Roman" w:eastAsia="宋体" w:cs="Times New Roman"/>
                      <w:b/>
                      <w:bCs/>
                      <w:color w:val="auto"/>
                      <w:sz w:val="21"/>
                      <w:szCs w:val="21"/>
                      <w:highlight w:val="none"/>
                      <w:vertAlign w:val="baseline"/>
                      <w:lang w:val="en-US" w:eastAsia="zh-CN"/>
                    </w:rPr>
                    <w:t>高度</w:t>
                  </w:r>
                </w:p>
                <w:p w14:paraId="13AC2C05">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eastAsia" w:ascii="Times New Roman" w:hAnsi="Times New Roman" w:eastAsia="宋体" w:cs="Times New Roman"/>
                      <w:b/>
                      <w:bCs/>
                      <w:color w:val="auto"/>
                      <w:sz w:val="21"/>
                      <w:szCs w:val="21"/>
                      <w:highlight w:val="none"/>
                      <w:vertAlign w:val="baseline"/>
                      <w:lang w:val="en-US" w:eastAsia="zh-CN"/>
                    </w:rPr>
                    <w:t>m</w:t>
                  </w:r>
                </w:p>
              </w:tc>
              <w:tc>
                <w:tcPr>
                  <w:tcW w:w="238" w:type="pct"/>
                  <w:noWrap w:val="0"/>
                  <w:vAlign w:val="center"/>
                </w:tcPr>
                <w:p w14:paraId="337C497C">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jc w:val="center"/>
                    <w:textAlignment w:val="auto"/>
                    <w:rPr>
                      <w:rFonts w:hint="eastAsia" w:ascii="Times New Roman" w:hAnsi="Times New Roman" w:eastAsia="宋体" w:cs="Times New Roman"/>
                      <w:b/>
                      <w:bCs/>
                      <w:color w:val="auto"/>
                      <w:sz w:val="21"/>
                      <w:szCs w:val="21"/>
                      <w:highlight w:val="none"/>
                      <w:vertAlign w:val="baseline"/>
                      <w:lang w:val="en-US" w:eastAsia="zh-CN"/>
                    </w:rPr>
                  </w:pPr>
                  <w:r>
                    <w:rPr>
                      <w:rFonts w:hint="eastAsia" w:ascii="Times New Roman" w:hAnsi="Times New Roman" w:eastAsia="宋体" w:cs="Times New Roman"/>
                      <w:b/>
                      <w:bCs/>
                      <w:color w:val="auto"/>
                      <w:sz w:val="21"/>
                      <w:szCs w:val="21"/>
                      <w:highlight w:val="none"/>
                      <w:vertAlign w:val="baseline"/>
                      <w:lang w:val="en-US" w:eastAsia="zh-CN"/>
                    </w:rPr>
                    <w:t>内径</w:t>
                  </w:r>
                </w:p>
                <w:p w14:paraId="2A3E134B">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eastAsia" w:ascii="Times New Roman" w:hAnsi="Times New Roman" w:eastAsia="宋体" w:cs="Times New Roman"/>
                      <w:b/>
                      <w:bCs/>
                      <w:color w:val="auto"/>
                      <w:sz w:val="21"/>
                      <w:szCs w:val="21"/>
                      <w:highlight w:val="none"/>
                      <w:vertAlign w:val="baseline"/>
                      <w:lang w:val="en-US" w:eastAsia="zh-CN"/>
                    </w:rPr>
                    <w:t>m</w:t>
                  </w:r>
                </w:p>
              </w:tc>
              <w:tc>
                <w:tcPr>
                  <w:tcW w:w="238" w:type="pct"/>
                  <w:noWrap w:val="0"/>
                  <w:vAlign w:val="center"/>
                </w:tcPr>
                <w:p w14:paraId="7044F138">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jc w:val="center"/>
                    <w:textAlignment w:val="auto"/>
                    <w:rPr>
                      <w:rFonts w:hint="eastAsia" w:ascii="Times New Roman" w:hAnsi="Times New Roman" w:eastAsia="宋体" w:cs="Times New Roman"/>
                      <w:b/>
                      <w:bCs/>
                      <w:color w:val="auto"/>
                      <w:sz w:val="21"/>
                      <w:szCs w:val="21"/>
                      <w:highlight w:val="none"/>
                      <w:vertAlign w:val="baseline"/>
                      <w:lang w:val="en-US" w:eastAsia="zh-CN"/>
                    </w:rPr>
                  </w:pPr>
                  <w:r>
                    <w:rPr>
                      <w:rFonts w:hint="eastAsia" w:ascii="Times New Roman" w:hAnsi="Times New Roman" w:eastAsia="宋体" w:cs="Times New Roman"/>
                      <w:b/>
                      <w:bCs/>
                      <w:color w:val="auto"/>
                      <w:sz w:val="21"/>
                      <w:szCs w:val="21"/>
                      <w:highlight w:val="none"/>
                      <w:vertAlign w:val="baseline"/>
                      <w:lang w:val="en-US" w:eastAsia="zh-CN"/>
                    </w:rPr>
                    <w:t>温度</w:t>
                  </w:r>
                </w:p>
                <w:p w14:paraId="32A96E0B">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eastAsia" w:ascii="Times New Roman" w:hAnsi="Times New Roman" w:eastAsia="宋体" w:cs="Times New Roman"/>
                      <w:b/>
                      <w:bCs/>
                      <w:color w:val="auto"/>
                      <w:sz w:val="21"/>
                      <w:szCs w:val="21"/>
                      <w:highlight w:val="none"/>
                      <w:vertAlign w:val="baseline"/>
                      <w:lang w:val="en-US" w:eastAsia="zh-CN"/>
                    </w:rPr>
                    <w:t>℃</w:t>
                  </w:r>
                </w:p>
              </w:tc>
              <w:tc>
                <w:tcPr>
                  <w:tcW w:w="569" w:type="pct"/>
                  <w:noWrap w:val="0"/>
                  <w:vAlign w:val="center"/>
                </w:tcPr>
                <w:p w14:paraId="18664EBC">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eastAsia" w:ascii="Times New Roman" w:hAnsi="Times New Roman" w:eastAsia="宋体" w:cs="Times New Roman"/>
                      <w:b/>
                      <w:bCs/>
                      <w:color w:val="auto"/>
                      <w:sz w:val="21"/>
                      <w:szCs w:val="21"/>
                      <w:highlight w:val="none"/>
                      <w:vertAlign w:val="baseline"/>
                      <w:lang w:val="en-US" w:eastAsia="zh-CN"/>
                    </w:rPr>
                    <w:t>坐标</w:t>
                  </w:r>
                </w:p>
              </w:tc>
            </w:tr>
            <w:tr w14:paraId="5B213C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238" w:type="pct"/>
                  <w:noWrap w:val="0"/>
                  <w:vAlign w:val="center"/>
                </w:tcPr>
                <w:p w14:paraId="3123ADB3">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cs="Times New Roman"/>
                      <w:color w:val="auto"/>
                      <w:sz w:val="21"/>
                      <w:szCs w:val="21"/>
                      <w:highlight w:val="none"/>
                      <w:vertAlign w:val="baseline"/>
                      <w:lang w:val="en-US" w:eastAsia="zh-CN"/>
                    </w:rPr>
                    <w:t>1</w:t>
                  </w:r>
                </w:p>
              </w:tc>
              <w:tc>
                <w:tcPr>
                  <w:tcW w:w="238" w:type="pct"/>
                  <w:vMerge w:val="restart"/>
                  <w:noWrap w:val="0"/>
                  <w:vAlign w:val="center"/>
                </w:tcPr>
                <w:p w14:paraId="34730837">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left="0" w:leftChars="0" w:firstLine="0" w:firstLineChars="0"/>
                    <w:jc w:val="center"/>
                    <w:textAlignment w:val="auto"/>
                    <w:rPr>
                      <w:rFonts w:hint="eastAsia" w:ascii="Times New Roman" w:cs="Times New Roman"/>
                      <w:color w:val="auto"/>
                      <w:sz w:val="21"/>
                      <w:szCs w:val="21"/>
                      <w:highlight w:val="none"/>
                      <w:vertAlign w:val="baseline"/>
                      <w:lang w:val="en-US" w:eastAsia="zh-CN"/>
                    </w:rPr>
                  </w:pPr>
                  <w:r>
                    <w:rPr>
                      <w:rFonts w:hint="eastAsia" w:ascii="Times New Roman" w:cs="Times New Roman"/>
                      <w:color w:val="auto"/>
                      <w:sz w:val="21"/>
                      <w:szCs w:val="21"/>
                      <w:highlight w:val="none"/>
                      <w:vertAlign w:val="baseline"/>
                      <w:lang w:val="en-US" w:eastAsia="zh-CN"/>
                    </w:rPr>
                    <w:t>危废</w:t>
                  </w:r>
                </w:p>
                <w:p w14:paraId="35681B52">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left="0" w:leftChars="0" w:firstLine="0" w:firstLineChars="0"/>
                    <w:jc w:val="center"/>
                    <w:textAlignment w:val="auto"/>
                    <w:rPr>
                      <w:rFonts w:hint="default" w:ascii="Times New Roman" w:cs="Times New Roman"/>
                      <w:color w:val="auto"/>
                      <w:sz w:val="21"/>
                      <w:szCs w:val="21"/>
                      <w:highlight w:val="none"/>
                      <w:vertAlign w:val="baseline"/>
                      <w:lang w:val="en-US" w:eastAsia="zh-CN"/>
                    </w:rPr>
                  </w:pPr>
                  <w:r>
                    <w:rPr>
                      <w:rFonts w:hint="eastAsia" w:ascii="Times New Roman" w:cs="Times New Roman"/>
                      <w:color w:val="auto"/>
                      <w:sz w:val="21"/>
                      <w:szCs w:val="21"/>
                      <w:highlight w:val="none"/>
                      <w:vertAlign w:val="baseline"/>
                      <w:lang w:val="en-US" w:eastAsia="zh-CN"/>
                    </w:rPr>
                    <w:t>贮存</w:t>
                  </w:r>
                </w:p>
              </w:tc>
              <w:tc>
                <w:tcPr>
                  <w:tcW w:w="317" w:type="pct"/>
                  <w:noWrap w:val="0"/>
                  <w:vAlign w:val="center"/>
                </w:tcPr>
                <w:p w14:paraId="79C7DB07">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cs="Times New Roman"/>
                      <w:color w:val="auto"/>
                      <w:sz w:val="21"/>
                      <w:szCs w:val="21"/>
                      <w:highlight w:val="none"/>
                      <w:vertAlign w:val="baseline"/>
                      <w:lang w:val="en-US" w:eastAsia="zh-CN"/>
                    </w:rPr>
                    <w:t>VOCs</w:t>
                  </w:r>
                </w:p>
              </w:tc>
              <w:tc>
                <w:tcPr>
                  <w:tcW w:w="316" w:type="pct"/>
                  <w:noWrap w:val="0"/>
                  <w:vAlign w:val="center"/>
                </w:tcPr>
                <w:p w14:paraId="079EDD0D">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cs="Times New Roman"/>
                      <w:color w:val="auto"/>
                      <w:sz w:val="21"/>
                      <w:szCs w:val="21"/>
                      <w:highlight w:val="none"/>
                      <w:vertAlign w:val="baseline"/>
                      <w:lang w:val="en-US" w:eastAsia="zh-CN"/>
                    </w:rPr>
                    <w:t>有组织</w:t>
                  </w:r>
                </w:p>
              </w:tc>
              <w:tc>
                <w:tcPr>
                  <w:tcW w:w="551" w:type="pct"/>
                  <w:noWrap w:val="0"/>
                  <w:vAlign w:val="center"/>
                </w:tcPr>
                <w:p w14:paraId="4FDBD30C">
                  <w:pPr>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rPr>
                      <w:rFonts w:hint="eastAsia"/>
                      <w:color w:val="auto"/>
                      <w:lang w:val="en-US" w:eastAsia="zh-CN"/>
                    </w:rPr>
                  </w:pPr>
                  <w:r>
                    <w:rPr>
                      <w:rFonts w:hint="eastAsia" w:ascii="Times New Roman" w:hAnsi="Times New Roman" w:eastAsia="宋体" w:cs="Times New Roman"/>
                      <w:color w:val="auto"/>
                      <w:kern w:val="2"/>
                      <w:sz w:val="21"/>
                      <w:szCs w:val="21"/>
                      <w:highlight w:val="none"/>
                      <w:vertAlign w:val="baseline"/>
                      <w:lang w:val="en-US" w:eastAsia="zh-CN" w:bidi="ar-SA"/>
                    </w:rPr>
                    <w:t>车间密闭+</w:t>
                  </w:r>
                  <w:r>
                    <w:rPr>
                      <w:rFonts w:hint="eastAsia" w:cs="Times New Roman"/>
                      <w:color w:val="auto"/>
                      <w:kern w:val="2"/>
                      <w:sz w:val="21"/>
                      <w:szCs w:val="21"/>
                      <w:highlight w:val="none"/>
                      <w:vertAlign w:val="baseline"/>
                      <w:lang w:val="en-US" w:eastAsia="zh-CN" w:bidi="ar-SA"/>
                    </w:rPr>
                    <w:t>二级</w:t>
                  </w:r>
                  <w:r>
                    <w:rPr>
                      <w:rFonts w:hint="eastAsia" w:ascii="Times New Roman" w:hAnsi="Times New Roman" w:eastAsia="宋体" w:cs="Times New Roman"/>
                      <w:color w:val="auto"/>
                      <w:kern w:val="2"/>
                      <w:sz w:val="21"/>
                      <w:szCs w:val="21"/>
                      <w:highlight w:val="none"/>
                      <w:vertAlign w:val="baseline"/>
                      <w:lang w:val="en-US" w:eastAsia="zh-CN" w:bidi="ar-SA"/>
                    </w:rPr>
                    <w:t>活性炭吸附</w:t>
                  </w:r>
                </w:p>
              </w:tc>
              <w:tc>
                <w:tcPr>
                  <w:tcW w:w="317" w:type="pct"/>
                  <w:noWrap w:val="0"/>
                  <w:vAlign w:val="center"/>
                </w:tcPr>
                <w:p w14:paraId="6FCB8873">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bidi="ar-SA"/>
                    </w:rPr>
                  </w:pPr>
                  <w:r>
                    <w:rPr>
                      <w:rFonts w:hint="eastAsia" w:ascii="Times New Roman" w:cs="Times New Roman"/>
                      <w:color w:val="auto"/>
                      <w:sz w:val="21"/>
                      <w:szCs w:val="21"/>
                      <w:highlight w:val="none"/>
                      <w:vertAlign w:val="baseline"/>
                      <w:lang w:val="en-US" w:eastAsia="zh-CN" w:bidi="ar-SA"/>
                    </w:rPr>
                    <w:t>1447</w:t>
                  </w:r>
                </w:p>
              </w:tc>
              <w:tc>
                <w:tcPr>
                  <w:tcW w:w="395" w:type="pct"/>
                  <w:noWrap w:val="0"/>
                  <w:vAlign w:val="center"/>
                </w:tcPr>
                <w:p w14:paraId="0ABBE84D">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bidi="ar-SA"/>
                    </w:rPr>
                  </w:pPr>
                  <w:r>
                    <w:rPr>
                      <w:rFonts w:hint="eastAsia" w:ascii="Times New Roman" w:cs="Times New Roman"/>
                      <w:color w:val="auto"/>
                      <w:sz w:val="21"/>
                      <w:szCs w:val="21"/>
                      <w:highlight w:val="none"/>
                      <w:vertAlign w:val="baseline"/>
                      <w:lang w:val="en-US" w:eastAsia="zh-CN" w:bidi="ar-SA"/>
                    </w:rPr>
                    <w:t>85%</w:t>
                  </w:r>
                </w:p>
              </w:tc>
              <w:tc>
                <w:tcPr>
                  <w:tcW w:w="317" w:type="pct"/>
                  <w:noWrap w:val="0"/>
                  <w:vAlign w:val="center"/>
                </w:tcPr>
                <w:p w14:paraId="133AD328">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bidi="ar-SA"/>
                    </w:rPr>
                  </w:pPr>
                  <w:r>
                    <w:rPr>
                      <w:rFonts w:hint="eastAsia" w:ascii="Times New Roman" w:cs="Times New Roman"/>
                      <w:color w:val="auto"/>
                      <w:sz w:val="21"/>
                      <w:szCs w:val="21"/>
                      <w:highlight w:val="none"/>
                      <w:vertAlign w:val="baseline"/>
                      <w:lang w:val="en-US" w:eastAsia="zh-CN" w:bidi="ar-SA"/>
                    </w:rPr>
                    <w:t>32.43</w:t>
                  </w:r>
                </w:p>
              </w:tc>
              <w:tc>
                <w:tcPr>
                  <w:tcW w:w="397" w:type="pct"/>
                  <w:noWrap w:val="0"/>
                  <w:vAlign w:val="center"/>
                </w:tcPr>
                <w:p w14:paraId="75659D26">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cs="Times New Roman"/>
                      <w:color w:val="auto"/>
                      <w:sz w:val="21"/>
                      <w:szCs w:val="21"/>
                      <w:highlight w:val="none"/>
                      <w:vertAlign w:val="baseline"/>
                      <w:lang w:val="en-US" w:eastAsia="zh-CN"/>
                    </w:rPr>
                    <w:t>是</w:t>
                  </w:r>
                </w:p>
              </w:tc>
              <w:tc>
                <w:tcPr>
                  <w:tcW w:w="629" w:type="pct"/>
                  <w:noWrap w:val="0"/>
                  <w:vAlign w:val="center"/>
                </w:tcPr>
                <w:p w14:paraId="140113B7">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left="0" w:leftChars="0" w:firstLine="0" w:firstLineChars="0"/>
                    <w:jc w:val="center"/>
                    <w:textAlignment w:val="auto"/>
                    <w:rPr>
                      <w:rFonts w:hint="default" w:ascii="Times New Roman" w:cs="Times New Roman"/>
                      <w:color w:val="auto"/>
                      <w:spacing w:val="-11"/>
                      <w:sz w:val="21"/>
                      <w:szCs w:val="21"/>
                      <w:highlight w:val="none"/>
                      <w:vertAlign w:val="baseline"/>
                      <w:lang w:val="en-US" w:eastAsia="zh-CN"/>
                    </w:rPr>
                  </w:pPr>
                  <w:r>
                    <w:rPr>
                      <w:rFonts w:hint="eastAsia" w:ascii="Times New Roman" w:cs="Times New Roman"/>
                      <w:color w:val="auto"/>
                      <w:spacing w:val="-11"/>
                      <w:sz w:val="21"/>
                      <w:szCs w:val="21"/>
                      <w:highlight w:val="none"/>
                      <w:vertAlign w:val="baseline"/>
                      <w:lang w:val="en-US" w:eastAsia="zh-CN"/>
                    </w:rPr>
                    <w:t>15m排气筒DA001（一般排放口）</w:t>
                  </w:r>
                </w:p>
              </w:tc>
              <w:tc>
                <w:tcPr>
                  <w:tcW w:w="238" w:type="pct"/>
                  <w:noWrap w:val="0"/>
                  <w:vAlign w:val="center"/>
                </w:tcPr>
                <w:p w14:paraId="19D1C65F">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left="0" w:leftChars="0"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cs="Times New Roman"/>
                      <w:color w:val="auto"/>
                      <w:sz w:val="21"/>
                      <w:szCs w:val="21"/>
                      <w:highlight w:val="none"/>
                      <w:vertAlign w:val="baseline"/>
                      <w:lang w:val="en-US" w:eastAsia="zh-CN"/>
                    </w:rPr>
                    <w:t>15</w:t>
                  </w:r>
                </w:p>
              </w:tc>
              <w:tc>
                <w:tcPr>
                  <w:tcW w:w="238" w:type="pct"/>
                  <w:noWrap w:val="0"/>
                  <w:vAlign w:val="center"/>
                </w:tcPr>
                <w:p w14:paraId="6CF3A9E5">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left="0" w:leftChars="0"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cs="Times New Roman"/>
                      <w:color w:val="auto"/>
                      <w:sz w:val="21"/>
                      <w:szCs w:val="21"/>
                      <w:highlight w:val="none"/>
                      <w:vertAlign w:val="baseline"/>
                      <w:lang w:val="en-US" w:eastAsia="zh-CN"/>
                    </w:rPr>
                    <w:t>0.15</w:t>
                  </w:r>
                </w:p>
              </w:tc>
              <w:tc>
                <w:tcPr>
                  <w:tcW w:w="238" w:type="pct"/>
                  <w:noWrap w:val="0"/>
                  <w:vAlign w:val="center"/>
                </w:tcPr>
                <w:p w14:paraId="3B493E11">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cs="Times New Roman"/>
                      <w:color w:val="auto"/>
                      <w:sz w:val="21"/>
                      <w:szCs w:val="21"/>
                      <w:highlight w:val="none"/>
                      <w:vertAlign w:val="baseline"/>
                      <w:lang w:val="en-US" w:eastAsia="zh-CN"/>
                    </w:rPr>
                    <w:t>常温</w:t>
                  </w:r>
                </w:p>
              </w:tc>
              <w:tc>
                <w:tcPr>
                  <w:tcW w:w="569" w:type="pct"/>
                  <w:noWrap w:val="0"/>
                  <w:vAlign w:val="center"/>
                </w:tcPr>
                <w:p w14:paraId="21A05062">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left="0" w:leftChars="0"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经度118.08093</w:t>
                  </w:r>
                </w:p>
                <w:p w14:paraId="3D5B0859">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left="0" w:leftChars="0" w:firstLine="0" w:firstLineChars="0"/>
                    <w:jc w:val="center"/>
                    <w:textAlignment w:val="auto"/>
                    <w:rPr>
                      <w:rFonts w:hint="default" w:ascii="Times New Roman"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纬度</w:t>
                  </w:r>
                  <w:r>
                    <w:rPr>
                      <w:rFonts w:hint="eastAsia" w:ascii="Times New Roman" w:cs="Times New Roman"/>
                      <w:color w:val="auto"/>
                      <w:sz w:val="21"/>
                      <w:szCs w:val="21"/>
                      <w:highlight w:val="none"/>
                      <w:vertAlign w:val="baseline"/>
                      <w:lang w:val="en-US" w:eastAsia="zh-CN"/>
                    </w:rPr>
                    <w:t>36.70068</w:t>
                  </w:r>
                </w:p>
              </w:tc>
            </w:tr>
            <w:tr w14:paraId="41E2F5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38" w:type="pct"/>
                  <w:noWrap w:val="0"/>
                  <w:vAlign w:val="center"/>
                </w:tcPr>
                <w:p w14:paraId="601CD2F5">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jc w:val="center"/>
                    <w:textAlignment w:val="auto"/>
                    <w:rPr>
                      <w:rFonts w:hint="default" w:ascii="Times New Roman" w:cs="Times New Roman"/>
                      <w:color w:val="auto"/>
                      <w:sz w:val="21"/>
                      <w:szCs w:val="21"/>
                      <w:highlight w:val="none"/>
                      <w:vertAlign w:val="baseline"/>
                      <w:lang w:val="en-US" w:eastAsia="zh-CN"/>
                    </w:rPr>
                  </w:pPr>
                  <w:r>
                    <w:rPr>
                      <w:rFonts w:hint="eastAsia" w:ascii="Times New Roman" w:cs="Times New Roman"/>
                      <w:color w:val="auto"/>
                      <w:sz w:val="21"/>
                      <w:szCs w:val="21"/>
                      <w:highlight w:val="none"/>
                      <w:vertAlign w:val="baseline"/>
                      <w:lang w:val="en-US" w:eastAsia="zh-CN"/>
                    </w:rPr>
                    <w:t>2</w:t>
                  </w:r>
                </w:p>
              </w:tc>
              <w:tc>
                <w:tcPr>
                  <w:tcW w:w="238" w:type="pct"/>
                  <w:vMerge w:val="continue"/>
                  <w:noWrap w:val="0"/>
                  <w:vAlign w:val="center"/>
                </w:tcPr>
                <w:p w14:paraId="183D11C0">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left="0" w:leftChars="0" w:firstLine="0" w:firstLineChars="0"/>
                    <w:jc w:val="center"/>
                    <w:textAlignment w:val="auto"/>
                    <w:rPr>
                      <w:rFonts w:hint="eastAsia" w:ascii="Times New Roman" w:hAnsi="Times New Roman" w:cs="Times New Roman"/>
                      <w:color w:val="auto"/>
                      <w:sz w:val="21"/>
                      <w:szCs w:val="21"/>
                      <w:highlight w:val="none"/>
                      <w:vertAlign w:val="baseline"/>
                      <w:lang w:val="en-US" w:eastAsia="zh-CN"/>
                    </w:rPr>
                  </w:pPr>
                </w:p>
              </w:tc>
              <w:tc>
                <w:tcPr>
                  <w:tcW w:w="317" w:type="pct"/>
                  <w:noWrap w:val="0"/>
                  <w:vAlign w:val="center"/>
                </w:tcPr>
                <w:p w14:paraId="734C75E3">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left="0" w:leftChars="0" w:firstLine="0" w:firstLineChars="0"/>
                    <w:jc w:val="center"/>
                    <w:textAlignment w:val="auto"/>
                    <w:rPr>
                      <w:rFonts w:hint="eastAsia" w:ascii="Times New Roman" w:cs="Times New Roman"/>
                      <w:color w:val="auto"/>
                      <w:sz w:val="21"/>
                      <w:szCs w:val="21"/>
                      <w:highlight w:val="none"/>
                      <w:vertAlign w:val="baseline"/>
                      <w:lang w:val="en-US" w:eastAsia="zh-CN"/>
                    </w:rPr>
                  </w:pPr>
                  <w:r>
                    <w:rPr>
                      <w:rFonts w:hint="eastAsia" w:ascii="Times New Roman" w:cs="Times New Roman"/>
                      <w:color w:val="auto"/>
                      <w:sz w:val="21"/>
                      <w:szCs w:val="21"/>
                      <w:highlight w:val="none"/>
                      <w:vertAlign w:val="baseline"/>
                      <w:lang w:val="en-US" w:eastAsia="zh-CN"/>
                    </w:rPr>
                    <w:t>硫酸雾</w:t>
                  </w:r>
                </w:p>
              </w:tc>
              <w:tc>
                <w:tcPr>
                  <w:tcW w:w="316" w:type="pct"/>
                  <w:noWrap w:val="0"/>
                  <w:vAlign w:val="center"/>
                </w:tcPr>
                <w:p w14:paraId="2C0458F5">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left="0" w:leftChars="0" w:firstLine="0" w:firstLineChars="0"/>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cs="Times New Roman"/>
                      <w:color w:val="auto"/>
                      <w:sz w:val="21"/>
                      <w:szCs w:val="21"/>
                      <w:highlight w:val="none"/>
                      <w:vertAlign w:val="baseline"/>
                      <w:lang w:val="en-US" w:eastAsia="zh-CN"/>
                    </w:rPr>
                    <w:t>有组织</w:t>
                  </w:r>
                </w:p>
              </w:tc>
              <w:tc>
                <w:tcPr>
                  <w:tcW w:w="551" w:type="pct"/>
                  <w:vMerge w:val="restart"/>
                  <w:noWrap w:val="0"/>
                  <w:vAlign w:val="center"/>
                </w:tcPr>
                <w:p w14:paraId="33EDF8EA">
                  <w:pPr>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rPr>
                      <w:rFonts w:hint="default" w:asci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车间密闭+碱喷淋处理</w:t>
                  </w:r>
                </w:p>
              </w:tc>
              <w:tc>
                <w:tcPr>
                  <w:tcW w:w="317" w:type="pct"/>
                  <w:vMerge w:val="restart"/>
                  <w:noWrap w:val="0"/>
                  <w:vAlign w:val="center"/>
                </w:tcPr>
                <w:p w14:paraId="75BFFE3A">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bidi="ar-SA"/>
                    </w:rPr>
                  </w:pPr>
                  <w:r>
                    <w:rPr>
                      <w:rFonts w:hint="eastAsia" w:ascii="Times New Roman" w:cs="Times New Roman"/>
                      <w:color w:val="auto"/>
                      <w:sz w:val="21"/>
                      <w:szCs w:val="21"/>
                      <w:highlight w:val="none"/>
                      <w:vertAlign w:val="baseline"/>
                      <w:lang w:val="en-US" w:eastAsia="zh-CN" w:bidi="ar-SA"/>
                    </w:rPr>
                    <w:t>2068</w:t>
                  </w:r>
                </w:p>
              </w:tc>
              <w:tc>
                <w:tcPr>
                  <w:tcW w:w="395" w:type="pct"/>
                  <w:noWrap w:val="0"/>
                  <w:vAlign w:val="center"/>
                </w:tcPr>
                <w:p w14:paraId="2FB9E3B1">
                  <w:pPr>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bidi="ar-SA"/>
                    </w:rPr>
                  </w:pPr>
                  <w:r>
                    <w:rPr>
                      <w:rFonts w:hint="eastAsia" w:ascii="Times New Roman" w:cs="Times New Roman"/>
                      <w:color w:val="auto"/>
                      <w:sz w:val="21"/>
                      <w:szCs w:val="21"/>
                      <w:highlight w:val="none"/>
                      <w:vertAlign w:val="baseline"/>
                      <w:lang w:val="en-US" w:eastAsia="zh-CN" w:bidi="ar-SA"/>
                    </w:rPr>
                    <w:t>85%</w:t>
                  </w:r>
                </w:p>
              </w:tc>
              <w:tc>
                <w:tcPr>
                  <w:tcW w:w="317" w:type="pct"/>
                  <w:noWrap w:val="0"/>
                  <w:vAlign w:val="center"/>
                </w:tcPr>
                <w:p w14:paraId="117CCA12">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bidi="ar-SA"/>
                    </w:rPr>
                  </w:pPr>
                  <w:r>
                    <w:rPr>
                      <w:rFonts w:hint="eastAsia" w:ascii="Times New Roman" w:cs="Times New Roman"/>
                      <w:color w:val="auto"/>
                      <w:sz w:val="21"/>
                      <w:szCs w:val="21"/>
                      <w:highlight w:val="none"/>
                      <w:vertAlign w:val="baseline"/>
                      <w:lang w:val="en-US" w:eastAsia="zh-CN" w:bidi="ar-SA"/>
                    </w:rPr>
                    <w:t>63.63</w:t>
                  </w:r>
                </w:p>
              </w:tc>
              <w:tc>
                <w:tcPr>
                  <w:tcW w:w="397" w:type="pct"/>
                  <w:noWrap w:val="0"/>
                  <w:vAlign w:val="center"/>
                </w:tcPr>
                <w:p w14:paraId="6ED9C335">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left="0" w:leftChars="0" w:firstLine="0" w:firstLineChars="0"/>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cs="Times New Roman"/>
                      <w:color w:val="auto"/>
                      <w:sz w:val="21"/>
                      <w:szCs w:val="21"/>
                      <w:highlight w:val="none"/>
                      <w:vertAlign w:val="baseline"/>
                      <w:lang w:val="en-US" w:eastAsia="zh-CN"/>
                    </w:rPr>
                    <w:t>是</w:t>
                  </w:r>
                </w:p>
              </w:tc>
              <w:tc>
                <w:tcPr>
                  <w:tcW w:w="629" w:type="pct"/>
                  <w:vMerge w:val="restart"/>
                  <w:noWrap w:val="0"/>
                  <w:vAlign w:val="center"/>
                </w:tcPr>
                <w:p w14:paraId="4C052591">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left="0" w:leftChars="0" w:firstLine="0" w:firstLineChars="0"/>
                    <w:jc w:val="center"/>
                    <w:textAlignment w:val="auto"/>
                    <w:rPr>
                      <w:rFonts w:hint="eastAsia" w:ascii="Times New Roman" w:hAnsi="Times New Roman" w:cs="Times New Roman"/>
                      <w:color w:val="auto"/>
                      <w:spacing w:val="-11"/>
                      <w:sz w:val="21"/>
                      <w:szCs w:val="21"/>
                      <w:highlight w:val="none"/>
                      <w:vertAlign w:val="baseline"/>
                      <w:lang w:val="en-US" w:eastAsia="zh-CN"/>
                    </w:rPr>
                  </w:pPr>
                  <w:r>
                    <w:rPr>
                      <w:rFonts w:hint="eastAsia" w:ascii="Times New Roman" w:cs="Times New Roman"/>
                      <w:color w:val="auto"/>
                      <w:spacing w:val="-11"/>
                      <w:sz w:val="21"/>
                      <w:szCs w:val="21"/>
                      <w:highlight w:val="none"/>
                      <w:vertAlign w:val="baseline"/>
                      <w:lang w:val="en-US" w:eastAsia="zh-CN"/>
                    </w:rPr>
                    <w:t>15m排气筒DA002（一般排放口）</w:t>
                  </w:r>
                </w:p>
              </w:tc>
              <w:tc>
                <w:tcPr>
                  <w:tcW w:w="238" w:type="pct"/>
                  <w:vMerge w:val="restart"/>
                  <w:shd w:val="clear" w:color="auto" w:fill="auto"/>
                  <w:noWrap w:val="0"/>
                  <w:vAlign w:val="center"/>
                </w:tcPr>
                <w:p w14:paraId="76E01578">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left="0" w:leftChars="0" w:firstLine="0" w:firstLineChars="0"/>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cs="Times New Roman"/>
                      <w:color w:val="auto"/>
                      <w:sz w:val="21"/>
                      <w:szCs w:val="21"/>
                      <w:highlight w:val="none"/>
                      <w:vertAlign w:val="baseline"/>
                      <w:lang w:val="en-US" w:eastAsia="zh-CN"/>
                    </w:rPr>
                    <w:t>15</w:t>
                  </w:r>
                </w:p>
              </w:tc>
              <w:tc>
                <w:tcPr>
                  <w:tcW w:w="238" w:type="pct"/>
                  <w:vMerge w:val="restart"/>
                  <w:shd w:val="clear" w:color="auto" w:fill="auto"/>
                  <w:noWrap w:val="0"/>
                  <w:vAlign w:val="center"/>
                </w:tcPr>
                <w:p w14:paraId="3F2D8D52">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left="0" w:leftChars="0" w:firstLine="0" w:firstLineChars="0"/>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cs="Times New Roman"/>
                      <w:color w:val="auto"/>
                      <w:sz w:val="21"/>
                      <w:szCs w:val="21"/>
                      <w:highlight w:val="none"/>
                      <w:vertAlign w:val="baseline"/>
                      <w:lang w:val="en-US" w:eastAsia="zh-CN"/>
                    </w:rPr>
                    <w:t>0.15</w:t>
                  </w:r>
                </w:p>
              </w:tc>
              <w:tc>
                <w:tcPr>
                  <w:tcW w:w="238" w:type="pct"/>
                  <w:vMerge w:val="restart"/>
                  <w:shd w:val="clear" w:color="auto" w:fill="auto"/>
                  <w:noWrap w:val="0"/>
                  <w:vAlign w:val="center"/>
                </w:tcPr>
                <w:p w14:paraId="2C64C96B">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left="0" w:leftChars="0"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cs="Times New Roman"/>
                      <w:color w:val="auto"/>
                      <w:sz w:val="21"/>
                      <w:szCs w:val="21"/>
                      <w:highlight w:val="none"/>
                      <w:vertAlign w:val="baseline"/>
                      <w:lang w:val="en-US" w:eastAsia="zh-CN"/>
                    </w:rPr>
                    <w:t>常温</w:t>
                  </w:r>
                </w:p>
              </w:tc>
              <w:tc>
                <w:tcPr>
                  <w:tcW w:w="569" w:type="pct"/>
                  <w:vMerge w:val="restart"/>
                  <w:noWrap w:val="0"/>
                  <w:vAlign w:val="center"/>
                </w:tcPr>
                <w:p w14:paraId="23E61003">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cs="Times New Roman"/>
                      <w:color w:val="auto"/>
                      <w:sz w:val="21"/>
                      <w:szCs w:val="21"/>
                      <w:highlight w:val="none"/>
                      <w:vertAlign w:val="baseline"/>
                      <w:lang w:val="en-US" w:eastAsia="zh-CN"/>
                    </w:rPr>
                    <w:t>经度</w:t>
                  </w:r>
                  <w:r>
                    <w:rPr>
                      <w:rFonts w:hint="default" w:ascii="Times New Roman" w:hAnsi="Times New Roman" w:cs="Times New Roman"/>
                      <w:color w:val="auto"/>
                      <w:sz w:val="21"/>
                      <w:szCs w:val="21"/>
                      <w:highlight w:val="none"/>
                      <w:vertAlign w:val="baseline"/>
                      <w:lang w:val="en-US" w:eastAsia="zh-CN"/>
                    </w:rPr>
                    <w:t>118.08096</w:t>
                  </w:r>
                </w:p>
                <w:p w14:paraId="38149A0A">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cs="Times New Roman"/>
                      <w:color w:val="auto"/>
                      <w:sz w:val="21"/>
                      <w:szCs w:val="21"/>
                      <w:highlight w:val="none"/>
                      <w:vertAlign w:val="baseline"/>
                      <w:lang w:val="en-US" w:eastAsia="zh-CN"/>
                    </w:rPr>
                    <w:t>纬度</w:t>
                  </w:r>
                  <w:r>
                    <w:rPr>
                      <w:rFonts w:hint="default" w:ascii="Times New Roman" w:hAnsi="Times New Roman" w:cs="Times New Roman"/>
                      <w:color w:val="auto"/>
                      <w:sz w:val="21"/>
                      <w:szCs w:val="21"/>
                      <w:highlight w:val="none"/>
                      <w:vertAlign w:val="baseline"/>
                      <w:lang w:val="en-US" w:eastAsia="zh-CN"/>
                    </w:rPr>
                    <w:t>36.70068</w:t>
                  </w:r>
                </w:p>
              </w:tc>
            </w:tr>
            <w:tr w14:paraId="77AA5D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38" w:type="pct"/>
                  <w:noWrap w:val="0"/>
                  <w:vAlign w:val="center"/>
                </w:tcPr>
                <w:p w14:paraId="54E84B5D">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jc w:val="center"/>
                    <w:textAlignment w:val="auto"/>
                    <w:rPr>
                      <w:rFonts w:hint="default" w:ascii="Times New Roman" w:cs="Times New Roman"/>
                      <w:color w:val="auto"/>
                      <w:sz w:val="21"/>
                      <w:szCs w:val="21"/>
                      <w:highlight w:val="none"/>
                      <w:vertAlign w:val="baseline"/>
                      <w:lang w:val="en-US" w:eastAsia="zh-CN"/>
                    </w:rPr>
                  </w:pPr>
                  <w:r>
                    <w:rPr>
                      <w:rFonts w:hint="eastAsia" w:ascii="Times New Roman" w:cs="Times New Roman"/>
                      <w:color w:val="auto"/>
                      <w:sz w:val="21"/>
                      <w:szCs w:val="21"/>
                      <w:highlight w:val="none"/>
                      <w:vertAlign w:val="baseline"/>
                      <w:lang w:val="en-US" w:eastAsia="zh-CN"/>
                    </w:rPr>
                    <w:t>3</w:t>
                  </w:r>
                </w:p>
              </w:tc>
              <w:tc>
                <w:tcPr>
                  <w:tcW w:w="238" w:type="pct"/>
                  <w:vMerge w:val="continue"/>
                  <w:noWrap w:val="0"/>
                  <w:vAlign w:val="center"/>
                </w:tcPr>
                <w:p w14:paraId="01B35CE6">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left="0" w:leftChars="0" w:firstLine="0" w:firstLineChars="0"/>
                    <w:jc w:val="center"/>
                    <w:textAlignment w:val="auto"/>
                    <w:rPr>
                      <w:rFonts w:hint="eastAsia" w:ascii="Times New Roman" w:hAnsi="Times New Roman" w:cs="Times New Roman"/>
                      <w:color w:val="auto"/>
                      <w:sz w:val="21"/>
                      <w:szCs w:val="21"/>
                      <w:highlight w:val="none"/>
                      <w:vertAlign w:val="baseline"/>
                      <w:lang w:val="en-US" w:eastAsia="zh-CN"/>
                    </w:rPr>
                  </w:pPr>
                </w:p>
              </w:tc>
              <w:tc>
                <w:tcPr>
                  <w:tcW w:w="317" w:type="pct"/>
                  <w:noWrap w:val="0"/>
                  <w:vAlign w:val="center"/>
                </w:tcPr>
                <w:p w14:paraId="470DF01C">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left="0" w:leftChars="0" w:firstLine="0" w:firstLineChars="0"/>
                    <w:jc w:val="center"/>
                    <w:textAlignment w:val="auto"/>
                    <w:rPr>
                      <w:rFonts w:hint="eastAsia" w:ascii="Times New Roman" w:cs="Times New Roman"/>
                      <w:color w:val="auto"/>
                      <w:sz w:val="21"/>
                      <w:szCs w:val="21"/>
                      <w:highlight w:val="none"/>
                      <w:vertAlign w:val="baseline"/>
                      <w:lang w:val="en-US" w:eastAsia="zh-CN"/>
                    </w:rPr>
                  </w:pPr>
                  <w:r>
                    <w:rPr>
                      <w:rFonts w:hint="eastAsia" w:ascii="Times New Roman" w:cs="Times New Roman"/>
                      <w:color w:val="auto"/>
                      <w:sz w:val="21"/>
                      <w:szCs w:val="21"/>
                      <w:highlight w:val="none"/>
                      <w:vertAlign w:val="baseline"/>
                      <w:lang w:val="en-US" w:eastAsia="zh-CN"/>
                    </w:rPr>
                    <w:t>氯化氢</w:t>
                  </w:r>
                </w:p>
              </w:tc>
              <w:tc>
                <w:tcPr>
                  <w:tcW w:w="316" w:type="pct"/>
                  <w:noWrap w:val="0"/>
                  <w:vAlign w:val="center"/>
                </w:tcPr>
                <w:p w14:paraId="3063EDC8">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left="0" w:leftChars="0" w:firstLine="0" w:firstLineChars="0"/>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cs="Times New Roman"/>
                      <w:color w:val="auto"/>
                      <w:sz w:val="21"/>
                      <w:szCs w:val="21"/>
                      <w:highlight w:val="none"/>
                      <w:vertAlign w:val="baseline"/>
                      <w:lang w:val="en-US" w:eastAsia="zh-CN"/>
                    </w:rPr>
                    <w:t>有组织</w:t>
                  </w:r>
                </w:p>
              </w:tc>
              <w:tc>
                <w:tcPr>
                  <w:tcW w:w="551" w:type="pct"/>
                  <w:vMerge w:val="continue"/>
                  <w:noWrap w:val="0"/>
                  <w:vAlign w:val="center"/>
                </w:tcPr>
                <w:p w14:paraId="732C9A38">
                  <w:pPr>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rPr>
                      <w:rFonts w:hint="eastAsia" w:ascii="Times New Roman" w:cs="Times New Roman"/>
                      <w:color w:val="auto"/>
                      <w:sz w:val="21"/>
                      <w:szCs w:val="21"/>
                      <w:highlight w:val="none"/>
                      <w:vertAlign w:val="baseline"/>
                      <w:lang w:val="en-US" w:eastAsia="zh-CN"/>
                    </w:rPr>
                  </w:pPr>
                </w:p>
              </w:tc>
              <w:tc>
                <w:tcPr>
                  <w:tcW w:w="317" w:type="pct"/>
                  <w:vMerge w:val="continue"/>
                  <w:noWrap w:val="0"/>
                  <w:vAlign w:val="center"/>
                </w:tcPr>
                <w:p w14:paraId="241D0827">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left="0" w:leftChars="0"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bidi="ar-SA"/>
                    </w:rPr>
                  </w:pPr>
                </w:p>
              </w:tc>
              <w:tc>
                <w:tcPr>
                  <w:tcW w:w="395" w:type="pct"/>
                  <w:noWrap w:val="0"/>
                  <w:vAlign w:val="center"/>
                </w:tcPr>
                <w:p w14:paraId="2C807352">
                  <w:pPr>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bidi="ar-SA"/>
                    </w:rPr>
                  </w:pPr>
                  <w:r>
                    <w:rPr>
                      <w:rFonts w:hint="eastAsia" w:ascii="Times New Roman" w:cs="Times New Roman"/>
                      <w:color w:val="auto"/>
                      <w:sz w:val="21"/>
                      <w:szCs w:val="21"/>
                      <w:highlight w:val="none"/>
                      <w:vertAlign w:val="baseline"/>
                      <w:lang w:val="en-US" w:eastAsia="zh-CN" w:bidi="ar-SA"/>
                    </w:rPr>
                    <w:t>85%</w:t>
                  </w:r>
                </w:p>
              </w:tc>
              <w:tc>
                <w:tcPr>
                  <w:tcW w:w="317" w:type="pct"/>
                  <w:noWrap w:val="0"/>
                  <w:vAlign w:val="center"/>
                </w:tcPr>
                <w:p w14:paraId="09A2385E">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bidi="ar-SA"/>
                    </w:rPr>
                  </w:pPr>
                  <w:r>
                    <w:rPr>
                      <w:rFonts w:hint="eastAsia" w:ascii="Times New Roman" w:cs="Times New Roman"/>
                      <w:color w:val="auto"/>
                      <w:sz w:val="21"/>
                      <w:szCs w:val="21"/>
                      <w:highlight w:val="none"/>
                      <w:vertAlign w:val="baseline"/>
                      <w:lang w:val="en-US" w:eastAsia="zh-CN" w:bidi="ar-SA"/>
                    </w:rPr>
                    <w:t>65.97</w:t>
                  </w:r>
                </w:p>
              </w:tc>
              <w:tc>
                <w:tcPr>
                  <w:tcW w:w="397" w:type="pct"/>
                  <w:noWrap w:val="0"/>
                  <w:vAlign w:val="center"/>
                </w:tcPr>
                <w:p w14:paraId="122B6A6D">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left="0" w:leftChars="0" w:firstLine="0" w:firstLineChars="0"/>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cs="Times New Roman"/>
                      <w:color w:val="auto"/>
                      <w:sz w:val="21"/>
                      <w:szCs w:val="21"/>
                      <w:highlight w:val="none"/>
                      <w:vertAlign w:val="baseline"/>
                      <w:lang w:val="en-US" w:eastAsia="zh-CN"/>
                    </w:rPr>
                    <w:t>是</w:t>
                  </w:r>
                </w:p>
              </w:tc>
              <w:tc>
                <w:tcPr>
                  <w:tcW w:w="629" w:type="pct"/>
                  <w:vMerge w:val="continue"/>
                  <w:noWrap w:val="0"/>
                  <w:vAlign w:val="center"/>
                </w:tcPr>
                <w:p w14:paraId="6A5ACDBB">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left="0" w:leftChars="0" w:firstLine="0" w:firstLineChars="0"/>
                    <w:jc w:val="center"/>
                    <w:textAlignment w:val="auto"/>
                    <w:rPr>
                      <w:rFonts w:hint="eastAsia" w:ascii="Times New Roman" w:hAnsi="Times New Roman" w:cs="Times New Roman"/>
                      <w:color w:val="auto"/>
                      <w:sz w:val="21"/>
                      <w:szCs w:val="21"/>
                      <w:highlight w:val="none"/>
                      <w:vertAlign w:val="baseline"/>
                      <w:lang w:val="en-US" w:eastAsia="zh-CN"/>
                    </w:rPr>
                  </w:pPr>
                </w:p>
              </w:tc>
              <w:tc>
                <w:tcPr>
                  <w:tcW w:w="238" w:type="pct"/>
                  <w:vMerge w:val="continue"/>
                  <w:noWrap w:val="0"/>
                  <w:vAlign w:val="center"/>
                </w:tcPr>
                <w:p w14:paraId="6252D30D">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left="0" w:leftChars="0" w:firstLine="0" w:firstLineChars="0"/>
                    <w:jc w:val="center"/>
                    <w:textAlignment w:val="auto"/>
                    <w:rPr>
                      <w:rFonts w:hint="eastAsia" w:ascii="Times New Roman" w:hAnsi="Times New Roman" w:cs="Times New Roman"/>
                      <w:color w:val="auto"/>
                      <w:sz w:val="21"/>
                      <w:szCs w:val="21"/>
                      <w:highlight w:val="none"/>
                      <w:vertAlign w:val="baseline"/>
                      <w:lang w:val="en-US" w:eastAsia="zh-CN"/>
                    </w:rPr>
                  </w:pPr>
                </w:p>
              </w:tc>
              <w:tc>
                <w:tcPr>
                  <w:tcW w:w="238" w:type="pct"/>
                  <w:vMerge w:val="continue"/>
                  <w:noWrap w:val="0"/>
                  <w:vAlign w:val="center"/>
                </w:tcPr>
                <w:p w14:paraId="7B619008">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left="0" w:leftChars="0" w:firstLine="0" w:firstLineChars="0"/>
                    <w:jc w:val="center"/>
                    <w:textAlignment w:val="auto"/>
                    <w:rPr>
                      <w:rFonts w:hint="eastAsia" w:ascii="Times New Roman" w:hAnsi="Times New Roman" w:cs="Times New Roman"/>
                      <w:color w:val="auto"/>
                      <w:sz w:val="21"/>
                      <w:szCs w:val="21"/>
                      <w:highlight w:val="none"/>
                      <w:vertAlign w:val="baseline"/>
                      <w:lang w:val="en-US" w:eastAsia="zh-CN"/>
                    </w:rPr>
                  </w:pPr>
                </w:p>
              </w:tc>
              <w:tc>
                <w:tcPr>
                  <w:tcW w:w="238" w:type="pct"/>
                  <w:vMerge w:val="continue"/>
                  <w:noWrap w:val="0"/>
                  <w:vAlign w:val="center"/>
                </w:tcPr>
                <w:p w14:paraId="689BDA02">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jc w:val="center"/>
                    <w:textAlignment w:val="auto"/>
                    <w:rPr>
                      <w:rFonts w:hint="default" w:ascii="Times New Roman" w:hAnsi="Times New Roman" w:cs="Times New Roman"/>
                      <w:color w:val="auto"/>
                      <w:sz w:val="21"/>
                      <w:szCs w:val="21"/>
                      <w:highlight w:val="none"/>
                      <w:vertAlign w:val="baseline"/>
                      <w:lang w:val="en-US" w:eastAsia="zh-CN"/>
                    </w:rPr>
                  </w:pPr>
                </w:p>
              </w:tc>
              <w:tc>
                <w:tcPr>
                  <w:tcW w:w="569" w:type="pct"/>
                  <w:vMerge w:val="continue"/>
                  <w:noWrap w:val="0"/>
                  <w:vAlign w:val="center"/>
                </w:tcPr>
                <w:p w14:paraId="22A48BBC">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jc w:val="center"/>
                    <w:textAlignment w:val="auto"/>
                    <w:rPr>
                      <w:rFonts w:hint="default" w:ascii="Times New Roman" w:hAnsi="Times New Roman" w:cs="Times New Roman"/>
                      <w:color w:val="auto"/>
                      <w:sz w:val="21"/>
                      <w:szCs w:val="21"/>
                      <w:highlight w:val="none"/>
                      <w:vertAlign w:val="baseline"/>
                      <w:lang w:val="en-US" w:eastAsia="zh-CN"/>
                    </w:rPr>
                  </w:pPr>
                </w:p>
              </w:tc>
            </w:tr>
            <w:tr w14:paraId="6AD691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238" w:type="pct"/>
                  <w:noWrap w:val="0"/>
                  <w:vAlign w:val="center"/>
                </w:tcPr>
                <w:p w14:paraId="718E1C72">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jc w:val="center"/>
                    <w:textAlignment w:val="auto"/>
                    <w:rPr>
                      <w:rFonts w:hint="default" w:ascii="Times New Roman" w:cs="Times New Roman"/>
                      <w:color w:val="auto"/>
                      <w:sz w:val="21"/>
                      <w:szCs w:val="21"/>
                      <w:highlight w:val="none"/>
                      <w:vertAlign w:val="baseline"/>
                      <w:lang w:val="en-US" w:eastAsia="zh-CN"/>
                    </w:rPr>
                  </w:pPr>
                  <w:r>
                    <w:rPr>
                      <w:rFonts w:hint="eastAsia" w:ascii="Times New Roman" w:cs="Times New Roman"/>
                      <w:color w:val="auto"/>
                      <w:sz w:val="21"/>
                      <w:szCs w:val="21"/>
                      <w:highlight w:val="none"/>
                      <w:vertAlign w:val="baseline"/>
                      <w:lang w:val="en-US" w:eastAsia="zh-CN"/>
                    </w:rPr>
                    <w:t>4</w:t>
                  </w:r>
                </w:p>
              </w:tc>
              <w:tc>
                <w:tcPr>
                  <w:tcW w:w="238" w:type="pct"/>
                  <w:vMerge w:val="restart"/>
                  <w:noWrap w:val="0"/>
                  <w:vAlign w:val="center"/>
                </w:tcPr>
                <w:p w14:paraId="6EA6885A">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left="0" w:leftChars="0"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cs="Times New Roman"/>
                      <w:color w:val="auto"/>
                      <w:sz w:val="21"/>
                      <w:szCs w:val="21"/>
                      <w:highlight w:val="none"/>
                      <w:vertAlign w:val="baseline"/>
                      <w:lang w:val="en-US" w:eastAsia="zh-CN"/>
                    </w:rPr>
                    <w:t>厂界</w:t>
                  </w:r>
                </w:p>
              </w:tc>
              <w:tc>
                <w:tcPr>
                  <w:tcW w:w="317" w:type="pct"/>
                  <w:noWrap w:val="0"/>
                  <w:vAlign w:val="center"/>
                </w:tcPr>
                <w:p w14:paraId="3A48CF48">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left="0" w:leftChars="0" w:firstLine="0" w:firstLineChars="0"/>
                    <w:jc w:val="center"/>
                    <w:textAlignment w:val="auto"/>
                    <w:rPr>
                      <w:rFonts w:hint="eastAsia" w:ascii="Times New Roman" w:cs="Times New Roman"/>
                      <w:color w:val="auto"/>
                      <w:sz w:val="21"/>
                      <w:szCs w:val="21"/>
                      <w:highlight w:val="none"/>
                      <w:vertAlign w:val="baseline"/>
                      <w:lang w:val="en-US" w:eastAsia="zh-CN"/>
                    </w:rPr>
                  </w:pPr>
                  <w:r>
                    <w:rPr>
                      <w:rFonts w:hint="eastAsia" w:ascii="Times New Roman" w:cs="Times New Roman"/>
                      <w:color w:val="auto"/>
                      <w:sz w:val="21"/>
                      <w:szCs w:val="21"/>
                      <w:highlight w:val="none"/>
                      <w:vertAlign w:val="baseline"/>
                      <w:lang w:val="en-US" w:eastAsia="zh-CN"/>
                    </w:rPr>
                    <w:t>VOCs</w:t>
                  </w:r>
                </w:p>
              </w:tc>
              <w:tc>
                <w:tcPr>
                  <w:tcW w:w="316" w:type="pct"/>
                  <w:noWrap w:val="0"/>
                  <w:vAlign w:val="center"/>
                </w:tcPr>
                <w:p w14:paraId="141DF15D">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left="0" w:leftChars="0" w:firstLine="0" w:firstLineChars="0"/>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cs="Times New Roman"/>
                      <w:color w:val="auto"/>
                      <w:sz w:val="21"/>
                      <w:szCs w:val="21"/>
                      <w:highlight w:val="none"/>
                      <w:vertAlign w:val="baseline"/>
                      <w:lang w:val="en-US" w:eastAsia="zh-CN"/>
                    </w:rPr>
                    <w:t>无组织</w:t>
                  </w:r>
                </w:p>
              </w:tc>
              <w:tc>
                <w:tcPr>
                  <w:tcW w:w="551" w:type="pct"/>
                  <w:vMerge w:val="restart"/>
                  <w:noWrap w:val="0"/>
                  <w:vAlign w:val="center"/>
                </w:tcPr>
                <w:p w14:paraId="5E6FF618">
                  <w:pPr>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rPr>
                      <w:rFonts w:hint="default" w:asci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车间密闭</w:t>
                  </w:r>
                </w:p>
              </w:tc>
              <w:tc>
                <w:tcPr>
                  <w:tcW w:w="317" w:type="pct"/>
                  <w:noWrap w:val="0"/>
                  <w:vAlign w:val="center"/>
                </w:tcPr>
                <w:p w14:paraId="1CAC3B2F">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left="0" w:leftChars="0"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vertAlign w:val="baseline"/>
                      <w:lang w:val="en-US" w:eastAsia="zh-CN" w:bidi="ar-SA"/>
                    </w:rPr>
                    <w:t>/</w:t>
                  </w:r>
                </w:p>
              </w:tc>
              <w:tc>
                <w:tcPr>
                  <w:tcW w:w="395" w:type="pct"/>
                  <w:noWrap w:val="0"/>
                  <w:vAlign w:val="center"/>
                </w:tcPr>
                <w:p w14:paraId="0A4E3035">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left="0" w:leftChars="0"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w:t>
                  </w:r>
                </w:p>
              </w:tc>
              <w:tc>
                <w:tcPr>
                  <w:tcW w:w="317" w:type="pct"/>
                  <w:noWrap w:val="0"/>
                  <w:vAlign w:val="center"/>
                </w:tcPr>
                <w:p w14:paraId="61FDF575">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left="0" w:leftChars="0"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w:t>
                  </w:r>
                </w:p>
              </w:tc>
              <w:tc>
                <w:tcPr>
                  <w:tcW w:w="397" w:type="pct"/>
                  <w:noWrap w:val="0"/>
                  <w:vAlign w:val="center"/>
                </w:tcPr>
                <w:p w14:paraId="1B683B12">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left="0" w:leftChars="0" w:firstLine="0" w:firstLineChars="0"/>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t>
                  </w:r>
                </w:p>
              </w:tc>
              <w:tc>
                <w:tcPr>
                  <w:tcW w:w="629" w:type="pct"/>
                  <w:vMerge w:val="restart"/>
                  <w:noWrap w:val="0"/>
                  <w:vAlign w:val="center"/>
                </w:tcPr>
                <w:p w14:paraId="6DE91E3C">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排入环境空气</w:t>
                  </w:r>
                </w:p>
              </w:tc>
              <w:tc>
                <w:tcPr>
                  <w:tcW w:w="238" w:type="pct"/>
                  <w:noWrap w:val="0"/>
                  <w:vAlign w:val="center"/>
                </w:tcPr>
                <w:p w14:paraId="104E7A02">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left="0" w:leftChars="0" w:firstLine="0" w:firstLineChars="0"/>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t>
                  </w:r>
                </w:p>
              </w:tc>
              <w:tc>
                <w:tcPr>
                  <w:tcW w:w="238" w:type="pct"/>
                  <w:noWrap w:val="0"/>
                  <w:vAlign w:val="center"/>
                </w:tcPr>
                <w:p w14:paraId="4B95E627">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left="0" w:leftChars="0" w:firstLine="0" w:firstLineChars="0"/>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t>
                  </w:r>
                </w:p>
              </w:tc>
              <w:tc>
                <w:tcPr>
                  <w:tcW w:w="238" w:type="pct"/>
                  <w:noWrap w:val="0"/>
                  <w:vAlign w:val="center"/>
                </w:tcPr>
                <w:p w14:paraId="1E58CBCC">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left="0" w:leftChars="0" w:firstLine="0" w:firstLineChars="0"/>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t>
                  </w:r>
                </w:p>
              </w:tc>
              <w:tc>
                <w:tcPr>
                  <w:tcW w:w="569" w:type="pct"/>
                  <w:noWrap w:val="0"/>
                  <w:vAlign w:val="center"/>
                </w:tcPr>
                <w:p w14:paraId="1BA817A9">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left="0" w:leftChars="0" w:firstLine="0" w:firstLineChars="0"/>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t>
                  </w:r>
                </w:p>
              </w:tc>
            </w:tr>
            <w:tr w14:paraId="4A4B53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238" w:type="pct"/>
                  <w:noWrap w:val="0"/>
                  <w:vAlign w:val="center"/>
                </w:tcPr>
                <w:p w14:paraId="06B9996A">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jc w:val="center"/>
                    <w:textAlignment w:val="auto"/>
                    <w:rPr>
                      <w:rFonts w:hint="default" w:ascii="Times New Roman" w:cs="Times New Roman"/>
                      <w:color w:val="auto"/>
                      <w:sz w:val="21"/>
                      <w:szCs w:val="21"/>
                      <w:highlight w:val="none"/>
                      <w:vertAlign w:val="baseline"/>
                      <w:lang w:val="en-US" w:eastAsia="zh-CN"/>
                    </w:rPr>
                  </w:pPr>
                  <w:r>
                    <w:rPr>
                      <w:rFonts w:hint="eastAsia" w:ascii="Times New Roman" w:cs="Times New Roman"/>
                      <w:color w:val="auto"/>
                      <w:sz w:val="21"/>
                      <w:szCs w:val="21"/>
                      <w:highlight w:val="none"/>
                      <w:vertAlign w:val="baseline"/>
                      <w:lang w:val="en-US" w:eastAsia="zh-CN"/>
                    </w:rPr>
                    <w:t>5</w:t>
                  </w:r>
                </w:p>
              </w:tc>
              <w:tc>
                <w:tcPr>
                  <w:tcW w:w="238" w:type="pct"/>
                  <w:vMerge w:val="continue"/>
                  <w:noWrap w:val="0"/>
                  <w:vAlign w:val="center"/>
                </w:tcPr>
                <w:p w14:paraId="5722D9E1">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left="0" w:leftChars="0" w:firstLine="0" w:firstLineChars="0"/>
                    <w:jc w:val="center"/>
                    <w:textAlignment w:val="auto"/>
                    <w:rPr>
                      <w:rFonts w:hint="eastAsia" w:ascii="Times New Roman" w:hAnsi="Times New Roman" w:cs="Times New Roman"/>
                      <w:color w:val="auto"/>
                      <w:sz w:val="21"/>
                      <w:szCs w:val="21"/>
                      <w:highlight w:val="none"/>
                      <w:vertAlign w:val="baseline"/>
                      <w:lang w:val="en-US" w:eastAsia="zh-CN"/>
                    </w:rPr>
                  </w:pPr>
                </w:p>
              </w:tc>
              <w:tc>
                <w:tcPr>
                  <w:tcW w:w="317" w:type="pct"/>
                  <w:noWrap w:val="0"/>
                  <w:vAlign w:val="center"/>
                </w:tcPr>
                <w:p w14:paraId="628B2389">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left="0" w:leftChars="0" w:firstLine="0" w:firstLineChars="0"/>
                    <w:jc w:val="center"/>
                    <w:textAlignment w:val="auto"/>
                    <w:rPr>
                      <w:rFonts w:hint="eastAsia" w:ascii="Times New Roman" w:cs="Times New Roman"/>
                      <w:color w:val="auto"/>
                      <w:sz w:val="21"/>
                      <w:szCs w:val="21"/>
                      <w:highlight w:val="none"/>
                      <w:vertAlign w:val="baseline"/>
                      <w:lang w:val="en-US" w:eastAsia="zh-CN"/>
                    </w:rPr>
                  </w:pPr>
                  <w:r>
                    <w:rPr>
                      <w:rFonts w:hint="eastAsia" w:ascii="Times New Roman" w:cs="Times New Roman"/>
                      <w:color w:val="auto"/>
                      <w:sz w:val="21"/>
                      <w:szCs w:val="21"/>
                      <w:highlight w:val="none"/>
                      <w:vertAlign w:val="baseline"/>
                      <w:lang w:val="en-US" w:eastAsia="zh-CN"/>
                    </w:rPr>
                    <w:t>硫酸雾</w:t>
                  </w:r>
                </w:p>
              </w:tc>
              <w:tc>
                <w:tcPr>
                  <w:tcW w:w="316" w:type="pct"/>
                  <w:noWrap w:val="0"/>
                  <w:vAlign w:val="center"/>
                </w:tcPr>
                <w:p w14:paraId="517FF74A">
                  <w:pPr>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cs="Times New Roman"/>
                      <w:color w:val="auto"/>
                      <w:sz w:val="21"/>
                      <w:szCs w:val="21"/>
                      <w:highlight w:val="none"/>
                      <w:vertAlign w:val="baseline"/>
                      <w:lang w:val="en-US" w:eastAsia="zh-CN"/>
                    </w:rPr>
                    <w:t>无组织</w:t>
                  </w:r>
                </w:p>
              </w:tc>
              <w:tc>
                <w:tcPr>
                  <w:tcW w:w="551" w:type="pct"/>
                  <w:vMerge w:val="continue"/>
                  <w:noWrap w:val="0"/>
                  <w:vAlign w:val="center"/>
                </w:tcPr>
                <w:p w14:paraId="44767F00">
                  <w:pPr>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rPr>
                      <w:rFonts w:hint="eastAsia" w:ascii="Times New Roman" w:cs="Times New Roman"/>
                      <w:color w:val="auto"/>
                      <w:sz w:val="21"/>
                      <w:szCs w:val="21"/>
                      <w:highlight w:val="none"/>
                      <w:vertAlign w:val="baseline"/>
                      <w:lang w:val="en-US" w:eastAsia="zh-CN"/>
                    </w:rPr>
                  </w:pPr>
                </w:p>
              </w:tc>
              <w:tc>
                <w:tcPr>
                  <w:tcW w:w="317" w:type="pct"/>
                  <w:noWrap w:val="0"/>
                  <w:vAlign w:val="center"/>
                </w:tcPr>
                <w:p w14:paraId="5DE55B16">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left="0" w:leftChars="0"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vertAlign w:val="baseline"/>
                      <w:lang w:val="en-US" w:eastAsia="zh-CN" w:bidi="ar-SA"/>
                    </w:rPr>
                    <w:t>/</w:t>
                  </w:r>
                </w:p>
              </w:tc>
              <w:tc>
                <w:tcPr>
                  <w:tcW w:w="395" w:type="pct"/>
                  <w:noWrap w:val="0"/>
                  <w:vAlign w:val="center"/>
                </w:tcPr>
                <w:p w14:paraId="13835423">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left="0" w:leftChars="0"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w:t>
                  </w:r>
                </w:p>
              </w:tc>
              <w:tc>
                <w:tcPr>
                  <w:tcW w:w="317" w:type="pct"/>
                  <w:noWrap w:val="0"/>
                  <w:vAlign w:val="center"/>
                </w:tcPr>
                <w:p w14:paraId="02E032C6">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left="0" w:leftChars="0"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w:t>
                  </w:r>
                </w:p>
              </w:tc>
              <w:tc>
                <w:tcPr>
                  <w:tcW w:w="397" w:type="pct"/>
                  <w:noWrap w:val="0"/>
                  <w:vAlign w:val="center"/>
                </w:tcPr>
                <w:p w14:paraId="7C60522A">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left="0" w:leftChars="0" w:firstLine="0" w:firstLineChars="0"/>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t>
                  </w:r>
                </w:p>
              </w:tc>
              <w:tc>
                <w:tcPr>
                  <w:tcW w:w="629" w:type="pct"/>
                  <w:vMerge w:val="continue"/>
                  <w:noWrap w:val="0"/>
                  <w:vAlign w:val="center"/>
                </w:tcPr>
                <w:p w14:paraId="65946999">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left="0" w:leftChars="0" w:firstLine="0" w:firstLineChars="0"/>
                    <w:jc w:val="center"/>
                    <w:textAlignment w:val="auto"/>
                    <w:rPr>
                      <w:rFonts w:hint="eastAsia" w:ascii="Times New Roman" w:hAnsi="Times New Roman" w:cs="Times New Roman"/>
                      <w:color w:val="auto"/>
                      <w:sz w:val="21"/>
                      <w:szCs w:val="21"/>
                      <w:highlight w:val="none"/>
                      <w:vertAlign w:val="baseline"/>
                      <w:lang w:val="en-US" w:eastAsia="zh-CN"/>
                    </w:rPr>
                  </w:pPr>
                </w:p>
              </w:tc>
              <w:tc>
                <w:tcPr>
                  <w:tcW w:w="238" w:type="pct"/>
                  <w:noWrap w:val="0"/>
                  <w:vAlign w:val="center"/>
                </w:tcPr>
                <w:p w14:paraId="4BEF0C8B">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left="0" w:leftChars="0" w:firstLine="0" w:firstLineChars="0"/>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t>
                  </w:r>
                </w:p>
              </w:tc>
              <w:tc>
                <w:tcPr>
                  <w:tcW w:w="238" w:type="pct"/>
                  <w:noWrap w:val="0"/>
                  <w:vAlign w:val="center"/>
                </w:tcPr>
                <w:p w14:paraId="7D23BF12">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left="0" w:leftChars="0" w:firstLine="0" w:firstLineChars="0"/>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t>
                  </w:r>
                </w:p>
              </w:tc>
              <w:tc>
                <w:tcPr>
                  <w:tcW w:w="238" w:type="pct"/>
                  <w:noWrap w:val="0"/>
                  <w:vAlign w:val="center"/>
                </w:tcPr>
                <w:p w14:paraId="0886AB5E">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left="0" w:leftChars="0" w:firstLine="0" w:firstLineChars="0"/>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t>
                  </w:r>
                </w:p>
              </w:tc>
              <w:tc>
                <w:tcPr>
                  <w:tcW w:w="569" w:type="pct"/>
                  <w:noWrap w:val="0"/>
                  <w:vAlign w:val="center"/>
                </w:tcPr>
                <w:p w14:paraId="3F21CB82">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left="0" w:leftChars="0" w:firstLine="0" w:firstLineChars="0"/>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t>
                  </w:r>
                </w:p>
              </w:tc>
            </w:tr>
            <w:tr w14:paraId="05B620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238" w:type="pct"/>
                  <w:noWrap w:val="0"/>
                  <w:vAlign w:val="center"/>
                </w:tcPr>
                <w:p w14:paraId="6EE4C727">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jc w:val="center"/>
                    <w:textAlignment w:val="auto"/>
                    <w:rPr>
                      <w:rFonts w:hint="default" w:ascii="Times New Roman" w:cs="Times New Roman"/>
                      <w:color w:val="auto"/>
                      <w:sz w:val="21"/>
                      <w:szCs w:val="21"/>
                      <w:highlight w:val="none"/>
                      <w:vertAlign w:val="baseline"/>
                      <w:lang w:val="en-US" w:eastAsia="zh-CN"/>
                    </w:rPr>
                  </w:pPr>
                  <w:r>
                    <w:rPr>
                      <w:rFonts w:hint="eastAsia" w:ascii="Times New Roman" w:cs="Times New Roman"/>
                      <w:color w:val="auto"/>
                      <w:sz w:val="21"/>
                      <w:szCs w:val="21"/>
                      <w:highlight w:val="none"/>
                      <w:vertAlign w:val="baseline"/>
                      <w:lang w:val="en-US" w:eastAsia="zh-CN"/>
                    </w:rPr>
                    <w:t>6</w:t>
                  </w:r>
                </w:p>
              </w:tc>
              <w:tc>
                <w:tcPr>
                  <w:tcW w:w="238" w:type="pct"/>
                  <w:vMerge w:val="continue"/>
                  <w:noWrap w:val="0"/>
                  <w:vAlign w:val="center"/>
                </w:tcPr>
                <w:p w14:paraId="0010DD1F">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left="0" w:leftChars="0" w:firstLine="0" w:firstLineChars="0"/>
                    <w:jc w:val="center"/>
                    <w:textAlignment w:val="auto"/>
                    <w:rPr>
                      <w:rFonts w:hint="eastAsia" w:ascii="Times New Roman" w:hAnsi="Times New Roman" w:cs="Times New Roman"/>
                      <w:color w:val="auto"/>
                      <w:sz w:val="21"/>
                      <w:szCs w:val="21"/>
                      <w:highlight w:val="none"/>
                      <w:vertAlign w:val="baseline"/>
                      <w:lang w:val="en-US" w:eastAsia="zh-CN"/>
                    </w:rPr>
                  </w:pPr>
                </w:p>
              </w:tc>
              <w:tc>
                <w:tcPr>
                  <w:tcW w:w="317" w:type="pct"/>
                  <w:noWrap w:val="0"/>
                  <w:vAlign w:val="center"/>
                </w:tcPr>
                <w:p w14:paraId="57E184F7">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left="0" w:leftChars="0" w:firstLine="0" w:firstLineChars="0"/>
                    <w:jc w:val="center"/>
                    <w:textAlignment w:val="auto"/>
                    <w:rPr>
                      <w:rFonts w:hint="eastAsia" w:ascii="Times New Roman" w:cs="Times New Roman"/>
                      <w:color w:val="auto"/>
                      <w:sz w:val="21"/>
                      <w:szCs w:val="21"/>
                      <w:highlight w:val="none"/>
                      <w:vertAlign w:val="baseline"/>
                      <w:lang w:val="en-US" w:eastAsia="zh-CN"/>
                    </w:rPr>
                  </w:pPr>
                  <w:r>
                    <w:rPr>
                      <w:rFonts w:hint="eastAsia" w:ascii="Times New Roman" w:cs="Times New Roman"/>
                      <w:color w:val="auto"/>
                      <w:sz w:val="21"/>
                      <w:szCs w:val="21"/>
                      <w:highlight w:val="none"/>
                      <w:vertAlign w:val="baseline"/>
                      <w:lang w:val="en-US" w:eastAsia="zh-CN"/>
                    </w:rPr>
                    <w:t>氯化氢</w:t>
                  </w:r>
                </w:p>
              </w:tc>
              <w:tc>
                <w:tcPr>
                  <w:tcW w:w="316" w:type="pct"/>
                  <w:noWrap w:val="0"/>
                  <w:vAlign w:val="center"/>
                </w:tcPr>
                <w:p w14:paraId="365AF59D">
                  <w:pPr>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cs="Times New Roman"/>
                      <w:color w:val="auto"/>
                      <w:sz w:val="21"/>
                      <w:szCs w:val="21"/>
                      <w:highlight w:val="none"/>
                      <w:vertAlign w:val="baseline"/>
                      <w:lang w:val="en-US" w:eastAsia="zh-CN"/>
                    </w:rPr>
                    <w:t>无组织</w:t>
                  </w:r>
                </w:p>
              </w:tc>
              <w:tc>
                <w:tcPr>
                  <w:tcW w:w="551" w:type="pct"/>
                  <w:vMerge w:val="continue"/>
                  <w:noWrap w:val="0"/>
                  <w:vAlign w:val="center"/>
                </w:tcPr>
                <w:p w14:paraId="7608D8B6">
                  <w:pPr>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rPr>
                      <w:rFonts w:hint="eastAsia" w:ascii="Times New Roman" w:cs="Times New Roman"/>
                      <w:color w:val="auto"/>
                      <w:sz w:val="21"/>
                      <w:szCs w:val="21"/>
                      <w:highlight w:val="none"/>
                      <w:vertAlign w:val="baseline"/>
                      <w:lang w:val="en-US" w:eastAsia="zh-CN"/>
                    </w:rPr>
                  </w:pPr>
                </w:p>
              </w:tc>
              <w:tc>
                <w:tcPr>
                  <w:tcW w:w="317" w:type="pct"/>
                  <w:noWrap w:val="0"/>
                  <w:vAlign w:val="center"/>
                </w:tcPr>
                <w:p w14:paraId="26B96853">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left="0" w:leftChars="0"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vertAlign w:val="baseline"/>
                      <w:lang w:val="en-US" w:eastAsia="zh-CN" w:bidi="ar-SA"/>
                    </w:rPr>
                    <w:t>/</w:t>
                  </w:r>
                </w:p>
              </w:tc>
              <w:tc>
                <w:tcPr>
                  <w:tcW w:w="395" w:type="pct"/>
                  <w:noWrap w:val="0"/>
                  <w:vAlign w:val="center"/>
                </w:tcPr>
                <w:p w14:paraId="39158E0B">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left="0" w:leftChars="0"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w:t>
                  </w:r>
                </w:p>
              </w:tc>
              <w:tc>
                <w:tcPr>
                  <w:tcW w:w="317" w:type="pct"/>
                  <w:noWrap w:val="0"/>
                  <w:vAlign w:val="center"/>
                </w:tcPr>
                <w:p w14:paraId="50DDC310">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left="0" w:leftChars="0"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w:t>
                  </w:r>
                </w:p>
              </w:tc>
              <w:tc>
                <w:tcPr>
                  <w:tcW w:w="397" w:type="pct"/>
                  <w:noWrap w:val="0"/>
                  <w:vAlign w:val="center"/>
                </w:tcPr>
                <w:p w14:paraId="6EFDA670">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left="0" w:leftChars="0" w:firstLine="0" w:firstLineChars="0"/>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t>
                  </w:r>
                </w:p>
              </w:tc>
              <w:tc>
                <w:tcPr>
                  <w:tcW w:w="629" w:type="pct"/>
                  <w:vMerge w:val="continue"/>
                  <w:noWrap w:val="0"/>
                  <w:vAlign w:val="center"/>
                </w:tcPr>
                <w:p w14:paraId="772DFF91">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left="0" w:leftChars="0" w:firstLine="0" w:firstLineChars="0"/>
                    <w:jc w:val="center"/>
                    <w:textAlignment w:val="auto"/>
                    <w:rPr>
                      <w:rFonts w:hint="eastAsia" w:ascii="Times New Roman" w:hAnsi="Times New Roman" w:cs="Times New Roman"/>
                      <w:color w:val="auto"/>
                      <w:sz w:val="21"/>
                      <w:szCs w:val="21"/>
                      <w:highlight w:val="none"/>
                      <w:vertAlign w:val="baseline"/>
                      <w:lang w:val="en-US" w:eastAsia="zh-CN"/>
                    </w:rPr>
                  </w:pPr>
                </w:p>
              </w:tc>
              <w:tc>
                <w:tcPr>
                  <w:tcW w:w="238" w:type="pct"/>
                  <w:noWrap w:val="0"/>
                  <w:vAlign w:val="center"/>
                </w:tcPr>
                <w:p w14:paraId="51D749BE">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left="0" w:leftChars="0" w:firstLine="0" w:firstLineChars="0"/>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t>
                  </w:r>
                </w:p>
              </w:tc>
              <w:tc>
                <w:tcPr>
                  <w:tcW w:w="238" w:type="pct"/>
                  <w:noWrap w:val="0"/>
                  <w:vAlign w:val="center"/>
                </w:tcPr>
                <w:p w14:paraId="5F54B8E6">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left="0" w:leftChars="0" w:firstLine="0" w:firstLineChars="0"/>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t>
                  </w:r>
                </w:p>
              </w:tc>
              <w:tc>
                <w:tcPr>
                  <w:tcW w:w="238" w:type="pct"/>
                  <w:noWrap w:val="0"/>
                  <w:vAlign w:val="center"/>
                </w:tcPr>
                <w:p w14:paraId="2D576A97">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left="0" w:leftChars="0" w:firstLine="0" w:firstLineChars="0"/>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t>
                  </w:r>
                </w:p>
              </w:tc>
              <w:tc>
                <w:tcPr>
                  <w:tcW w:w="569" w:type="pct"/>
                  <w:noWrap w:val="0"/>
                  <w:vAlign w:val="center"/>
                </w:tcPr>
                <w:p w14:paraId="7F8E6C1C">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left="0" w:leftChars="0" w:firstLine="0" w:firstLineChars="0"/>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w:t>
                  </w:r>
                </w:p>
              </w:tc>
            </w:tr>
          </w:tbl>
          <w:p w14:paraId="17B790BD">
            <w:pPr>
              <w:pStyle w:val="36"/>
              <w:keepNext w:val="0"/>
              <w:keepLines w:val="0"/>
              <w:pageBreakBefore w:val="0"/>
              <w:widowControl w:val="0"/>
              <w:numPr>
                <w:ilvl w:val="0"/>
                <w:numId w:val="0"/>
              </w:numPr>
              <w:kinsoku/>
              <w:wordWrap/>
              <w:overflowPunct/>
              <w:topLinePunct w:val="0"/>
              <w:bidi w:val="0"/>
              <w:adjustRightInd w:val="0"/>
              <w:snapToGrid/>
              <w:spacing w:before="0" w:beforeLines="0" w:line="360" w:lineRule="auto"/>
              <w:ind w:leftChars="200" w:right="0" w:rightChars="0"/>
              <w:jc w:val="left"/>
              <w:textAlignment w:val="auto"/>
              <w:rPr>
                <w:rFonts w:hint="default" w:ascii="Times New Roman" w:hAnsi="Times New Roman" w:cs="Times New Roman"/>
                <w:b/>
                <w:bCs/>
                <w:color w:val="auto"/>
                <w:sz w:val="18"/>
                <w:szCs w:val="18"/>
                <w:highlight w:val="none"/>
                <w:lang w:val="en-US" w:eastAsia="zh-CN"/>
              </w:rPr>
            </w:pPr>
            <w:r>
              <w:rPr>
                <w:rFonts w:hint="eastAsia" w:ascii="Times New Roman" w:cs="Times New Roman"/>
                <w:b/>
                <w:bCs/>
                <w:color w:val="auto"/>
                <w:sz w:val="18"/>
                <w:szCs w:val="18"/>
                <w:highlight w:val="none"/>
                <w:lang w:val="en-US" w:eastAsia="zh-CN"/>
              </w:rPr>
              <w:t>*废气量为2025年例行监测报告中数据计算出的平均值。</w:t>
            </w:r>
          </w:p>
          <w:p w14:paraId="1AC9B208">
            <w:pPr>
              <w:pStyle w:val="36"/>
              <w:keepNext w:val="0"/>
              <w:keepLines w:val="0"/>
              <w:pageBreakBefore w:val="0"/>
              <w:widowControl w:val="0"/>
              <w:numPr>
                <w:ilvl w:val="0"/>
                <w:numId w:val="30"/>
              </w:numPr>
              <w:kinsoku/>
              <w:wordWrap/>
              <w:overflowPunct/>
              <w:topLinePunct w:val="0"/>
              <w:bidi w:val="0"/>
              <w:adjustRightInd w:val="0"/>
              <w:snapToGrid/>
              <w:spacing w:before="0" w:beforeLines="0" w:line="360" w:lineRule="auto"/>
              <w:ind w:left="0" w:leftChars="0" w:firstLine="482" w:firstLineChars="200"/>
              <w:jc w:val="left"/>
              <w:textAlignment w:val="auto"/>
              <w:rPr>
                <w:rFonts w:hint="eastAsia" w:ascii="Times New Roman" w:hAnsi="Times New Roman" w:cs="Times New Roman"/>
                <w:b/>
                <w:bCs/>
                <w:color w:val="auto"/>
                <w:sz w:val="24"/>
                <w:szCs w:val="24"/>
                <w:highlight w:val="none"/>
                <w:lang w:val="en-US" w:eastAsia="zh-CN"/>
              </w:rPr>
            </w:pPr>
            <w:r>
              <w:rPr>
                <w:rFonts w:hint="eastAsia" w:ascii="Times New Roman" w:hAnsi="Times New Roman" w:cs="Times New Roman"/>
                <w:b/>
                <w:bCs/>
                <w:color w:val="auto"/>
                <w:sz w:val="24"/>
                <w:szCs w:val="24"/>
                <w:highlight w:val="none"/>
                <w:lang w:val="en-US" w:eastAsia="zh-CN"/>
              </w:rPr>
              <w:t>污染源强核算</w:t>
            </w:r>
          </w:p>
          <w:p w14:paraId="43002BAE">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360" w:lineRule="auto"/>
              <w:ind w:firstLine="480" w:firstLineChars="200"/>
              <w:jc w:val="left"/>
              <w:textAlignment w:val="auto"/>
              <w:rPr>
                <w:rFonts w:hint="eastAsia" w:ascii="Times New Roman" w:hAnsi="Times New Roman" w:eastAsia="宋体" w:cs="Times New Roman"/>
                <w:b/>
                <w:bCs/>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本项目源强核算采用</w:t>
            </w:r>
            <w:r>
              <w:rPr>
                <w:rFonts w:hint="eastAsia" w:ascii="Times New Roman" w:cs="Times New Roman"/>
                <w:color w:val="auto"/>
                <w:sz w:val="24"/>
                <w:szCs w:val="24"/>
                <w:highlight w:val="none"/>
                <w:lang w:val="en-US" w:eastAsia="zh-CN"/>
              </w:rPr>
              <w:t>类比</w:t>
            </w:r>
            <w:r>
              <w:rPr>
                <w:rFonts w:hint="eastAsia" w:ascii="Times New Roman" w:hAnsi="Times New Roman" w:eastAsia="宋体" w:cs="Times New Roman"/>
                <w:color w:val="auto"/>
                <w:sz w:val="24"/>
                <w:szCs w:val="24"/>
                <w:highlight w:val="none"/>
                <w:lang w:val="en-US" w:eastAsia="zh-CN"/>
              </w:rPr>
              <w:t>法。</w:t>
            </w:r>
            <w:r>
              <w:rPr>
                <w:rFonts w:hint="default" w:ascii="Times New Roman" w:hAnsi="Times New Roman" w:eastAsia="宋体" w:cs="Times New Roman"/>
                <w:color w:val="auto"/>
                <w:sz w:val="24"/>
                <w:szCs w:val="24"/>
                <w:highlight w:val="none"/>
              </w:rPr>
              <w:t>核算情况见</w:t>
            </w:r>
            <w:r>
              <w:rPr>
                <w:rFonts w:hint="eastAsia" w:ascii="Times New Roman" w:cs="Times New Roman"/>
                <w:color w:val="auto"/>
                <w:sz w:val="24"/>
                <w:szCs w:val="24"/>
                <w:highlight w:val="none"/>
                <w:lang w:val="en-US" w:eastAsia="zh-CN"/>
              </w:rPr>
              <w:t>下表。</w:t>
            </w:r>
          </w:p>
          <w:p w14:paraId="312143FA">
            <w:pPr>
              <w:keepNext w:val="0"/>
              <w:keepLines w:val="0"/>
              <w:pageBreakBefore w:val="0"/>
              <w:widowControl w:val="0"/>
              <w:numPr>
                <w:ilvl w:val="0"/>
                <w:numId w:val="31"/>
              </w:numPr>
              <w:kinsoku/>
              <w:wordWrap/>
              <w:overflowPunct/>
              <w:topLinePunct w:val="0"/>
              <w:autoSpaceDE w:val="0"/>
              <w:autoSpaceDN w:val="0"/>
              <w:bidi w:val="0"/>
              <w:adjustRightInd w:val="0"/>
              <w:snapToGrid/>
              <w:spacing w:line="360" w:lineRule="auto"/>
              <w:ind w:left="3150" w:leftChars="0" w:hanging="3110" w:firstLineChars="0"/>
              <w:jc w:val="center"/>
              <w:textAlignment w:val="auto"/>
              <w:rPr>
                <w:rFonts w:hint="default" w:ascii="宋体" w:hAnsi="宋体" w:eastAsia="宋体" w:cs="宋体"/>
                <w:b/>
                <w:bCs/>
                <w:color w:val="auto"/>
                <w:kern w:val="0"/>
                <w:sz w:val="24"/>
                <w:szCs w:val="24"/>
                <w:lang w:val="en-US" w:eastAsia="zh-CN" w:bidi="ar"/>
              </w:rPr>
            </w:pPr>
            <w:r>
              <w:rPr>
                <w:rFonts w:hint="eastAsia" w:ascii="宋体" w:hAnsi="宋体" w:eastAsia="宋体" w:cs="宋体"/>
                <w:b/>
                <w:bCs/>
                <w:color w:val="auto"/>
                <w:kern w:val="0"/>
                <w:sz w:val="24"/>
                <w:szCs w:val="24"/>
                <w:lang w:val="en-US" w:eastAsia="zh-CN" w:bidi="ar"/>
              </w:rPr>
              <w:t>废气污染物源强核算情况一览表</w:t>
            </w:r>
          </w:p>
          <w:tbl>
            <w:tblPr>
              <w:tblStyle w:val="28"/>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8"/>
              <w:gridCol w:w="882"/>
              <w:gridCol w:w="882"/>
              <w:gridCol w:w="906"/>
              <w:gridCol w:w="1265"/>
              <w:gridCol w:w="1081"/>
              <w:gridCol w:w="1534"/>
              <w:gridCol w:w="1100"/>
              <w:gridCol w:w="1103"/>
              <w:gridCol w:w="906"/>
              <w:gridCol w:w="1100"/>
              <w:gridCol w:w="1106"/>
              <w:gridCol w:w="956"/>
            </w:tblGrid>
            <w:tr w14:paraId="34390D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44" w:type="pct"/>
                  <w:vMerge w:val="restart"/>
                  <w:noWrap w:val="0"/>
                  <w:vAlign w:val="center"/>
                </w:tcPr>
                <w:p w14:paraId="58B22BCB">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firstLine="0"/>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工序</w:t>
                  </w:r>
                </w:p>
              </w:tc>
              <w:tc>
                <w:tcPr>
                  <w:tcW w:w="327" w:type="pct"/>
                  <w:vMerge w:val="restart"/>
                  <w:noWrap w:val="0"/>
                  <w:vAlign w:val="center"/>
                </w:tcPr>
                <w:p w14:paraId="48EED084">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firstLine="0"/>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排放</w:t>
                  </w:r>
                  <w:r>
                    <w:rPr>
                      <w:rFonts w:hint="eastAsia" w:ascii="Times New Roman" w:cs="Times New Roman"/>
                      <w:b/>
                      <w:bCs/>
                      <w:color w:val="auto"/>
                      <w:sz w:val="21"/>
                      <w:szCs w:val="21"/>
                      <w:highlight w:val="none"/>
                      <w:vertAlign w:val="baseline"/>
                      <w:lang w:val="en-US" w:eastAsia="zh-CN"/>
                    </w:rPr>
                    <w:t>口</w:t>
                  </w:r>
                </w:p>
              </w:tc>
              <w:tc>
                <w:tcPr>
                  <w:tcW w:w="327" w:type="pct"/>
                  <w:vMerge w:val="restart"/>
                  <w:noWrap w:val="0"/>
                  <w:vAlign w:val="center"/>
                </w:tcPr>
                <w:p w14:paraId="3A500FDE">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firstLine="0"/>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污染物</w:t>
                  </w:r>
                </w:p>
                <w:p w14:paraId="1BCFE88B">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firstLine="0"/>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种类</w:t>
                  </w:r>
                </w:p>
              </w:tc>
              <w:tc>
                <w:tcPr>
                  <w:tcW w:w="1206" w:type="pct"/>
                  <w:gridSpan w:val="3"/>
                  <w:noWrap w:val="0"/>
                  <w:vAlign w:val="center"/>
                </w:tcPr>
                <w:p w14:paraId="3136F0D6">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firstLine="0"/>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污染物产生</w:t>
                  </w:r>
                </w:p>
              </w:tc>
              <w:tc>
                <w:tcPr>
                  <w:tcW w:w="1386" w:type="pct"/>
                  <w:gridSpan w:val="3"/>
                  <w:noWrap w:val="0"/>
                  <w:vAlign w:val="center"/>
                </w:tcPr>
                <w:p w14:paraId="5051D616">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firstLine="0"/>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治理措施</w:t>
                  </w:r>
                </w:p>
              </w:tc>
              <w:tc>
                <w:tcPr>
                  <w:tcW w:w="1154" w:type="pct"/>
                  <w:gridSpan w:val="3"/>
                  <w:noWrap w:val="0"/>
                  <w:vAlign w:val="center"/>
                </w:tcPr>
                <w:p w14:paraId="671296E1">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firstLine="0"/>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污染物排放</w:t>
                  </w:r>
                </w:p>
              </w:tc>
              <w:tc>
                <w:tcPr>
                  <w:tcW w:w="354" w:type="pct"/>
                  <w:vMerge w:val="restart"/>
                  <w:noWrap w:val="0"/>
                  <w:vAlign w:val="center"/>
                </w:tcPr>
                <w:p w14:paraId="7B5F9459">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firstLine="0"/>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排放</w:t>
                  </w:r>
                </w:p>
                <w:p w14:paraId="34DA9597">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firstLine="0"/>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时间</w:t>
                  </w:r>
                </w:p>
                <w:p w14:paraId="170723D0">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firstLine="0"/>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（h/a）</w:t>
                  </w:r>
                </w:p>
              </w:tc>
            </w:tr>
            <w:tr w14:paraId="272E8A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4" w:type="pct"/>
                  <w:vMerge w:val="continue"/>
                  <w:noWrap w:val="0"/>
                  <w:vAlign w:val="center"/>
                </w:tcPr>
                <w:p w14:paraId="509B9A0F">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firstLine="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327" w:type="pct"/>
                  <w:vMerge w:val="continue"/>
                  <w:noWrap w:val="0"/>
                  <w:vAlign w:val="center"/>
                </w:tcPr>
                <w:p w14:paraId="3683634C">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firstLine="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327" w:type="pct"/>
                  <w:vMerge w:val="continue"/>
                  <w:noWrap w:val="0"/>
                  <w:vAlign w:val="center"/>
                </w:tcPr>
                <w:p w14:paraId="1F5798B2">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firstLine="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336" w:type="pct"/>
                  <w:noWrap w:val="0"/>
                  <w:vAlign w:val="center"/>
                </w:tcPr>
                <w:p w14:paraId="14A66B4F">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firstLine="0"/>
                    <w:jc w:val="center"/>
                    <w:textAlignment w:val="auto"/>
                    <w:rPr>
                      <w:rFonts w:hint="eastAsia" w:ascii="Times New Roman" w:hAnsi="Times New Roman" w:eastAsia="宋体" w:cs="Times New Roman"/>
                      <w:b/>
                      <w:bCs/>
                      <w:color w:val="auto"/>
                      <w:sz w:val="21"/>
                      <w:szCs w:val="21"/>
                      <w:highlight w:val="none"/>
                      <w:vertAlign w:val="baseline"/>
                      <w:lang w:val="en-US" w:eastAsia="zh-CN"/>
                    </w:rPr>
                  </w:pPr>
                  <w:r>
                    <w:rPr>
                      <w:rFonts w:hint="eastAsia" w:ascii="Times New Roman" w:hAnsi="Times New Roman" w:eastAsia="宋体" w:cs="Times New Roman"/>
                      <w:b/>
                      <w:bCs/>
                      <w:color w:val="auto"/>
                      <w:sz w:val="21"/>
                      <w:szCs w:val="21"/>
                      <w:highlight w:val="none"/>
                      <w:vertAlign w:val="baseline"/>
                      <w:lang w:val="en-US" w:eastAsia="zh-CN"/>
                    </w:rPr>
                    <w:t>产生量</w:t>
                  </w:r>
                </w:p>
                <w:p w14:paraId="2F479262">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firstLine="0"/>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eastAsia" w:ascii="Times New Roman" w:hAnsi="Times New Roman" w:eastAsia="宋体" w:cs="Times New Roman"/>
                      <w:b/>
                      <w:bCs/>
                      <w:color w:val="auto"/>
                      <w:sz w:val="21"/>
                      <w:szCs w:val="21"/>
                      <w:highlight w:val="none"/>
                      <w:vertAlign w:val="baseline"/>
                      <w:lang w:val="en-US" w:eastAsia="zh-CN"/>
                    </w:rPr>
                    <w:t>（t/a）</w:t>
                  </w:r>
                </w:p>
              </w:tc>
              <w:tc>
                <w:tcPr>
                  <w:tcW w:w="469" w:type="pct"/>
                  <w:noWrap w:val="0"/>
                  <w:vAlign w:val="center"/>
                </w:tcPr>
                <w:p w14:paraId="7E4AD1E3">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产生浓度</w:t>
                  </w:r>
                </w:p>
                <w:p w14:paraId="71385674">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left="0" w:leftChars="0" w:firstLine="0" w:firstLineChars="0"/>
                    <w:jc w:val="center"/>
                    <w:textAlignment w:val="auto"/>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b/>
                      <w:bCs/>
                      <w:color w:val="auto"/>
                      <w:sz w:val="21"/>
                      <w:szCs w:val="21"/>
                      <w:highlight w:val="none"/>
                      <w:vertAlign w:val="baseline"/>
                      <w:lang w:val="en-US" w:eastAsia="zh-CN"/>
                    </w:rPr>
                    <w:t>（mg/m</w:t>
                  </w:r>
                  <w:r>
                    <w:rPr>
                      <w:rFonts w:hint="default" w:ascii="Times New Roman" w:hAnsi="Times New Roman" w:eastAsia="宋体" w:cs="Times New Roman"/>
                      <w:b/>
                      <w:bCs/>
                      <w:color w:val="auto"/>
                      <w:sz w:val="21"/>
                      <w:szCs w:val="21"/>
                      <w:highlight w:val="none"/>
                      <w:vertAlign w:val="superscript"/>
                      <w:lang w:val="en-US" w:eastAsia="zh-CN"/>
                    </w:rPr>
                    <w:t>3</w:t>
                  </w:r>
                  <w:r>
                    <w:rPr>
                      <w:rFonts w:hint="default" w:ascii="Times New Roman" w:hAnsi="Times New Roman" w:eastAsia="宋体" w:cs="Times New Roman"/>
                      <w:b/>
                      <w:bCs/>
                      <w:color w:val="auto"/>
                      <w:sz w:val="21"/>
                      <w:szCs w:val="21"/>
                      <w:highlight w:val="none"/>
                      <w:vertAlign w:val="baseline"/>
                      <w:lang w:val="en-US" w:eastAsia="zh-CN"/>
                    </w:rPr>
                    <w:t>）</w:t>
                  </w:r>
                </w:p>
              </w:tc>
              <w:tc>
                <w:tcPr>
                  <w:tcW w:w="400" w:type="pct"/>
                  <w:noWrap w:val="0"/>
                  <w:vAlign w:val="center"/>
                </w:tcPr>
                <w:p w14:paraId="55A80317">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firstLine="0"/>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速率</w:t>
                  </w:r>
                </w:p>
                <w:p w14:paraId="6194B885">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firstLine="0"/>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（kg/h）</w:t>
                  </w:r>
                </w:p>
              </w:tc>
              <w:tc>
                <w:tcPr>
                  <w:tcW w:w="569" w:type="pct"/>
                  <w:noWrap w:val="0"/>
                  <w:vAlign w:val="center"/>
                </w:tcPr>
                <w:p w14:paraId="4EAEBF3E">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firstLine="0"/>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工艺</w:t>
                  </w:r>
                </w:p>
              </w:tc>
              <w:tc>
                <w:tcPr>
                  <w:tcW w:w="408" w:type="pct"/>
                  <w:noWrap w:val="0"/>
                  <w:vAlign w:val="center"/>
                </w:tcPr>
                <w:p w14:paraId="06AD56A3">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firstLine="0"/>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处理效</w:t>
                  </w:r>
                </w:p>
                <w:p w14:paraId="59409FD9">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firstLine="0"/>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率（%）</w:t>
                  </w:r>
                </w:p>
              </w:tc>
              <w:tc>
                <w:tcPr>
                  <w:tcW w:w="409" w:type="pct"/>
                  <w:noWrap w:val="0"/>
                  <w:vAlign w:val="center"/>
                </w:tcPr>
                <w:p w14:paraId="51B70BA1">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firstLine="0"/>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废气量</w:t>
                  </w:r>
                </w:p>
                <w:p w14:paraId="217D4F2F">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firstLine="0"/>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（m</w:t>
                  </w:r>
                  <w:r>
                    <w:rPr>
                      <w:rFonts w:hint="default" w:ascii="Times New Roman" w:hAnsi="Times New Roman" w:eastAsia="宋体" w:cs="Times New Roman"/>
                      <w:b/>
                      <w:bCs/>
                      <w:color w:val="auto"/>
                      <w:sz w:val="21"/>
                      <w:szCs w:val="21"/>
                      <w:highlight w:val="none"/>
                      <w:vertAlign w:val="superscript"/>
                      <w:lang w:val="en-US" w:eastAsia="zh-CN"/>
                    </w:rPr>
                    <w:t>3</w:t>
                  </w:r>
                  <w:r>
                    <w:rPr>
                      <w:rFonts w:hint="default" w:ascii="Times New Roman" w:hAnsi="Times New Roman" w:eastAsia="宋体" w:cs="Times New Roman"/>
                      <w:b/>
                      <w:bCs/>
                      <w:color w:val="auto"/>
                      <w:sz w:val="21"/>
                      <w:szCs w:val="21"/>
                      <w:highlight w:val="none"/>
                      <w:vertAlign w:val="baseline"/>
                      <w:lang w:val="en-US" w:eastAsia="zh-CN"/>
                    </w:rPr>
                    <w:t>/h）</w:t>
                  </w:r>
                </w:p>
              </w:tc>
              <w:tc>
                <w:tcPr>
                  <w:tcW w:w="336" w:type="pct"/>
                  <w:noWrap w:val="0"/>
                  <w:vAlign w:val="center"/>
                </w:tcPr>
                <w:p w14:paraId="1442145E">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firstLine="0"/>
                    <w:jc w:val="center"/>
                    <w:textAlignment w:val="auto"/>
                    <w:rPr>
                      <w:rFonts w:hint="eastAsia" w:ascii="Times New Roman" w:hAnsi="Times New Roman" w:eastAsia="宋体" w:cs="Times New Roman"/>
                      <w:b/>
                      <w:bCs/>
                      <w:color w:val="auto"/>
                      <w:sz w:val="21"/>
                      <w:szCs w:val="21"/>
                      <w:highlight w:val="none"/>
                      <w:vertAlign w:val="baseline"/>
                      <w:lang w:val="en-US" w:eastAsia="zh-CN"/>
                    </w:rPr>
                  </w:pPr>
                  <w:r>
                    <w:rPr>
                      <w:rFonts w:hint="eastAsia" w:ascii="Times New Roman" w:hAnsi="Times New Roman" w:eastAsia="宋体" w:cs="Times New Roman"/>
                      <w:b/>
                      <w:bCs/>
                      <w:color w:val="auto"/>
                      <w:sz w:val="21"/>
                      <w:szCs w:val="21"/>
                      <w:highlight w:val="none"/>
                      <w:vertAlign w:val="baseline"/>
                      <w:lang w:val="en-US" w:eastAsia="zh-CN"/>
                    </w:rPr>
                    <w:t>排放量</w:t>
                  </w:r>
                </w:p>
                <w:p w14:paraId="29122764">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firstLine="0"/>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eastAsia" w:ascii="Times New Roman" w:hAnsi="Times New Roman" w:eastAsia="宋体" w:cs="Times New Roman"/>
                      <w:b/>
                      <w:bCs/>
                      <w:color w:val="auto"/>
                      <w:sz w:val="21"/>
                      <w:szCs w:val="21"/>
                      <w:highlight w:val="none"/>
                      <w:vertAlign w:val="baseline"/>
                      <w:lang w:val="en-US" w:eastAsia="zh-CN"/>
                    </w:rPr>
                    <w:t>（t/a）</w:t>
                  </w:r>
                </w:p>
              </w:tc>
              <w:tc>
                <w:tcPr>
                  <w:tcW w:w="408" w:type="pct"/>
                  <w:noWrap w:val="0"/>
                  <w:vAlign w:val="center"/>
                </w:tcPr>
                <w:p w14:paraId="096C72F7">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firstLine="0"/>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排放浓度</w:t>
                  </w:r>
                </w:p>
                <w:p w14:paraId="79C8C0CE">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firstLine="0"/>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(mg/m</w:t>
                  </w:r>
                  <w:r>
                    <w:rPr>
                      <w:rFonts w:hint="default" w:ascii="Times New Roman" w:hAnsi="Times New Roman" w:eastAsia="宋体" w:cs="Times New Roman"/>
                      <w:b/>
                      <w:bCs/>
                      <w:color w:val="auto"/>
                      <w:sz w:val="21"/>
                      <w:szCs w:val="21"/>
                      <w:highlight w:val="none"/>
                      <w:vertAlign w:val="superscript"/>
                      <w:lang w:val="en-US" w:eastAsia="zh-CN"/>
                    </w:rPr>
                    <w:t>3</w:t>
                  </w:r>
                  <w:r>
                    <w:rPr>
                      <w:rFonts w:hint="default" w:ascii="Times New Roman" w:hAnsi="Times New Roman" w:eastAsia="宋体" w:cs="Times New Roman"/>
                      <w:b/>
                      <w:bCs/>
                      <w:color w:val="auto"/>
                      <w:sz w:val="21"/>
                      <w:szCs w:val="21"/>
                      <w:highlight w:val="none"/>
                      <w:vertAlign w:val="baseline"/>
                      <w:lang w:val="en-US" w:eastAsia="zh-CN"/>
                    </w:rPr>
                    <w:t xml:space="preserve"> )</w:t>
                  </w:r>
                </w:p>
              </w:tc>
              <w:tc>
                <w:tcPr>
                  <w:tcW w:w="410" w:type="pct"/>
                  <w:noWrap w:val="0"/>
                  <w:vAlign w:val="center"/>
                </w:tcPr>
                <w:p w14:paraId="0ABDDBE2">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firstLine="0"/>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排放速率</w:t>
                  </w:r>
                </w:p>
                <w:p w14:paraId="0D4FECA4">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firstLine="0"/>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（kg/h）</w:t>
                  </w:r>
                </w:p>
              </w:tc>
              <w:tc>
                <w:tcPr>
                  <w:tcW w:w="354" w:type="pct"/>
                  <w:vMerge w:val="continue"/>
                  <w:noWrap w:val="0"/>
                  <w:vAlign w:val="center"/>
                </w:tcPr>
                <w:p w14:paraId="012D65B9">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firstLine="0"/>
                    <w:jc w:val="center"/>
                    <w:textAlignment w:val="auto"/>
                    <w:rPr>
                      <w:rFonts w:hint="default" w:ascii="Times New Roman" w:hAnsi="Times New Roman" w:eastAsia="宋体" w:cs="Times New Roman"/>
                      <w:b/>
                      <w:bCs/>
                      <w:color w:val="auto"/>
                      <w:sz w:val="21"/>
                      <w:szCs w:val="21"/>
                      <w:highlight w:val="none"/>
                      <w:vertAlign w:val="baseline"/>
                      <w:lang w:val="en-US" w:eastAsia="zh-CN"/>
                    </w:rPr>
                  </w:pPr>
                </w:p>
              </w:tc>
            </w:tr>
            <w:tr w14:paraId="1D56F8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4" w:type="pct"/>
                  <w:vMerge w:val="restart"/>
                  <w:noWrap w:val="0"/>
                  <w:vAlign w:val="center"/>
                </w:tcPr>
                <w:p w14:paraId="6A051EE4">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firstLine="0"/>
                    <w:jc w:val="center"/>
                    <w:textAlignment w:val="auto"/>
                    <w:rPr>
                      <w:rFonts w:hint="eastAsia" w:ascii="Times New Roman" w:cs="Times New Roman"/>
                      <w:b w:val="0"/>
                      <w:bCs w:val="0"/>
                      <w:color w:val="auto"/>
                      <w:sz w:val="21"/>
                      <w:szCs w:val="21"/>
                      <w:highlight w:val="none"/>
                      <w:vertAlign w:val="baseline"/>
                      <w:lang w:val="en-US" w:eastAsia="zh-CN"/>
                    </w:rPr>
                  </w:pPr>
                  <w:r>
                    <w:rPr>
                      <w:rFonts w:hint="eastAsia" w:ascii="Times New Roman" w:cs="Times New Roman"/>
                      <w:b w:val="0"/>
                      <w:bCs w:val="0"/>
                      <w:color w:val="auto"/>
                      <w:sz w:val="21"/>
                      <w:szCs w:val="21"/>
                      <w:highlight w:val="none"/>
                      <w:vertAlign w:val="baseline"/>
                      <w:lang w:val="en-US" w:eastAsia="zh-CN"/>
                    </w:rPr>
                    <w:t>危废</w:t>
                  </w:r>
                </w:p>
                <w:p w14:paraId="1200AB60">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firstLine="0"/>
                    <w:jc w:val="center"/>
                    <w:textAlignment w:val="auto"/>
                    <w:rPr>
                      <w:rFonts w:hint="eastAsia" w:ascii="Times New Roman" w:cs="Times New Roman"/>
                      <w:b w:val="0"/>
                      <w:bCs w:val="0"/>
                      <w:color w:val="auto"/>
                      <w:sz w:val="21"/>
                      <w:szCs w:val="21"/>
                      <w:highlight w:val="none"/>
                      <w:vertAlign w:val="baseline"/>
                      <w:lang w:val="en-US" w:eastAsia="zh-CN"/>
                    </w:rPr>
                  </w:pPr>
                  <w:r>
                    <w:rPr>
                      <w:rFonts w:hint="eastAsia" w:ascii="Times New Roman" w:cs="Times New Roman"/>
                      <w:b w:val="0"/>
                      <w:bCs w:val="0"/>
                      <w:color w:val="auto"/>
                      <w:sz w:val="21"/>
                      <w:szCs w:val="21"/>
                      <w:highlight w:val="none"/>
                      <w:vertAlign w:val="baseline"/>
                      <w:lang w:val="en-US" w:eastAsia="zh-CN"/>
                    </w:rPr>
                    <w:t>贮存</w:t>
                  </w:r>
                </w:p>
              </w:tc>
              <w:tc>
                <w:tcPr>
                  <w:tcW w:w="327" w:type="pct"/>
                  <w:vMerge w:val="restart"/>
                  <w:noWrap w:val="0"/>
                  <w:vAlign w:val="center"/>
                </w:tcPr>
                <w:p w14:paraId="62DECDA7">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firstLine="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cs="Times New Roman"/>
                      <w:b w:val="0"/>
                      <w:bCs w:val="0"/>
                      <w:color w:val="auto"/>
                      <w:sz w:val="21"/>
                      <w:szCs w:val="21"/>
                      <w:highlight w:val="none"/>
                      <w:vertAlign w:val="baseline"/>
                      <w:lang w:val="en-US" w:eastAsia="zh-CN"/>
                    </w:rPr>
                    <w:t>DA001</w:t>
                  </w:r>
                </w:p>
              </w:tc>
              <w:tc>
                <w:tcPr>
                  <w:tcW w:w="327" w:type="pct"/>
                  <w:noWrap w:val="0"/>
                  <w:vAlign w:val="center"/>
                </w:tcPr>
                <w:p w14:paraId="77D37E9A">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firstLine="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cs="Times New Roman"/>
                      <w:color w:val="auto"/>
                      <w:spacing w:val="-6"/>
                      <w:sz w:val="21"/>
                      <w:szCs w:val="21"/>
                      <w:vertAlign w:val="baseline"/>
                      <w:lang w:val="en-US" w:eastAsia="zh-CN"/>
                    </w:rPr>
                    <w:t>氯化氢</w:t>
                  </w:r>
                </w:p>
              </w:tc>
              <w:tc>
                <w:tcPr>
                  <w:tcW w:w="336" w:type="pct"/>
                  <w:shd w:val="clear" w:color="auto" w:fill="auto"/>
                  <w:noWrap w:val="0"/>
                  <w:vAlign w:val="center"/>
                </w:tcPr>
                <w:p w14:paraId="715E51BE">
                  <w:pPr>
                    <w:keepNext w:val="0"/>
                    <w:keepLines w:val="0"/>
                    <w:widowControl/>
                    <w:suppressLineNumbers w:val="0"/>
                    <w:jc w:val="center"/>
                    <w:textAlignment w:val="center"/>
                    <w:rPr>
                      <w:rFonts w:hint="default" w:ascii="Times New Roman" w:hAnsi="Times New Roman" w:eastAsia="宋体" w:cs="Times New Roman"/>
                      <w:i w:val="0"/>
                      <w:iCs w:val="0"/>
                      <w:color w:val="auto"/>
                      <w:spacing w:val="-6"/>
                      <w:kern w:val="0"/>
                      <w:sz w:val="21"/>
                      <w:szCs w:val="21"/>
                      <w:u w:val="none"/>
                      <w:lang w:val="en-US" w:eastAsia="zh-CN" w:bidi="ar"/>
                    </w:rPr>
                  </w:pPr>
                  <w:r>
                    <w:rPr>
                      <w:rFonts w:hint="eastAsia" w:cs="Times New Roman"/>
                      <w:i w:val="0"/>
                      <w:iCs w:val="0"/>
                      <w:color w:val="auto"/>
                      <w:spacing w:val="-6"/>
                      <w:kern w:val="0"/>
                      <w:sz w:val="21"/>
                      <w:szCs w:val="21"/>
                      <w:u w:val="none"/>
                      <w:lang w:val="en-US" w:eastAsia="zh-CN" w:bidi="ar"/>
                    </w:rPr>
                    <w:t>0.4814</w:t>
                  </w:r>
                </w:p>
              </w:tc>
              <w:tc>
                <w:tcPr>
                  <w:tcW w:w="469" w:type="pct"/>
                  <w:shd w:val="clear" w:color="auto" w:fill="auto"/>
                  <w:noWrap w:val="0"/>
                  <w:vAlign w:val="center"/>
                </w:tcPr>
                <w:p w14:paraId="211B24E5">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left="0" w:lef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cs="Times New Roman"/>
                      <w:color w:val="auto"/>
                      <w:kern w:val="2"/>
                      <w:sz w:val="21"/>
                      <w:szCs w:val="21"/>
                      <w:lang w:val="en-US" w:eastAsia="zh-CN" w:bidi="ar-SA"/>
                    </w:rPr>
                    <w:t>27.035</w:t>
                  </w:r>
                </w:p>
              </w:tc>
              <w:tc>
                <w:tcPr>
                  <w:tcW w:w="400" w:type="pct"/>
                  <w:shd w:val="clear" w:color="auto" w:fill="auto"/>
                  <w:noWrap w:val="0"/>
                  <w:vAlign w:val="center"/>
                </w:tcPr>
                <w:p w14:paraId="0C53DA74">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left="0" w:lef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cs="Times New Roman"/>
                      <w:color w:val="auto"/>
                      <w:kern w:val="2"/>
                      <w:sz w:val="21"/>
                      <w:szCs w:val="21"/>
                      <w:lang w:val="en-US" w:eastAsia="zh-CN" w:bidi="ar-SA"/>
                    </w:rPr>
                    <w:t>0.055</w:t>
                  </w:r>
                </w:p>
              </w:tc>
              <w:tc>
                <w:tcPr>
                  <w:tcW w:w="569" w:type="pct"/>
                  <w:vMerge w:val="restart"/>
                  <w:noWrap w:val="0"/>
                  <w:vAlign w:val="center"/>
                </w:tcPr>
                <w:p w14:paraId="42C1B80C">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firstLine="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车间密闭+碱喷淋处理</w:t>
                  </w:r>
                </w:p>
              </w:tc>
              <w:tc>
                <w:tcPr>
                  <w:tcW w:w="408" w:type="pct"/>
                  <w:noWrap w:val="0"/>
                  <w:vAlign w:val="center"/>
                </w:tcPr>
                <w:p w14:paraId="57149B9F">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firstLine="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cs="Times New Roman"/>
                      <w:b w:val="0"/>
                      <w:bCs w:val="0"/>
                      <w:color w:val="auto"/>
                      <w:sz w:val="21"/>
                      <w:szCs w:val="21"/>
                      <w:highlight w:val="none"/>
                      <w:vertAlign w:val="baseline"/>
                      <w:lang w:val="en-US" w:eastAsia="zh-CN"/>
                    </w:rPr>
                    <w:t>65.97</w:t>
                  </w:r>
                </w:p>
              </w:tc>
              <w:tc>
                <w:tcPr>
                  <w:tcW w:w="409" w:type="pct"/>
                  <w:vMerge w:val="restart"/>
                  <w:noWrap w:val="0"/>
                  <w:vAlign w:val="center"/>
                </w:tcPr>
                <w:p w14:paraId="71872981">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cs="Times New Roman"/>
                      <w:b w:val="0"/>
                      <w:bCs w:val="0"/>
                      <w:color w:val="auto"/>
                      <w:sz w:val="21"/>
                      <w:szCs w:val="21"/>
                      <w:highlight w:val="none"/>
                      <w:vertAlign w:val="baseline"/>
                      <w:lang w:val="en-US" w:eastAsia="zh-CN"/>
                    </w:rPr>
                    <w:t>1447</w:t>
                  </w:r>
                </w:p>
              </w:tc>
              <w:tc>
                <w:tcPr>
                  <w:tcW w:w="336" w:type="pct"/>
                  <w:shd w:val="clear" w:color="auto" w:fill="auto"/>
                  <w:noWrap w:val="0"/>
                  <w:vAlign w:val="center"/>
                </w:tcPr>
                <w:p w14:paraId="5DDBDDA7">
                  <w:pPr>
                    <w:keepNext w:val="0"/>
                    <w:keepLines w:val="0"/>
                    <w:widowControl/>
                    <w:suppressLineNumbers w:val="0"/>
                    <w:jc w:val="center"/>
                    <w:textAlignment w:val="center"/>
                    <w:rPr>
                      <w:rFonts w:hint="default" w:ascii="Times New Roman" w:hAnsi="Times New Roman" w:eastAsia="宋体" w:cs="Times New Roman"/>
                      <w:i w:val="0"/>
                      <w:iCs w:val="0"/>
                      <w:color w:val="auto"/>
                      <w:spacing w:val="-6"/>
                      <w:kern w:val="0"/>
                      <w:sz w:val="21"/>
                      <w:szCs w:val="21"/>
                      <w:u w:val="none"/>
                      <w:lang w:val="en-US" w:eastAsia="zh-CN" w:bidi="ar"/>
                    </w:rPr>
                  </w:pPr>
                  <w:r>
                    <w:rPr>
                      <w:rFonts w:hint="eastAsia" w:cs="Times New Roman"/>
                      <w:i w:val="0"/>
                      <w:iCs w:val="0"/>
                      <w:color w:val="auto"/>
                      <w:spacing w:val="-6"/>
                      <w:kern w:val="0"/>
                      <w:sz w:val="21"/>
                      <w:szCs w:val="21"/>
                      <w:u w:val="none"/>
                      <w:lang w:val="en-US" w:eastAsia="zh-CN" w:bidi="ar"/>
                    </w:rPr>
                    <w:t>0.1638</w:t>
                  </w:r>
                </w:p>
              </w:tc>
              <w:tc>
                <w:tcPr>
                  <w:tcW w:w="408" w:type="pct"/>
                  <w:shd w:val="clear" w:color="auto" w:fill="auto"/>
                  <w:noWrap w:val="0"/>
                  <w:vAlign w:val="center"/>
                </w:tcPr>
                <w:p w14:paraId="641A6B0F">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left="0" w:lef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cs="Times New Roman"/>
                      <w:color w:val="auto"/>
                      <w:kern w:val="2"/>
                      <w:sz w:val="21"/>
                      <w:szCs w:val="21"/>
                      <w:lang w:val="en-US" w:eastAsia="zh-CN" w:bidi="ar-SA"/>
                    </w:rPr>
                    <w:t>9.2</w:t>
                  </w:r>
                </w:p>
              </w:tc>
              <w:tc>
                <w:tcPr>
                  <w:tcW w:w="410" w:type="pct"/>
                  <w:shd w:val="clear" w:color="auto" w:fill="auto"/>
                  <w:noWrap w:val="0"/>
                  <w:vAlign w:val="center"/>
                </w:tcPr>
                <w:p w14:paraId="30F2917B">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left="0" w:lef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cs="Times New Roman"/>
                      <w:color w:val="auto"/>
                      <w:kern w:val="2"/>
                      <w:sz w:val="21"/>
                      <w:szCs w:val="21"/>
                      <w:lang w:val="en-US" w:eastAsia="zh-CN" w:bidi="ar-SA"/>
                    </w:rPr>
                    <w:t>0.0187</w:t>
                  </w:r>
                </w:p>
              </w:tc>
              <w:tc>
                <w:tcPr>
                  <w:tcW w:w="354" w:type="pct"/>
                  <w:noWrap w:val="0"/>
                  <w:vAlign w:val="center"/>
                </w:tcPr>
                <w:p w14:paraId="527551B5">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firstLine="0"/>
                    <w:jc w:val="center"/>
                    <w:textAlignment w:val="auto"/>
                    <w:rPr>
                      <w:rFonts w:hint="default" w:ascii="Times New Roman" w:hAnsi="Times New Roman" w:eastAsia="宋体" w:cs="Times New Roman"/>
                      <w:color w:val="auto"/>
                      <w:sz w:val="21"/>
                      <w:szCs w:val="21"/>
                      <w:lang w:val="en-US" w:eastAsia="zh-CN"/>
                    </w:rPr>
                  </w:pPr>
                  <w:r>
                    <w:rPr>
                      <w:rFonts w:hint="eastAsia" w:ascii="Times New Roman" w:cs="Times New Roman"/>
                      <w:color w:val="auto"/>
                      <w:sz w:val="21"/>
                      <w:szCs w:val="21"/>
                      <w:lang w:val="en-US" w:eastAsia="zh-CN"/>
                    </w:rPr>
                    <w:t>8760</w:t>
                  </w:r>
                </w:p>
              </w:tc>
            </w:tr>
            <w:tr w14:paraId="64ABF9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4" w:type="pct"/>
                  <w:vMerge w:val="continue"/>
                  <w:noWrap w:val="0"/>
                  <w:vAlign w:val="center"/>
                </w:tcPr>
                <w:p w14:paraId="5EB54C84">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firstLine="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327" w:type="pct"/>
                  <w:vMerge w:val="continue"/>
                  <w:noWrap w:val="0"/>
                  <w:vAlign w:val="center"/>
                </w:tcPr>
                <w:p w14:paraId="7974C87A">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firstLine="0"/>
                    <w:jc w:val="center"/>
                    <w:textAlignment w:val="auto"/>
                    <w:rPr>
                      <w:rFonts w:hint="eastAsia" w:ascii="Times New Roman" w:cs="Times New Roman"/>
                      <w:b w:val="0"/>
                      <w:bCs w:val="0"/>
                      <w:color w:val="auto"/>
                      <w:sz w:val="21"/>
                      <w:szCs w:val="21"/>
                      <w:highlight w:val="none"/>
                      <w:vertAlign w:val="baseline"/>
                      <w:lang w:val="en-US" w:eastAsia="zh-CN"/>
                    </w:rPr>
                  </w:pPr>
                </w:p>
              </w:tc>
              <w:tc>
                <w:tcPr>
                  <w:tcW w:w="327" w:type="pct"/>
                  <w:noWrap w:val="0"/>
                  <w:vAlign w:val="center"/>
                </w:tcPr>
                <w:p w14:paraId="19FCB7DB">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firstLine="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cs="Times New Roman"/>
                      <w:b w:val="0"/>
                      <w:bCs w:val="0"/>
                      <w:color w:val="auto"/>
                      <w:sz w:val="21"/>
                      <w:szCs w:val="21"/>
                      <w:highlight w:val="none"/>
                      <w:vertAlign w:val="baseline"/>
                      <w:lang w:val="en-US" w:eastAsia="zh-CN"/>
                    </w:rPr>
                    <w:t>硫酸雾</w:t>
                  </w:r>
                </w:p>
              </w:tc>
              <w:tc>
                <w:tcPr>
                  <w:tcW w:w="336" w:type="pct"/>
                  <w:shd w:val="clear" w:color="auto" w:fill="auto"/>
                  <w:noWrap w:val="0"/>
                  <w:vAlign w:val="center"/>
                </w:tcPr>
                <w:p w14:paraId="068C70AB">
                  <w:pPr>
                    <w:keepNext w:val="0"/>
                    <w:keepLines w:val="0"/>
                    <w:widowControl/>
                    <w:suppressLineNumbers w:val="0"/>
                    <w:jc w:val="center"/>
                    <w:textAlignment w:val="center"/>
                    <w:rPr>
                      <w:rFonts w:hint="default" w:ascii="Times New Roman" w:hAnsi="Times New Roman" w:eastAsia="宋体" w:cs="Times New Roman"/>
                      <w:i w:val="0"/>
                      <w:iCs w:val="0"/>
                      <w:color w:val="auto"/>
                      <w:spacing w:val="-6"/>
                      <w:kern w:val="0"/>
                      <w:sz w:val="21"/>
                      <w:szCs w:val="21"/>
                      <w:u w:val="none"/>
                      <w:lang w:val="en-US" w:eastAsia="zh-CN" w:bidi="ar"/>
                    </w:rPr>
                  </w:pPr>
                  <w:r>
                    <w:rPr>
                      <w:rFonts w:hint="eastAsia" w:cs="Times New Roman"/>
                      <w:i w:val="0"/>
                      <w:iCs w:val="0"/>
                      <w:color w:val="auto"/>
                      <w:spacing w:val="-6"/>
                      <w:kern w:val="0"/>
                      <w:sz w:val="21"/>
                      <w:szCs w:val="21"/>
                      <w:u w:val="none"/>
                      <w:lang w:val="en-US" w:eastAsia="zh-CN" w:bidi="ar"/>
                    </w:rPr>
                    <w:t>0.2264</w:t>
                  </w:r>
                </w:p>
              </w:tc>
              <w:tc>
                <w:tcPr>
                  <w:tcW w:w="469" w:type="pct"/>
                  <w:shd w:val="clear" w:color="auto" w:fill="auto"/>
                  <w:noWrap w:val="0"/>
                  <w:vAlign w:val="center"/>
                </w:tcPr>
                <w:p w14:paraId="0ECF5349">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left="0" w:lef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cs="Times New Roman"/>
                      <w:color w:val="auto"/>
                      <w:kern w:val="2"/>
                      <w:sz w:val="21"/>
                      <w:szCs w:val="21"/>
                      <w:lang w:val="en-US" w:eastAsia="zh-CN" w:bidi="ar-SA"/>
                    </w:rPr>
                    <w:t>1.793</w:t>
                  </w:r>
                </w:p>
              </w:tc>
              <w:tc>
                <w:tcPr>
                  <w:tcW w:w="400" w:type="pct"/>
                  <w:shd w:val="clear" w:color="auto" w:fill="auto"/>
                  <w:noWrap w:val="0"/>
                  <w:vAlign w:val="center"/>
                </w:tcPr>
                <w:p w14:paraId="19A15BE3">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left="0" w:lef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cs="Times New Roman"/>
                      <w:color w:val="auto"/>
                      <w:kern w:val="2"/>
                      <w:sz w:val="21"/>
                      <w:szCs w:val="21"/>
                      <w:lang w:val="en-US" w:eastAsia="zh-CN" w:bidi="ar-SA"/>
                    </w:rPr>
                    <w:t>0.0258</w:t>
                  </w:r>
                </w:p>
              </w:tc>
              <w:tc>
                <w:tcPr>
                  <w:tcW w:w="569" w:type="pct"/>
                  <w:vMerge w:val="continue"/>
                  <w:noWrap w:val="0"/>
                  <w:vAlign w:val="center"/>
                </w:tcPr>
                <w:p w14:paraId="1B682078">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firstLine="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408" w:type="pct"/>
                  <w:noWrap w:val="0"/>
                  <w:vAlign w:val="center"/>
                </w:tcPr>
                <w:p w14:paraId="1CBDA4E6">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firstLine="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cs="Times New Roman"/>
                      <w:b w:val="0"/>
                      <w:bCs w:val="0"/>
                      <w:color w:val="auto"/>
                      <w:sz w:val="21"/>
                      <w:szCs w:val="21"/>
                      <w:highlight w:val="none"/>
                      <w:vertAlign w:val="baseline"/>
                      <w:lang w:val="en-US" w:eastAsia="zh-CN"/>
                    </w:rPr>
                    <w:t>63.63</w:t>
                  </w:r>
                </w:p>
              </w:tc>
              <w:tc>
                <w:tcPr>
                  <w:tcW w:w="409" w:type="pct"/>
                  <w:vMerge w:val="continue"/>
                  <w:noWrap w:val="0"/>
                  <w:vAlign w:val="center"/>
                </w:tcPr>
                <w:p w14:paraId="50D94B0B">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336" w:type="pct"/>
                  <w:shd w:val="clear" w:color="auto" w:fill="auto"/>
                  <w:noWrap w:val="0"/>
                  <w:vAlign w:val="center"/>
                </w:tcPr>
                <w:p w14:paraId="2F65834A">
                  <w:pPr>
                    <w:keepNext w:val="0"/>
                    <w:keepLines w:val="0"/>
                    <w:widowControl/>
                    <w:suppressLineNumbers w:val="0"/>
                    <w:jc w:val="center"/>
                    <w:textAlignment w:val="center"/>
                    <w:rPr>
                      <w:rFonts w:hint="default" w:ascii="Times New Roman" w:hAnsi="Times New Roman" w:eastAsia="宋体" w:cs="Times New Roman"/>
                      <w:i w:val="0"/>
                      <w:iCs w:val="0"/>
                      <w:color w:val="auto"/>
                      <w:spacing w:val="-6"/>
                      <w:kern w:val="0"/>
                      <w:sz w:val="21"/>
                      <w:szCs w:val="21"/>
                      <w:u w:val="none"/>
                      <w:lang w:val="en-US" w:eastAsia="zh-CN" w:bidi="ar"/>
                    </w:rPr>
                  </w:pPr>
                  <w:r>
                    <w:rPr>
                      <w:rFonts w:hint="eastAsia" w:cs="Times New Roman"/>
                      <w:i w:val="0"/>
                      <w:iCs w:val="0"/>
                      <w:color w:val="auto"/>
                      <w:spacing w:val="-6"/>
                      <w:kern w:val="0"/>
                      <w:sz w:val="21"/>
                      <w:szCs w:val="21"/>
                      <w:u w:val="none"/>
                      <w:lang w:val="en-US" w:eastAsia="zh-CN" w:bidi="ar"/>
                    </w:rPr>
                    <w:t>0.0823</w:t>
                  </w:r>
                </w:p>
              </w:tc>
              <w:tc>
                <w:tcPr>
                  <w:tcW w:w="408" w:type="pct"/>
                  <w:shd w:val="clear" w:color="auto" w:fill="auto"/>
                  <w:noWrap w:val="0"/>
                  <w:vAlign w:val="center"/>
                </w:tcPr>
                <w:p w14:paraId="26ED03AD">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left="0" w:lef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cs="Times New Roman"/>
                      <w:color w:val="auto"/>
                      <w:kern w:val="2"/>
                      <w:sz w:val="21"/>
                      <w:szCs w:val="21"/>
                      <w:lang w:val="en-US" w:eastAsia="zh-CN" w:bidi="ar-SA"/>
                    </w:rPr>
                    <w:t>0.61</w:t>
                  </w:r>
                </w:p>
              </w:tc>
              <w:tc>
                <w:tcPr>
                  <w:tcW w:w="410" w:type="pct"/>
                  <w:shd w:val="clear" w:color="auto" w:fill="auto"/>
                  <w:noWrap w:val="0"/>
                  <w:vAlign w:val="center"/>
                </w:tcPr>
                <w:p w14:paraId="60ECDF3E">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left="0" w:lef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cs="Times New Roman"/>
                      <w:color w:val="auto"/>
                      <w:kern w:val="2"/>
                      <w:sz w:val="21"/>
                      <w:szCs w:val="21"/>
                      <w:lang w:val="en-US" w:eastAsia="zh-CN" w:bidi="ar-SA"/>
                    </w:rPr>
                    <w:t>0.0094</w:t>
                  </w:r>
                </w:p>
              </w:tc>
              <w:tc>
                <w:tcPr>
                  <w:tcW w:w="354" w:type="pct"/>
                  <w:noWrap w:val="0"/>
                  <w:vAlign w:val="center"/>
                </w:tcPr>
                <w:p w14:paraId="17B106C2">
                  <w:pPr>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firstLine="0"/>
                    <w:jc w:val="center"/>
                    <w:textAlignment w:val="auto"/>
                    <w:rPr>
                      <w:rFonts w:hint="eastAsia" w:ascii="Times New Roman" w:hAnsi="Times New Roman" w:eastAsia="宋体" w:cs="Times New Roman"/>
                      <w:color w:val="auto"/>
                      <w:sz w:val="21"/>
                      <w:szCs w:val="21"/>
                      <w:lang w:val="en-US" w:eastAsia="zh-CN"/>
                    </w:rPr>
                  </w:pPr>
                  <w:r>
                    <w:rPr>
                      <w:rFonts w:hint="eastAsia" w:ascii="Times New Roman" w:cs="Times New Roman"/>
                      <w:color w:val="auto"/>
                      <w:sz w:val="21"/>
                      <w:szCs w:val="21"/>
                      <w:lang w:val="en-US" w:eastAsia="zh-CN"/>
                    </w:rPr>
                    <w:t>8760</w:t>
                  </w:r>
                </w:p>
              </w:tc>
            </w:tr>
            <w:tr w14:paraId="4F548D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4" w:type="pct"/>
                  <w:vMerge w:val="continue"/>
                  <w:noWrap w:val="0"/>
                  <w:vAlign w:val="center"/>
                </w:tcPr>
                <w:p w14:paraId="4ADB9564">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firstLine="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327" w:type="pct"/>
                  <w:vMerge w:val="continue"/>
                  <w:noWrap w:val="0"/>
                  <w:vAlign w:val="center"/>
                </w:tcPr>
                <w:p w14:paraId="6A6706AA">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firstLine="0"/>
                    <w:jc w:val="center"/>
                    <w:textAlignment w:val="auto"/>
                    <w:rPr>
                      <w:rFonts w:hint="eastAsia" w:ascii="Times New Roman" w:cs="Times New Roman"/>
                      <w:b w:val="0"/>
                      <w:bCs w:val="0"/>
                      <w:color w:val="auto"/>
                      <w:sz w:val="21"/>
                      <w:szCs w:val="21"/>
                      <w:highlight w:val="none"/>
                      <w:vertAlign w:val="baseline"/>
                      <w:lang w:val="en-US" w:eastAsia="zh-CN"/>
                    </w:rPr>
                  </w:pPr>
                </w:p>
              </w:tc>
              <w:tc>
                <w:tcPr>
                  <w:tcW w:w="327" w:type="pct"/>
                  <w:noWrap w:val="0"/>
                  <w:vAlign w:val="center"/>
                </w:tcPr>
                <w:p w14:paraId="2C0924F5">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firstLine="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VOCs</w:t>
                  </w:r>
                </w:p>
              </w:tc>
              <w:tc>
                <w:tcPr>
                  <w:tcW w:w="336" w:type="pct"/>
                  <w:shd w:val="clear" w:color="auto" w:fill="auto"/>
                  <w:noWrap w:val="0"/>
                  <w:vAlign w:val="center"/>
                </w:tcPr>
                <w:p w14:paraId="4390162F">
                  <w:pPr>
                    <w:keepNext w:val="0"/>
                    <w:keepLines w:val="0"/>
                    <w:widowControl/>
                    <w:suppressLineNumbers w:val="0"/>
                    <w:jc w:val="center"/>
                    <w:textAlignment w:val="center"/>
                    <w:rPr>
                      <w:rFonts w:hint="default" w:ascii="Times New Roman" w:hAnsi="Times New Roman" w:eastAsia="宋体" w:cs="Times New Roman"/>
                      <w:i w:val="0"/>
                      <w:iCs w:val="0"/>
                      <w:color w:val="auto"/>
                      <w:spacing w:val="-6"/>
                      <w:kern w:val="0"/>
                      <w:sz w:val="21"/>
                      <w:szCs w:val="21"/>
                      <w:u w:val="none"/>
                      <w:lang w:val="en-US" w:eastAsia="zh-CN" w:bidi="ar"/>
                    </w:rPr>
                  </w:pPr>
                  <w:r>
                    <w:rPr>
                      <w:rFonts w:hint="eastAsia" w:cs="Times New Roman"/>
                      <w:i w:val="0"/>
                      <w:iCs w:val="0"/>
                      <w:color w:val="auto"/>
                      <w:spacing w:val="-6"/>
                      <w:kern w:val="0"/>
                      <w:sz w:val="21"/>
                      <w:szCs w:val="21"/>
                      <w:u w:val="none"/>
                      <w:lang w:val="en-US" w:eastAsia="zh-CN" w:bidi="ar"/>
                    </w:rPr>
                    <w:t>0.0885</w:t>
                  </w:r>
                </w:p>
              </w:tc>
              <w:tc>
                <w:tcPr>
                  <w:tcW w:w="469" w:type="pct"/>
                  <w:noWrap w:val="0"/>
                  <w:vAlign w:val="center"/>
                </w:tcPr>
                <w:p w14:paraId="4880DEBB">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left="0" w:lef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cs="Times New Roman"/>
                      <w:color w:val="auto"/>
                      <w:kern w:val="2"/>
                      <w:sz w:val="21"/>
                      <w:szCs w:val="21"/>
                      <w:lang w:val="en-US" w:eastAsia="zh-CN" w:bidi="ar-SA"/>
                    </w:rPr>
                    <w:t>8.92</w:t>
                  </w:r>
                </w:p>
              </w:tc>
              <w:tc>
                <w:tcPr>
                  <w:tcW w:w="400" w:type="pct"/>
                  <w:noWrap w:val="0"/>
                  <w:vAlign w:val="center"/>
                </w:tcPr>
                <w:p w14:paraId="21035CA5">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left="0" w:lef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cs="Times New Roman"/>
                      <w:color w:val="auto"/>
                      <w:kern w:val="2"/>
                      <w:sz w:val="21"/>
                      <w:szCs w:val="21"/>
                      <w:lang w:val="en-US" w:eastAsia="zh-CN" w:bidi="ar-SA"/>
                    </w:rPr>
                    <w:t>0.0101</w:t>
                  </w:r>
                </w:p>
              </w:tc>
              <w:tc>
                <w:tcPr>
                  <w:tcW w:w="569" w:type="pct"/>
                  <w:noWrap w:val="0"/>
                  <w:vAlign w:val="center"/>
                </w:tcPr>
                <w:p w14:paraId="74A183CF">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firstLine="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color w:val="auto"/>
                      <w:kern w:val="2"/>
                      <w:sz w:val="21"/>
                      <w:szCs w:val="21"/>
                      <w:highlight w:val="none"/>
                      <w:vertAlign w:val="baseline"/>
                      <w:lang w:val="en-US" w:eastAsia="zh-CN" w:bidi="ar-SA"/>
                    </w:rPr>
                    <w:t>车间密闭+</w:t>
                  </w:r>
                  <w:r>
                    <w:rPr>
                      <w:rFonts w:hint="eastAsia" w:cs="Times New Roman"/>
                      <w:color w:val="auto"/>
                      <w:kern w:val="2"/>
                      <w:sz w:val="21"/>
                      <w:szCs w:val="21"/>
                      <w:highlight w:val="none"/>
                      <w:vertAlign w:val="baseline"/>
                      <w:lang w:val="en-US" w:eastAsia="zh-CN" w:bidi="ar-SA"/>
                    </w:rPr>
                    <w:t>二级</w:t>
                  </w:r>
                  <w:r>
                    <w:rPr>
                      <w:rFonts w:hint="eastAsia" w:ascii="Times New Roman" w:hAnsi="Times New Roman" w:eastAsia="宋体" w:cs="Times New Roman"/>
                      <w:color w:val="auto"/>
                      <w:kern w:val="2"/>
                      <w:sz w:val="21"/>
                      <w:szCs w:val="21"/>
                      <w:highlight w:val="none"/>
                      <w:vertAlign w:val="baseline"/>
                      <w:lang w:val="en-US" w:eastAsia="zh-CN" w:bidi="ar-SA"/>
                    </w:rPr>
                    <w:t>活性炭吸附</w:t>
                  </w:r>
                </w:p>
              </w:tc>
              <w:tc>
                <w:tcPr>
                  <w:tcW w:w="408" w:type="pct"/>
                  <w:noWrap w:val="0"/>
                  <w:vAlign w:val="center"/>
                </w:tcPr>
                <w:p w14:paraId="53DA61DA">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firstLine="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cs="Times New Roman"/>
                      <w:b w:val="0"/>
                      <w:bCs w:val="0"/>
                      <w:color w:val="auto"/>
                      <w:sz w:val="21"/>
                      <w:szCs w:val="21"/>
                      <w:highlight w:val="none"/>
                      <w:vertAlign w:val="baseline"/>
                      <w:lang w:val="en-US" w:eastAsia="zh-CN"/>
                    </w:rPr>
                    <w:t>32.43</w:t>
                  </w:r>
                </w:p>
              </w:tc>
              <w:tc>
                <w:tcPr>
                  <w:tcW w:w="409" w:type="pct"/>
                  <w:noWrap w:val="0"/>
                  <w:vAlign w:val="center"/>
                </w:tcPr>
                <w:p w14:paraId="1A9A4999">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20</w:t>
                  </w:r>
                  <w:r>
                    <w:rPr>
                      <w:rFonts w:hint="eastAsia" w:ascii="Times New Roman" w:cs="Times New Roman"/>
                      <w:b w:val="0"/>
                      <w:bCs w:val="0"/>
                      <w:color w:val="auto"/>
                      <w:sz w:val="21"/>
                      <w:szCs w:val="21"/>
                      <w:highlight w:val="none"/>
                      <w:vertAlign w:val="baseline"/>
                      <w:lang w:val="en-US" w:eastAsia="zh-CN"/>
                    </w:rPr>
                    <w:t>68</w:t>
                  </w:r>
                </w:p>
              </w:tc>
              <w:tc>
                <w:tcPr>
                  <w:tcW w:w="336" w:type="pct"/>
                  <w:noWrap w:val="0"/>
                  <w:vAlign w:val="center"/>
                </w:tcPr>
                <w:p w14:paraId="3B0F4071">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cs="Times New Roman"/>
                      <w:b w:val="0"/>
                      <w:bCs w:val="0"/>
                      <w:color w:val="auto"/>
                      <w:sz w:val="21"/>
                      <w:szCs w:val="21"/>
                      <w:highlight w:val="none"/>
                      <w:vertAlign w:val="baseline"/>
                      <w:lang w:val="en-US" w:eastAsia="zh-CN"/>
                    </w:rPr>
                    <w:t>0.0586</w:t>
                  </w:r>
                </w:p>
              </w:tc>
              <w:tc>
                <w:tcPr>
                  <w:tcW w:w="408" w:type="pct"/>
                  <w:noWrap w:val="0"/>
                  <w:vAlign w:val="center"/>
                </w:tcPr>
                <w:p w14:paraId="4D22ED83">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cs="Times New Roman"/>
                      <w:b w:val="0"/>
                      <w:bCs w:val="0"/>
                      <w:color w:val="auto"/>
                      <w:sz w:val="21"/>
                      <w:szCs w:val="21"/>
                      <w:highlight w:val="none"/>
                      <w:vertAlign w:val="baseline"/>
                      <w:lang w:val="en-US" w:eastAsia="zh-CN"/>
                    </w:rPr>
                    <w:t>4.62</w:t>
                  </w:r>
                </w:p>
              </w:tc>
              <w:tc>
                <w:tcPr>
                  <w:tcW w:w="410" w:type="pct"/>
                  <w:noWrap w:val="0"/>
                  <w:vAlign w:val="center"/>
                </w:tcPr>
                <w:p w14:paraId="72616480">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cs="Times New Roman"/>
                      <w:b w:val="0"/>
                      <w:bCs w:val="0"/>
                      <w:color w:val="auto"/>
                      <w:sz w:val="21"/>
                      <w:szCs w:val="21"/>
                      <w:highlight w:val="none"/>
                      <w:vertAlign w:val="baseline"/>
                      <w:lang w:val="en-US" w:eastAsia="zh-CN"/>
                    </w:rPr>
                    <w:t>0.00669</w:t>
                  </w:r>
                </w:p>
              </w:tc>
              <w:tc>
                <w:tcPr>
                  <w:tcW w:w="354" w:type="pct"/>
                  <w:noWrap w:val="0"/>
                  <w:vAlign w:val="center"/>
                </w:tcPr>
                <w:p w14:paraId="6AC7A4EA">
                  <w:pPr>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firstLine="0"/>
                    <w:jc w:val="center"/>
                    <w:textAlignment w:val="auto"/>
                    <w:rPr>
                      <w:rFonts w:hint="eastAsia" w:ascii="Times New Roman" w:hAnsi="Times New Roman" w:eastAsia="宋体" w:cs="Times New Roman"/>
                      <w:color w:val="auto"/>
                      <w:sz w:val="21"/>
                      <w:szCs w:val="21"/>
                      <w:lang w:val="en-US" w:eastAsia="zh-CN"/>
                    </w:rPr>
                  </w:pPr>
                  <w:r>
                    <w:rPr>
                      <w:rFonts w:hint="eastAsia" w:ascii="Times New Roman" w:cs="Times New Roman"/>
                      <w:color w:val="auto"/>
                      <w:sz w:val="21"/>
                      <w:szCs w:val="21"/>
                      <w:lang w:val="en-US" w:eastAsia="zh-CN"/>
                    </w:rPr>
                    <w:t>8760</w:t>
                  </w:r>
                </w:p>
              </w:tc>
            </w:tr>
            <w:tr w14:paraId="0B8141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244" w:type="pct"/>
                  <w:vMerge w:val="continue"/>
                  <w:noWrap w:val="0"/>
                  <w:vAlign w:val="center"/>
                </w:tcPr>
                <w:p w14:paraId="4BF65A62">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firstLine="0"/>
                    <w:jc w:val="center"/>
                    <w:textAlignment w:val="auto"/>
                    <w:rPr>
                      <w:rFonts w:hint="default" w:ascii="Times New Roman" w:hAnsi="Times New Roman" w:eastAsia="宋体" w:cs="Times New Roman"/>
                      <w:b w:val="0"/>
                      <w:bCs w:val="0"/>
                      <w:color w:val="0000FF"/>
                      <w:sz w:val="21"/>
                      <w:szCs w:val="21"/>
                      <w:highlight w:val="none"/>
                      <w:vertAlign w:val="baseline"/>
                      <w:lang w:val="en-US" w:eastAsia="zh-CN"/>
                    </w:rPr>
                  </w:pPr>
                </w:p>
              </w:tc>
              <w:tc>
                <w:tcPr>
                  <w:tcW w:w="327" w:type="pct"/>
                  <w:vMerge w:val="restart"/>
                  <w:noWrap w:val="0"/>
                  <w:vAlign w:val="center"/>
                </w:tcPr>
                <w:p w14:paraId="1F40C532">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firstLine="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无组织</w:t>
                  </w:r>
                </w:p>
                <w:p w14:paraId="32A6328B">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firstLine="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排放</w:t>
                  </w:r>
                </w:p>
              </w:tc>
              <w:tc>
                <w:tcPr>
                  <w:tcW w:w="327" w:type="pct"/>
                  <w:noWrap w:val="0"/>
                  <w:vAlign w:val="center"/>
                </w:tcPr>
                <w:p w14:paraId="5D8788E3">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cs="Times New Roman"/>
                      <w:color w:val="auto"/>
                      <w:spacing w:val="-6"/>
                      <w:sz w:val="21"/>
                      <w:szCs w:val="21"/>
                      <w:vertAlign w:val="baseline"/>
                      <w:lang w:val="en-US" w:eastAsia="zh-CN"/>
                    </w:rPr>
                    <w:t>氯化氢</w:t>
                  </w:r>
                </w:p>
              </w:tc>
              <w:tc>
                <w:tcPr>
                  <w:tcW w:w="336" w:type="pct"/>
                  <w:noWrap w:val="0"/>
                  <w:vAlign w:val="center"/>
                </w:tcPr>
                <w:p w14:paraId="7E9986E9">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cs="Times New Roman"/>
                      <w:b w:val="0"/>
                      <w:bCs w:val="0"/>
                      <w:color w:val="auto"/>
                      <w:sz w:val="21"/>
                      <w:szCs w:val="21"/>
                      <w:highlight w:val="none"/>
                      <w:vertAlign w:val="baseline"/>
                      <w:lang w:val="en-US" w:eastAsia="zh-CN"/>
                    </w:rPr>
                    <w:t>0.085</w:t>
                  </w:r>
                </w:p>
              </w:tc>
              <w:tc>
                <w:tcPr>
                  <w:tcW w:w="469" w:type="pct"/>
                  <w:noWrap w:val="0"/>
                  <w:vAlign w:val="center"/>
                </w:tcPr>
                <w:p w14:paraId="0B58C077">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val="en-US" w:eastAsia="zh-CN"/>
                    </w:rPr>
                    <w:t>/</w:t>
                  </w:r>
                </w:p>
              </w:tc>
              <w:tc>
                <w:tcPr>
                  <w:tcW w:w="400" w:type="pct"/>
                  <w:noWrap w:val="0"/>
                  <w:vAlign w:val="center"/>
                </w:tcPr>
                <w:p w14:paraId="4F892AE1">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cs="Times New Roman"/>
                      <w:b w:val="0"/>
                      <w:bCs w:val="0"/>
                      <w:color w:val="auto"/>
                      <w:sz w:val="21"/>
                      <w:szCs w:val="21"/>
                      <w:highlight w:val="none"/>
                      <w:vertAlign w:val="baseline"/>
                      <w:lang w:val="en-US" w:eastAsia="zh-CN"/>
                    </w:rPr>
                    <w:t>0.0097</w:t>
                  </w:r>
                </w:p>
              </w:tc>
              <w:tc>
                <w:tcPr>
                  <w:tcW w:w="569" w:type="pct"/>
                  <w:vMerge w:val="restart"/>
                  <w:noWrap w:val="0"/>
                  <w:vAlign w:val="center"/>
                </w:tcPr>
                <w:p w14:paraId="425505CC">
                  <w:pPr>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rPr>
                      <w:rFonts w:hint="default" w:ascii="Times New Roman" w:cs="Times New Roman"/>
                      <w:b w:val="0"/>
                      <w:bCs w:val="0"/>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车间密闭</w:t>
                  </w:r>
                </w:p>
              </w:tc>
              <w:tc>
                <w:tcPr>
                  <w:tcW w:w="408" w:type="pct"/>
                  <w:noWrap w:val="0"/>
                  <w:vAlign w:val="center"/>
                </w:tcPr>
                <w:p w14:paraId="4427666C">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cs="Times New Roman"/>
                      <w:b w:val="0"/>
                      <w:bCs w:val="0"/>
                      <w:color w:val="auto"/>
                      <w:sz w:val="21"/>
                      <w:szCs w:val="21"/>
                      <w:highlight w:val="none"/>
                      <w:vertAlign w:val="baseline"/>
                      <w:lang w:val="en-US" w:eastAsia="zh-CN"/>
                    </w:rPr>
                    <w:t>/</w:t>
                  </w:r>
                </w:p>
              </w:tc>
              <w:tc>
                <w:tcPr>
                  <w:tcW w:w="409" w:type="pct"/>
                  <w:noWrap w:val="0"/>
                  <w:vAlign w:val="center"/>
                </w:tcPr>
                <w:p w14:paraId="7BD2C5F1">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firstLine="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w:t>
                  </w:r>
                </w:p>
              </w:tc>
              <w:tc>
                <w:tcPr>
                  <w:tcW w:w="336" w:type="pct"/>
                  <w:noWrap w:val="0"/>
                  <w:vAlign w:val="center"/>
                </w:tcPr>
                <w:p w14:paraId="1AC4DC94">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cs="Times New Roman"/>
                      <w:b w:val="0"/>
                      <w:bCs w:val="0"/>
                      <w:color w:val="auto"/>
                      <w:sz w:val="21"/>
                      <w:szCs w:val="21"/>
                      <w:highlight w:val="none"/>
                      <w:vertAlign w:val="baseline"/>
                      <w:lang w:val="en-US" w:eastAsia="zh-CN"/>
                    </w:rPr>
                    <w:t>0.085</w:t>
                  </w:r>
                </w:p>
              </w:tc>
              <w:tc>
                <w:tcPr>
                  <w:tcW w:w="408" w:type="pct"/>
                  <w:noWrap w:val="0"/>
                  <w:vAlign w:val="center"/>
                </w:tcPr>
                <w:p w14:paraId="2555A72F">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firstLine="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w:t>
                  </w:r>
                </w:p>
              </w:tc>
              <w:tc>
                <w:tcPr>
                  <w:tcW w:w="410" w:type="pct"/>
                  <w:noWrap w:val="0"/>
                  <w:vAlign w:val="center"/>
                </w:tcPr>
                <w:p w14:paraId="679E6B94">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cs="Times New Roman"/>
                      <w:b w:val="0"/>
                      <w:bCs w:val="0"/>
                      <w:color w:val="auto"/>
                      <w:sz w:val="21"/>
                      <w:szCs w:val="21"/>
                      <w:highlight w:val="none"/>
                      <w:vertAlign w:val="baseline"/>
                      <w:lang w:val="en-US" w:eastAsia="zh-CN"/>
                    </w:rPr>
                    <w:t>0.0097</w:t>
                  </w:r>
                </w:p>
              </w:tc>
              <w:tc>
                <w:tcPr>
                  <w:tcW w:w="354" w:type="pct"/>
                  <w:noWrap w:val="0"/>
                  <w:vAlign w:val="center"/>
                </w:tcPr>
                <w:p w14:paraId="509E930F">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firstLine="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cs="Times New Roman"/>
                      <w:color w:val="auto"/>
                      <w:sz w:val="21"/>
                      <w:szCs w:val="21"/>
                      <w:lang w:val="en-US" w:eastAsia="zh-CN"/>
                    </w:rPr>
                    <w:t>8760</w:t>
                  </w:r>
                </w:p>
              </w:tc>
            </w:tr>
            <w:tr w14:paraId="2942E7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244" w:type="pct"/>
                  <w:vMerge w:val="continue"/>
                  <w:noWrap w:val="0"/>
                  <w:vAlign w:val="center"/>
                </w:tcPr>
                <w:p w14:paraId="10654770">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firstLine="0"/>
                    <w:jc w:val="center"/>
                    <w:textAlignment w:val="auto"/>
                    <w:rPr>
                      <w:rFonts w:hint="eastAsia" w:ascii="Times New Roman" w:cs="Times New Roman"/>
                      <w:b w:val="0"/>
                      <w:bCs w:val="0"/>
                      <w:color w:val="0000FF"/>
                      <w:sz w:val="21"/>
                      <w:szCs w:val="21"/>
                      <w:highlight w:val="none"/>
                      <w:vertAlign w:val="baseline"/>
                      <w:lang w:val="en-US" w:eastAsia="zh-CN"/>
                    </w:rPr>
                  </w:pPr>
                </w:p>
              </w:tc>
              <w:tc>
                <w:tcPr>
                  <w:tcW w:w="327" w:type="pct"/>
                  <w:vMerge w:val="continue"/>
                  <w:noWrap w:val="0"/>
                  <w:vAlign w:val="center"/>
                </w:tcPr>
                <w:p w14:paraId="0CD267E5">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firstLine="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327" w:type="pct"/>
                  <w:noWrap w:val="0"/>
                  <w:vAlign w:val="center"/>
                </w:tcPr>
                <w:p w14:paraId="77A2B9A5">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cs="Times New Roman"/>
                      <w:b w:val="0"/>
                      <w:bCs w:val="0"/>
                      <w:color w:val="auto"/>
                      <w:sz w:val="21"/>
                      <w:szCs w:val="21"/>
                      <w:highlight w:val="none"/>
                      <w:vertAlign w:val="baseline"/>
                      <w:lang w:val="en-US" w:eastAsia="zh-CN"/>
                    </w:rPr>
                    <w:t>硫酸雾</w:t>
                  </w:r>
                </w:p>
              </w:tc>
              <w:tc>
                <w:tcPr>
                  <w:tcW w:w="336" w:type="pct"/>
                  <w:noWrap w:val="0"/>
                  <w:vAlign w:val="center"/>
                </w:tcPr>
                <w:p w14:paraId="5595F71D">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left="0" w:leftChars="0" w:firstLine="0" w:firstLineChars="0"/>
                    <w:jc w:val="center"/>
                    <w:textAlignment w:val="auto"/>
                    <w:rPr>
                      <w:rFonts w:hint="default" w:ascii="Times New Roman" w:cs="Times New Roman"/>
                      <w:b w:val="0"/>
                      <w:bCs w:val="0"/>
                      <w:color w:val="auto"/>
                      <w:sz w:val="21"/>
                      <w:szCs w:val="21"/>
                      <w:highlight w:val="none"/>
                      <w:vertAlign w:val="baseline"/>
                      <w:lang w:val="en-US" w:eastAsia="zh-CN"/>
                    </w:rPr>
                  </w:pPr>
                  <w:r>
                    <w:rPr>
                      <w:rFonts w:hint="eastAsia" w:ascii="Times New Roman" w:cs="Times New Roman"/>
                      <w:b w:val="0"/>
                      <w:bCs w:val="0"/>
                      <w:color w:val="auto"/>
                      <w:sz w:val="21"/>
                      <w:szCs w:val="21"/>
                      <w:highlight w:val="none"/>
                      <w:vertAlign w:val="baseline"/>
                      <w:lang w:val="en-US" w:eastAsia="zh-CN"/>
                    </w:rPr>
                    <w:t>0.040</w:t>
                  </w:r>
                </w:p>
              </w:tc>
              <w:tc>
                <w:tcPr>
                  <w:tcW w:w="469" w:type="pct"/>
                  <w:noWrap w:val="0"/>
                  <w:vAlign w:val="center"/>
                </w:tcPr>
                <w:p w14:paraId="7AC08A26">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cs="Times New Roman"/>
                      <w:b w:val="0"/>
                      <w:bCs w:val="0"/>
                      <w:color w:val="auto"/>
                      <w:sz w:val="21"/>
                      <w:szCs w:val="21"/>
                      <w:highlight w:val="none"/>
                      <w:vertAlign w:val="baseline"/>
                      <w:lang w:val="en-US" w:eastAsia="zh-CN"/>
                    </w:rPr>
                    <w:t>/</w:t>
                  </w:r>
                </w:p>
              </w:tc>
              <w:tc>
                <w:tcPr>
                  <w:tcW w:w="400" w:type="pct"/>
                  <w:noWrap w:val="0"/>
                  <w:vAlign w:val="center"/>
                </w:tcPr>
                <w:p w14:paraId="5C28928C">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cs="Times New Roman"/>
                      <w:b w:val="0"/>
                      <w:bCs w:val="0"/>
                      <w:color w:val="auto"/>
                      <w:sz w:val="21"/>
                      <w:szCs w:val="21"/>
                      <w:highlight w:val="none"/>
                      <w:vertAlign w:val="baseline"/>
                      <w:lang w:val="en-US" w:eastAsia="zh-CN"/>
                    </w:rPr>
                    <w:t>0.0046</w:t>
                  </w:r>
                </w:p>
              </w:tc>
              <w:tc>
                <w:tcPr>
                  <w:tcW w:w="569" w:type="pct"/>
                  <w:vMerge w:val="continue"/>
                  <w:noWrap w:val="0"/>
                  <w:vAlign w:val="center"/>
                </w:tcPr>
                <w:p w14:paraId="60ADA81B">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left="0" w:leftChars="0" w:firstLine="0" w:firstLineChars="0"/>
                    <w:jc w:val="center"/>
                    <w:textAlignment w:val="auto"/>
                    <w:rPr>
                      <w:rFonts w:hint="default" w:ascii="Times New Roman" w:cs="Times New Roman"/>
                      <w:b w:val="0"/>
                      <w:bCs w:val="0"/>
                      <w:color w:val="auto"/>
                      <w:sz w:val="21"/>
                      <w:szCs w:val="21"/>
                      <w:highlight w:val="none"/>
                      <w:vertAlign w:val="baseline"/>
                      <w:lang w:val="en-US" w:eastAsia="zh-CN"/>
                    </w:rPr>
                  </w:pPr>
                </w:p>
              </w:tc>
              <w:tc>
                <w:tcPr>
                  <w:tcW w:w="408" w:type="pct"/>
                  <w:noWrap w:val="0"/>
                  <w:vAlign w:val="center"/>
                </w:tcPr>
                <w:p w14:paraId="5797EAF2">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left="0" w:leftChars="0" w:firstLine="0" w:firstLineChars="0"/>
                    <w:jc w:val="center"/>
                    <w:textAlignment w:val="auto"/>
                    <w:rPr>
                      <w:rFonts w:hint="default" w:ascii="Times New Roman" w:cs="Times New Roman"/>
                      <w:b w:val="0"/>
                      <w:bCs w:val="0"/>
                      <w:color w:val="auto"/>
                      <w:sz w:val="21"/>
                      <w:szCs w:val="21"/>
                      <w:highlight w:val="none"/>
                      <w:vertAlign w:val="baseline"/>
                      <w:lang w:val="en-US" w:eastAsia="zh-CN"/>
                    </w:rPr>
                  </w:pPr>
                  <w:r>
                    <w:rPr>
                      <w:rFonts w:hint="eastAsia" w:ascii="Times New Roman" w:cs="Times New Roman"/>
                      <w:b w:val="0"/>
                      <w:bCs w:val="0"/>
                      <w:color w:val="auto"/>
                      <w:sz w:val="21"/>
                      <w:szCs w:val="21"/>
                      <w:highlight w:val="none"/>
                      <w:vertAlign w:val="baseline"/>
                      <w:lang w:val="en-US" w:eastAsia="zh-CN"/>
                    </w:rPr>
                    <w:t>/</w:t>
                  </w:r>
                </w:p>
              </w:tc>
              <w:tc>
                <w:tcPr>
                  <w:tcW w:w="409" w:type="pct"/>
                  <w:noWrap w:val="0"/>
                  <w:vAlign w:val="center"/>
                </w:tcPr>
                <w:p w14:paraId="12AB1898">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firstLine="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cs="Times New Roman"/>
                      <w:b w:val="0"/>
                      <w:bCs w:val="0"/>
                      <w:color w:val="auto"/>
                      <w:sz w:val="21"/>
                      <w:szCs w:val="21"/>
                      <w:highlight w:val="none"/>
                      <w:vertAlign w:val="baseline"/>
                      <w:lang w:val="en-US" w:eastAsia="zh-CN"/>
                    </w:rPr>
                    <w:t>/</w:t>
                  </w:r>
                </w:p>
              </w:tc>
              <w:tc>
                <w:tcPr>
                  <w:tcW w:w="336" w:type="pct"/>
                  <w:noWrap w:val="0"/>
                  <w:vAlign w:val="center"/>
                </w:tcPr>
                <w:p w14:paraId="327974AC">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left="0" w:leftChars="0" w:firstLine="0" w:firstLineChars="0"/>
                    <w:jc w:val="center"/>
                    <w:textAlignment w:val="auto"/>
                    <w:rPr>
                      <w:rFonts w:hint="default" w:ascii="Times New Roman" w:cs="Times New Roman"/>
                      <w:b w:val="0"/>
                      <w:bCs w:val="0"/>
                      <w:color w:val="auto"/>
                      <w:sz w:val="21"/>
                      <w:szCs w:val="21"/>
                      <w:highlight w:val="none"/>
                      <w:vertAlign w:val="baseline"/>
                      <w:lang w:val="en-US" w:eastAsia="zh-CN"/>
                    </w:rPr>
                  </w:pPr>
                  <w:r>
                    <w:rPr>
                      <w:rFonts w:hint="eastAsia" w:ascii="Times New Roman" w:cs="Times New Roman"/>
                      <w:b w:val="0"/>
                      <w:bCs w:val="0"/>
                      <w:color w:val="auto"/>
                      <w:sz w:val="21"/>
                      <w:szCs w:val="21"/>
                      <w:highlight w:val="none"/>
                      <w:vertAlign w:val="baseline"/>
                      <w:lang w:val="en-US" w:eastAsia="zh-CN"/>
                    </w:rPr>
                    <w:t>0.040</w:t>
                  </w:r>
                </w:p>
              </w:tc>
              <w:tc>
                <w:tcPr>
                  <w:tcW w:w="408" w:type="pct"/>
                  <w:noWrap w:val="0"/>
                  <w:vAlign w:val="center"/>
                </w:tcPr>
                <w:p w14:paraId="530978CB">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firstLine="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cs="Times New Roman"/>
                      <w:b w:val="0"/>
                      <w:bCs w:val="0"/>
                      <w:color w:val="auto"/>
                      <w:sz w:val="21"/>
                      <w:szCs w:val="21"/>
                      <w:highlight w:val="none"/>
                      <w:vertAlign w:val="baseline"/>
                      <w:lang w:val="en-US" w:eastAsia="zh-CN"/>
                    </w:rPr>
                    <w:t>/</w:t>
                  </w:r>
                </w:p>
              </w:tc>
              <w:tc>
                <w:tcPr>
                  <w:tcW w:w="410" w:type="pct"/>
                  <w:noWrap w:val="0"/>
                  <w:vAlign w:val="center"/>
                </w:tcPr>
                <w:p w14:paraId="6433B447">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left="0" w:leftChars="0" w:firstLine="0" w:firstLineChars="0"/>
                    <w:jc w:val="center"/>
                    <w:textAlignment w:val="auto"/>
                    <w:rPr>
                      <w:rFonts w:hint="default" w:ascii="Times New Roman" w:cs="Times New Roman"/>
                      <w:b w:val="0"/>
                      <w:bCs w:val="0"/>
                      <w:color w:val="auto"/>
                      <w:sz w:val="21"/>
                      <w:szCs w:val="21"/>
                      <w:highlight w:val="none"/>
                      <w:vertAlign w:val="baseline"/>
                      <w:lang w:val="en-US" w:eastAsia="zh-CN"/>
                    </w:rPr>
                  </w:pPr>
                  <w:r>
                    <w:rPr>
                      <w:rFonts w:hint="eastAsia" w:ascii="Times New Roman" w:cs="Times New Roman"/>
                      <w:b w:val="0"/>
                      <w:bCs w:val="0"/>
                      <w:color w:val="auto"/>
                      <w:sz w:val="21"/>
                      <w:szCs w:val="21"/>
                      <w:highlight w:val="none"/>
                      <w:vertAlign w:val="baseline"/>
                      <w:lang w:val="en-US" w:eastAsia="zh-CN"/>
                    </w:rPr>
                    <w:t>0.0046</w:t>
                  </w:r>
                </w:p>
              </w:tc>
              <w:tc>
                <w:tcPr>
                  <w:tcW w:w="354" w:type="pct"/>
                  <w:noWrap w:val="0"/>
                  <w:vAlign w:val="center"/>
                </w:tcPr>
                <w:p w14:paraId="5C8A29D1">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firstLine="0"/>
                    <w:jc w:val="center"/>
                    <w:textAlignment w:val="auto"/>
                    <w:rPr>
                      <w:rFonts w:hint="default" w:ascii="Times New Roman" w:cs="Times New Roman"/>
                      <w:color w:val="auto"/>
                      <w:sz w:val="21"/>
                      <w:szCs w:val="21"/>
                      <w:lang w:val="en-US" w:eastAsia="zh-CN"/>
                    </w:rPr>
                  </w:pPr>
                  <w:r>
                    <w:rPr>
                      <w:rFonts w:hint="eastAsia" w:ascii="Times New Roman" w:cs="Times New Roman"/>
                      <w:color w:val="auto"/>
                      <w:sz w:val="21"/>
                      <w:szCs w:val="21"/>
                      <w:lang w:val="en-US" w:eastAsia="zh-CN"/>
                    </w:rPr>
                    <w:t>8760</w:t>
                  </w:r>
                </w:p>
              </w:tc>
            </w:tr>
            <w:tr w14:paraId="4F2B19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7" w:hRule="atLeast"/>
              </w:trPr>
              <w:tc>
                <w:tcPr>
                  <w:tcW w:w="244" w:type="pct"/>
                  <w:vMerge w:val="continue"/>
                  <w:noWrap w:val="0"/>
                  <w:vAlign w:val="center"/>
                </w:tcPr>
                <w:p w14:paraId="16F91BE5">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firstLine="0"/>
                    <w:jc w:val="center"/>
                    <w:textAlignment w:val="auto"/>
                    <w:rPr>
                      <w:rFonts w:hint="eastAsia" w:ascii="Times New Roman" w:cs="Times New Roman"/>
                      <w:b w:val="0"/>
                      <w:bCs w:val="0"/>
                      <w:color w:val="0000FF"/>
                      <w:sz w:val="21"/>
                      <w:szCs w:val="21"/>
                      <w:highlight w:val="none"/>
                      <w:vertAlign w:val="baseline"/>
                      <w:lang w:val="en-US" w:eastAsia="zh-CN"/>
                    </w:rPr>
                  </w:pPr>
                </w:p>
              </w:tc>
              <w:tc>
                <w:tcPr>
                  <w:tcW w:w="327" w:type="pct"/>
                  <w:vMerge w:val="continue"/>
                  <w:noWrap w:val="0"/>
                  <w:vAlign w:val="center"/>
                </w:tcPr>
                <w:p w14:paraId="71521C25">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firstLine="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327" w:type="pct"/>
                  <w:noWrap w:val="0"/>
                  <w:vAlign w:val="center"/>
                </w:tcPr>
                <w:p w14:paraId="1145F3DD">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left="0" w:leftChars="0" w:firstLine="0" w:firstLineChars="0"/>
                    <w:jc w:val="center"/>
                    <w:textAlignment w:val="auto"/>
                    <w:rPr>
                      <w:rFonts w:hint="eastAsia" w:ascii="Times New Roman"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VOCs</w:t>
                  </w:r>
                </w:p>
              </w:tc>
              <w:tc>
                <w:tcPr>
                  <w:tcW w:w="336" w:type="pct"/>
                  <w:noWrap w:val="0"/>
                  <w:vAlign w:val="center"/>
                </w:tcPr>
                <w:p w14:paraId="70219857">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left="0" w:leftChars="0" w:firstLine="0" w:firstLineChars="0"/>
                    <w:jc w:val="center"/>
                    <w:textAlignment w:val="auto"/>
                    <w:rPr>
                      <w:rFonts w:hint="default" w:ascii="Times New Roman" w:cs="Times New Roman"/>
                      <w:b w:val="0"/>
                      <w:bCs w:val="0"/>
                      <w:color w:val="auto"/>
                      <w:sz w:val="21"/>
                      <w:szCs w:val="21"/>
                      <w:highlight w:val="none"/>
                      <w:vertAlign w:val="baseline"/>
                      <w:lang w:val="en-US" w:eastAsia="zh-CN"/>
                    </w:rPr>
                  </w:pPr>
                  <w:r>
                    <w:rPr>
                      <w:rFonts w:hint="eastAsia" w:ascii="Times New Roman" w:cs="Times New Roman"/>
                      <w:b w:val="0"/>
                      <w:bCs w:val="0"/>
                      <w:color w:val="auto"/>
                      <w:sz w:val="21"/>
                      <w:szCs w:val="21"/>
                      <w:highlight w:val="none"/>
                      <w:vertAlign w:val="baseline"/>
                      <w:lang w:val="en-US" w:eastAsia="zh-CN"/>
                    </w:rPr>
                    <w:t>0.016</w:t>
                  </w:r>
                </w:p>
              </w:tc>
              <w:tc>
                <w:tcPr>
                  <w:tcW w:w="469" w:type="pct"/>
                  <w:noWrap w:val="0"/>
                  <w:vAlign w:val="center"/>
                </w:tcPr>
                <w:p w14:paraId="129FBC5D">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left="0" w:leftChars="0" w:firstLine="0" w:firstLineChars="0"/>
                    <w:jc w:val="center"/>
                    <w:textAlignment w:val="auto"/>
                    <w:rPr>
                      <w:rFonts w:hint="default" w:ascii="Times New Roman" w:cs="Times New Roman"/>
                      <w:b w:val="0"/>
                      <w:bCs w:val="0"/>
                      <w:color w:val="auto"/>
                      <w:sz w:val="21"/>
                      <w:szCs w:val="21"/>
                      <w:highlight w:val="none"/>
                      <w:vertAlign w:val="baseline"/>
                      <w:lang w:val="en-US" w:eastAsia="zh-CN"/>
                    </w:rPr>
                  </w:pPr>
                  <w:r>
                    <w:rPr>
                      <w:rFonts w:hint="eastAsia" w:ascii="Times New Roman" w:cs="Times New Roman"/>
                      <w:b w:val="0"/>
                      <w:bCs w:val="0"/>
                      <w:color w:val="auto"/>
                      <w:sz w:val="21"/>
                      <w:szCs w:val="21"/>
                      <w:highlight w:val="none"/>
                      <w:vertAlign w:val="baseline"/>
                      <w:lang w:val="en-US" w:eastAsia="zh-CN"/>
                    </w:rPr>
                    <w:t>/</w:t>
                  </w:r>
                </w:p>
              </w:tc>
              <w:tc>
                <w:tcPr>
                  <w:tcW w:w="400" w:type="pct"/>
                  <w:noWrap w:val="0"/>
                  <w:vAlign w:val="center"/>
                </w:tcPr>
                <w:p w14:paraId="4712608E">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left="0" w:leftChars="0" w:firstLine="0" w:firstLineChars="0"/>
                    <w:jc w:val="center"/>
                    <w:textAlignment w:val="auto"/>
                    <w:rPr>
                      <w:rFonts w:hint="eastAsia" w:ascii="Times New Roman" w:hAnsi="Times New Roman" w:eastAsia="宋体" w:cs="Times New Roman"/>
                      <w:b w:val="0"/>
                      <w:bCs w:val="0"/>
                      <w:color w:val="auto"/>
                      <w:sz w:val="21"/>
                      <w:szCs w:val="21"/>
                      <w:highlight w:val="none"/>
                      <w:vertAlign w:val="baseline"/>
                      <w:lang w:val="en-US" w:eastAsia="zh-CN"/>
                    </w:rPr>
                  </w:pPr>
                  <w:r>
                    <w:rPr>
                      <w:rFonts w:hint="eastAsia" w:ascii="Times New Roman" w:cs="Times New Roman"/>
                      <w:b w:val="0"/>
                      <w:bCs w:val="0"/>
                      <w:color w:val="auto"/>
                      <w:sz w:val="21"/>
                      <w:szCs w:val="21"/>
                      <w:highlight w:val="none"/>
                      <w:vertAlign w:val="baseline"/>
                      <w:lang w:val="en-US" w:eastAsia="zh-CN"/>
                    </w:rPr>
                    <w:t>0.0018</w:t>
                  </w:r>
                </w:p>
              </w:tc>
              <w:tc>
                <w:tcPr>
                  <w:tcW w:w="569" w:type="pct"/>
                  <w:vMerge w:val="continue"/>
                  <w:noWrap w:val="0"/>
                  <w:vAlign w:val="center"/>
                </w:tcPr>
                <w:p w14:paraId="4D34BC2B">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left="0" w:leftChars="0" w:firstLine="0" w:firstLineChars="0"/>
                    <w:jc w:val="center"/>
                    <w:textAlignment w:val="auto"/>
                    <w:rPr>
                      <w:rFonts w:hint="eastAsia" w:ascii="Times New Roman" w:cs="Times New Roman"/>
                      <w:b w:val="0"/>
                      <w:bCs w:val="0"/>
                      <w:color w:val="auto"/>
                      <w:sz w:val="21"/>
                      <w:szCs w:val="21"/>
                      <w:highlight w:val="none"/>
                      <w:vertAlign w:val="baseline"/>
                      <w:lang w:val="en-US" w:eastAsia="zh-CN"/>
                    </w:rPr>
                  </w:pPr>
                </w:p>
              </w:tc>
              <w:tc>
                <w:tcPr>
                  <w:tcW w:w="408" w:type="pct"/>
                  <w:noWrap w:val="0"/>
                  <w:vAlign w:val="center"/>
                </w:tcPr>
                <w:p w14:paraId="7238AE33">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left="0" w:leftChars="0" w:firstLine="0" w:firstLineChars="0"/>
                    <w:jc w:val="center"/>
                    <w:textAlignment w:val="auto"/>
                    <w:rPr>
                      <w:rFonts w:hint="eastAsia" w:ascii="Times New Roman" w:cs="Times New Roman"/>
                      <w:b w:val="0"/>
                      <w:bCs w:val="0"/>
                      <w:color w:val="auto"/>
                      <w:sz w:val="21"/>
                      <w:szCs w:val="21"/>
                      <w:highlight w:val="none"/>
                      <w:vertAlign w:val="baseline"/>
                      <w:lang w:val="en-US" w:eastAsia="zh-CN"/>
                    </w:rPr>
                  </w:pPr>
                  <w:r>
                    <w:rPr>
                      <w:rFonts w:hint="eastAsia" w:ascii="Times New Roman" w:cs="Times New Roman"/>
                      <w:b w:val="0"/>
                      <w:bCs w:val="0"/>
                      <w:color w:val="auto"/>
                      <w:sz w:val="21"/>
                      <w:szCs w:val="21"/>
                      <w:highlight w:val="none"/>
                      <w:vertAlign w:val="baseline"/>
                      <w:lang w:val="en-US" w:eastAsia="zh-CN"/>
                    </w:rPr>
                    <w:t>/</w:t>
                  </w:r>
                </w:p>
              </w:tc>
              <w:tc>
                <w:tcPr>
                  <w:tcW w:w="409" w:type="pct"/>
                  <w:noWrap w:val="0"/>
                  <w:vAlign w:val="center"/>
                </w:tcPr>
                <w:p w14:paraId="7AC00BDB">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left="0" w:leftChars="0" w:firstLine="0" w:firstLineChars="0"/>
                    <w:jc w:val="center"/>
                    <w:textAlignment w:val="auto"/>
                    <w:rPr>
                      <w:rFonts w:hint="eastAsia" w:ascii="Times New Roman"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w:t>
                  </w:r>
                </w:p>
              </w:tc>
              <w:tc>
                <w:tcPr>
                  <w:tcW w:w="336" w:type="pct"/>
                  <w:noWrap w:val="0"/>
                  <w:vAlign w:val="center"/>
                </w:tcPr>
                <w:p w14:paraId="55CBEA33">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left="0" w:leftChars="0" w:firstLine="0" w:firstLineChars="0"/>
                    <w:jc w:val="center"/>
                    <w:textAlignment w:val="auto"/>
                    <w:rPr>
                      <w:rFonts w:hint="default" w:ascii="Times New Roman" w:cs="Times New Roman"/>
                      <w:b w:val="0"/>
                      <w:bCs w:val="0"/>
                      <w:color w:val="auto"/>
                      <w:sz w:val="21"/>
                      <w:szCs w:val="21"/>
                      <w:highlight w:val="none"/>
                      <w:vertAlign w:val="baseline"/>
                      <w:lang w:val="en-US" w:eastAsia="zh-CN"/>
                    </w:rPr>
                  </w:pPr>
                  <w:r>
                    <w:rPr>
                      <w:rFonts w:hint="eastAsia" w:ascii="Times New Roman" w:cs="Times New Roman"/>
                      <w:b w:val="0"/>
                      <w:bCs w:val="0"/>
                      <w:color w:val="auto"/>
                      <w:sz w:val="21"/>
                      <w:szCs w:val="21"/>
                      <w:highlight w:val="none"/>
                      <w:vertAlign w:val="baseline"/>
                      <w:lang w:val="en-US" w:eastAsia="zh-CN"/>
                    </w:rPr>
                    <w:t>0.016</w:t>
                  </w:r>
                </w:p>
              </w:tc>
              <w:tc>
                <w:tcPr>
                  <w:tcW w:w="408" w:type="pct"/>
                  <w:noWrap w:val="0"/>
                  <w:vAlign w:val="center"/>
                </w:tcPr>
                <w:p w14:paraId="1E85AD93">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left="0" w:leftChars="0" w:firstLine="0" w:firstLineChars="0"/>
                    <w:jc w:val="center"/>
                    <w:textAlignment w:val="auto"/>
                    <w:rPr>
                      <w:rFonts w:hint="eastAsia" w:ascii="Times New Roman" w:cs="Times New Roman"/>
                      <w:b w:val="0"/>
                      <w:bCs w:val="0"/>
                      <w:color w:val="auto"/>
                      <w:sz w:val="21"/>
                      <w:szCs w:val="21"/>
                      <w:highlight w:val="none"/>
                      <w:vertAlign w:val="baseline"/>
                      <w:lang w:val="en-US" w:eastAsia="zh-CN"/>
                    </w:rPr>
                  </w:pPr>
                  <w:r>
                    <w:rPr>
                      <w:rFonts w:hint="eastAsia" w:ascii="Times New Roman" w:cs="Times New Roman"/>
                      <w:b w:val="0"/>
                      <w:bCs w:val="0"/>
                      <w:color w:val="auto"/>
                      <w:sz w:val="21"/>
                      <w:szCs w:val="21"/>
                      <w:highlight w:val="none"/>
                      <w:vertAlign w:val="baseline"/>
                      <w:lang w:val="en-US" w:eastAsia="zh-CN"/>
                    </w:rPr>
                    <w:t>/</w:t>
                  </w:r>
                </w:p>
              </w:tc>
              <w:tc>
                <w:tcPr>
                  <w:tcW w:w="410" w:type="pct"/>
                  <w:noWrap w:val="0"/>
                  <w:vAlign w:val="center"/>
                </w:tcPr>
                <w:p w14:paraId="18BC10EA">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left="0" w:leftChars="0" w:firstLine="0" w:firstLineChars="0"/>
                    <w:jc w:val="center"/>
                    <w:textAlignment w:val="auto"/>
                    <w:rPr>
                      <w:rFonts w:hint="default" w:ascii="Times New Roman" w:cs="Times New Roman"/>
                      <w:b w:val="0"/>
                      <w:bCs w:val="0"/>
                      <w:color w:val="auto"/>
                      <w:sz w:val="21"/>
                      <w:szCs w:val="21"/>
                      <w:highlight w:val="none"/>
                      <w:vertAlign w:val="baseline"/>
                      <w:lang w:val="en-US" w:eastAsia="zh-CN"/>
                    </w:rPr>
                  </w:pPr>
                  <w:r>
                    <w:rPr>
                      <w:rFonts w:hint="eastAsia" w:ascii="Times New Roman" w:cs="Times New Roman"/>
                      <w:b w:val="0"/>
                      <w:bCs w:val="0"/>
                      <w:color w:val="auto"/>
                      <w:sz w:val="21"/>
                      <w:szCs w:val="21"/>
                      <w:highlight w:val="none"/>
                      <w:vertAlign w:val="baseline"/>
                      <w:lang w:val="en-US" w:eastAsia="zh-CN"/>
                    </w:rPr>
                    <w:t>0.0018</w:t>
                  </w:r>
                </w:p>
              </w:tc>
              <w:tc>
                <w:tcPr>
                  <w:tcW w:w="354" w:type="pct"/>
                  <w:noWrap w:val="0"/>
                  <w:vAlign w:val="center"/>
                </w:tcPr>
                <w:p w14:paraId="77C619AA">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240" w:lineRule="auto"/>
                    <w:ind w:firstLine="0"/>
                    <w:jc w:val="center"/>
                    <w:textAlignment w:val="auto"/>
                    <w:rPr>
                      <w:rFonts w:hint="eastAsia" w:ascii="Times New Roman" w:cs="Times New Roman"/>
                      <w:color w:val="auto"/>
                      <w:sz w:val="21"/>
                      <w:szCs w:val="21"/>
                      <w:lang w:val="en-US" w:eastAsia="zh-CN"/>
                    </w:rPr>
                  </w:pPr>
                  <w:r>
                    <w:rPr>
                      <w:rFonts w:hint="eastAsia" w:ascii="Times New Roman" w:cs="Times New Roman"/>
                      <w:color w:val="auto"/>
                      <w:sz w:val="21"/>
                      <w:szCs w:val="21"/>
                      <w:lang w:val="en-US" w:eastAsia="zh-CN"/>
                    </w:rPr>
                    <w:t>8760</w:t>
                  </w:r>
                </w:p>
              </w:tc>
            </w:tr>
          </w:tbl>
          <w:p w14:paraId="7D501335">
            <w:pPr>
              <w:pStyle w:val="35"/>
              <w:tabs>
                <w:tab w:val="left" w:pos="1470"/>
              </w:tabs>
              <w:spacing w:line="240" w:lineRule="auto"/>
              <w:ind w:firstLine="480" w:firstLineChars="200"/>
              <w:rPr>
                <w:rFonts w:hint="eastAsia" w:ascii="Times New Roman" w:hAnsi="Times New Roman" w:eastAsia="宋体" w:cs="Times New Roman"/>
                <w:color w:val="FF0000"/>
                <w:kern w:val="2"/>
                <w:sz w:val="24"/>
                <w:szCs w:val="24"/>
                <w:highlight w:val="none"/>
                <w:lang w:val="en-US" w:eastAsia="zh-CN" w:bidi="ar-SA"/>
              </w:rPr>
            </w:pPr>
          </w:p>
        </w:tc>
      </w:tr>
    </w:tbl>
    <w:p w14:paraId="4B40FD81">
      <w:pPr>
        <w:rPr>
          <w:color w:val="FF0000"/>
        </w:rPr>
      </w:pPr>
    </w:p>
    <w:p w14:paraId="002E7293">
      <w:pPr>
        <w:rPr>
          <w:color w:val="FF0000"/>
        </w:rPr>
        <w:sectPr>
          <w:pgSz w:w="16838" w:h="11905" w:orient="landscape"/>
          <w:pgMar w:top="1417" w:right="1417" w:bottom="1417" w:left="1417" w:header="851" w:footer="850" w:gutter="0"/>
          <w:pgBorders>
            <w:top w:val="none" w:sz="0" w:space="0"/>
            <w:left w:val="none" w:sz="0" w:space="0"/>
            <w:bottom w:val="none" w:sz="0" w:space="0"/>
            <w:right w:val="none" w:sz="0" w:space="0"/>
          </w:pgBorders>
          <w:pgNumType w:fmt="decimal"/>
          <w:cols w:space="0" w:num="1"/>
          <w:rtlGutter w:val="0"/>
          <w:docGrid w:linePitch="312" w:charSpace="0"/>
        </w:sectPr>
      </w:pPr>
    </w:p>
    <w:tbl>
      <w:tblPr>
        <w:tblStyle w:val="27"/>
        <w:tblW w:w="5026"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355"/>
        <w:gridCol w:w="8929"/>
      </w:tblGrid>
      <w:tr w14:paraId="3865B55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157" w:hRule="atLeast"/>
          <w:jc w:val="center"/>
        </w:trPr>
        <w:tc>
          <w:tcPr>
            <w:tcW w:w="191" w:type="pct"/>
            <w:tcMar>
              <w:left w:w="57" w:type="dxa"/>
              <w:right w:w="57" w:type="dxa"/>
            </w:tcMar>
            <w:vAlign w:val="center"/>
          </w:tcPr>
          <w:p w14:paraId="706FB8F4">
            <w:pPr>
              <w:adjustRightInd w:val="0"/>
              <w:snapToGrid w:val="0"/>
              <w:jc w:val="center"/>
              <w:rPr>
                <w:bCs/>
                <w:color w:val="auto"/>
                <w:sz w:val="24"/>
                <w:szCs w:val="21"/>
              </w:rPr>
            </w:pPr>
            <w:r>
              <w:rPr>
                <w:bCs/>
                <w:color w:val="auto"/>
                <w:sz w:val="24"/>
                <w:szCs w:val="21"/>
              </w:rPr>
              <w:t>运营</w:t>
            </w:r>
          </w:p>
          <w:p w14:paraId="717FDF84">
            <w:pPr>
              <w:adjustRightInd w:val="0"/>
              <w:snapToGrid w:val="0"/>
              <w:jc w:val="center"/>
              <w:rPr>
                <w:bCs/>
                <w:color w:val="auto"/>
                <w:sz w:val="24"/>
                <w:szCs w:val="21"/>
              </w:rPr>
            </w:pPr>
            <w:r>
              <w:rPr>
                <w:bCs/>
                <w:color w:val="auto"/>
                <w:sz w:val="24"/>
                <w:szCs w:val="21"/>
              </w:rPr>
              <w:t>期环</w:t>
            </w:r>
          </w:p>
          <w:p w14:paraId="0B012227">
            <w:pPr>
              <w:adjustRightInd w:val="0"/>
              <w:snapToGrid w:val="0"/>
              <w:jc w:val="center"/>
              <w:rPr>
                <w:bCs/>
                <w:color w:val="auto"/>
                <w:sz w:val="24"/>
                <w:szCs w:val="21"/>
              </w:rPr>
            </w:pPr>
            <w:r>
              <w:rPr>
                <w:bCs/>
                <w:color w:val="auto"/>
                <w:sz w:val="24"/>
                <w:szCs w:val="21"/>
              </w:rPr>
              <w:t>境影</w:t>
            </w:r>
          </w:p>
          <w:p w14:paraId="78ED5DCF">
            <w:pPr>
              <w:adjustRightInd w:val="0"/>
              <w:snapToGrid w:val="0"/>
              <w:jc w:val="center"/>
              <w:rPr>
                <w:bCs/>
                <w:color w:val="auto"/>
                <w:sz w:val="24"/>
                <w:szCs w:val="21"/>
              </w:rPr>
            </w:pPr>
            <w:r>
              <w:rPr>
                <w:bCs/>
                <w:color w:val="auto"/>
                <w:sz w:val="24"/>
                <w:szCs w:val="21"/>
              </w:rPr>
              <w:t>响和</w:t>
            </w:r>
          </w:p>
          <w:p w14:paraId="1B1A8C51">
            <w:pPr>
              <w:adjustRightInd w:val="0"/>
              <w:snapToGrid w:val="0"/>
              <w:jc w:val="center"/>
              <w:rPr>
                <w:bCs/>
                <w:color w:val="auto"/>
                <w:sz w:val="24"/>
                <w:szCs w:val="21"/>
              </w:rPr>
            </w:pPr>
            <w:r>
              <w:rPr>
                <w:bCs/>
                <w:color w:val="auto"/>
                <w:sz w:val="24"/>
                <w:szCs w:val="21"/>
              </w:rPr>
              <w:t>保护</w:t>
            </w:r>
          </w:p>
          <w:p w14:paraId="476190D5">
            <w:pPr>
              <w:adjustRightInd w:val="0"/>
              <w:snapToGrid w:val="0"/>
              <w:jc w:val="center"/>
              <w:rPr>
                <w:bCs/>
                <w:color w:val="FF0000"/>
                <w:szCs w:val="21"/>
              </w:rPr>
            </w:pPr>
            <w:r>
              <w:rPr>
                <w:bCs/>
                <w:color w:val="auto"/>
                <w:sz w:val="24"/>
                <w:szCs w:val="21"/>
              </w:rPr>
              <w:t>措施</w:t>
            </w:r>
          </w:p>
        </w:tc>
        <w:tc>
          <w:tcPr>
            <w:tcW w:w="4808" w:type="pct"/>
            <w:vAlign w:val="center"/>
          </w:tcPr>
          <w:p w14:paraId="14778B94">
            <w:pPr>
              <w:pStyle w:val="36"/>
              <w:keepNext w:val="0"/>
              <w:keepLines w:val="0"/>
              <w:pageBreakBefore w:val="0"/>
              <w:widowControl w:val="0"/>
              <w:numPr>
                <w:ilvl w:val="0"/>
                <w:numId w:val="30"/>
              </w:numPr>
              <w:kinsoku/>
              <w:wordWrap/>
              <w:overflowPunct/>
              <w:topLinePunct w:val="0"/>
              <w:bidi w:val="0"/>
              <w:adjustRightInd w:val="0"/>
              <w:snapToGrid/>
              <w:spacing w:before="0" w:beforeLines="0" w:line="360" w:lineRule="auto"/>
              <w:ind w:left="0" w:leftChars="0" w:firstLine="482" w:firstLineChars="200"/>
              <w:jc w:val="left"/>
              <w:textAlignment w:val="auto"/>
              <w:rPr>
                <w:rFonts w:hint="eastAsia" w:ascii="Times New Roman" w:hAnsi="Times New Roman" w:cs="Times New Roman"/>
                <w:b/>
                <w:bCs/>
                <w:color w:val="auto"/>
                <w:sz w:val="24"/>
                <w:szCs w:val="24"/>
                <w:highlight w:val="none"/>
                <w:lang w:val="en-US" w:eastAsia="zh-CN"/>
              </w:rPr>
            </w:pPr>
            <w:r>
              <w:rPr>
                <w:rFonts w:hint="eastAsia" w:ascii="Times New Roman" w:hAnsi="Times New Roman" w:cs="Times New Roman"/>
                <w:b/>
                <w:bCs/>
                <w:color w:val="auto"/>
                <w:sz w:val="24"/>
                <w:szCs w:val="24"/>
                <w:highlight w:val="none"/>
                <w:lang w:val="en-US" w:eastAsia="zh-CN"/>
              </w:rPr>
              <w:t>源强核算过程</w:t>
            </w:r>
          </w:p>
          <w:p w14:paraId="4719845B">
            <w:pPr>
              <w:keepNext w:val="0"/>
              <w:keepLines w:val="0"/>
              <w:pageBreakBefore w:val="0"/>
              <w:kinsoku/>
              <w:wordWrap/>
              <w:overflowPunct/>
              <w:topLinePunct w:val="0"/>
              <w:bidi w:val="0"/>
              <w:snapToGrid/>
              <w:spacing w:line="360" w:lineRule="auto"/>
              <w:ind w:firstLine="480"/>
              <w:jc w:val="left"/>
              <w:textAlignment w:val="auto"/>
              <w:rPr>
                <w:rFonts w:hint="default" w:cs="Times New Roman"/>
                <w:color w:val="auto"/>
                <w:sz w:val="24"/>
                <w:szCs w:val="24"/>
                <w:highlight w:val="none"/>
                <w:lang w:val="en-US" w:eastAsia="zh-CN"/>
              </w:rPr>
            </w:pPr>
            <w:r>
              <w:rPr>
                <w:rFonts w:hint="eastAsia" w:cs="Times New Roman"/>
                <w:color w:val="auto"/>
                <w:sz w:val="24"/>
                <w:szCs w:val="24"/>
                <w:highlight w:val="none"/>
                <w:lang w:val="en-US" w:eastAsia="zh-CN"/>
              </w:rPr>
              <w:t>危险废物贮存库内危废种类多，成分较复杂，废物的种类相差较大，目前暂未发布行业产排污系数及污染源源强核算指南，且污染物产排情况和危废在产废单位贮存时间、入场的包装形式、经营单位管理水平等方面均有一定关系。</w:t>
            </w:r>
          </w:p>
          <w:p w14:paraId="3912C2FE">
            <w:pPr>
              <w:keepNext w:val="0"/>
              <w:keepLines w:val="0"/>
              <w:pageBreakBefore w:val="0"/>
              <w:kinsoku/>
              <w:wordWrap/>
              <w:overflowPunct/>
              <w:topLinePunct w:val="0"/>
              <w:bidi w:val="0"/>
              <w:snapToGrid/>
              <w:spacing w:line="360" w:lineRule="auto"/>
              <w:ind w:firstLine="480"/>
              <w:jc w:val="left"/>
              <w:textAlignment w:val="auto"/>
              <w:rPr>
                <w:rFonts w:hint="eastAsia" w:cs="Times New Roman"/>
                <w:color w:val="auto"/>
                <w:sz w:val="24"/>
                <w:szCs w:val="24"/>
                <w:highlight w:val="none"/>
                <w:lang w:val="en-US" w:eastAsia="zh-CN"/>
              </w:rPr>
            </w:pPr>
            <w:r>
              <w:rPr>
                <w:rFonts w:hint="eastAsia" w:cs="Times New Roman"/>
                <w:color w:val="auto"/>
                <w:sz w:val="24"/>
                <w:szCs w:val="24"/>
                <w:highlight w:val="none"/>
                <w:lang w:val="en-US" w:eastAsia="zh-CN"/>
              </w:rPr>
              <w:t>本次评价类比现有项目例行监测数据进行源强核算，搬迁后项目较现有项目在收集规模、范围、种类、运行管理等方面基本无变化，具有可类比性。对比情况如下：</w:t>
            </w:r>
          </w:p>
          <w:p w14:paraId="62708775">
            <w:pPr>
              <w:keepNext w:val="0"/>
              <w:keepLines w:val="0"/>
              <w:pageBreakBefore w:val="0"/>
              <w:widowControl w:val="0"/>
              <w:numPr>
                <w:ilvl w:val="0"/>
                <w:numId w:val="31"/>
              </w:numPr>
              <w:kinsoku/>
              <w:wordWrap/>
              <w:overflowPunct/>
              <w:topLinePunct w:val="0"/>
              <w:autoSpaceDE w:val="0"/>
              <w:autoSpaceDN w:val="0"/>
              <w:bidi w:val="0"/>
              <w:adjustRightInd w:val="0"/>
              <w:snapToGrid/>
              <w:spacing w:line="360" w:lineRule="auto"/>
              <w:ind w:left="3150" w:leftChars="0" w:hanging="3110" w:firstLineChars="0"/>
              <w:jc w:val="center"/>
              <w:textAlignment w:val="auto"/>
              <w:rPr>
                <w:rFonts w:hint="default" w:ascii="宋体" w:hAnsi="宋体" w:eastAsia="宋体" w:cs="宋体"/>
                <w:b/>
                <w:bCs/>
                <w:color w:val="auto"/>
                <w:kern w:val="0"/>
                <w:sz w:val="24"/>
                <w:szCs w:val="24"/>
                <w:lang w:val="en-US" w:eastAsia="zh-CN" w:bidi="ar"/>
              </w:rPr>
            </w:pPr>
            <w:r>
              <w:rPr>
                <w:rFonts w:hint="eastAsia" w:ascii="宋体" w:hAnsi="宋体" w:cs="宋体"/>
                <w:b/>
                <w:bCs/>
                <w:color w:val="auto"/>
                <w:kern w:val="0"/>
                <w:sz w:val="24"/>
                <w:szCs w:val="24"/>
                <w:lang w:val="en-US" w:eastAsia="zh-CN" w:bidi="ar"/>
              </w:rPr>
              <w:t>近年运行情况对比</w:t>
            </w:r>
            <w:r>
              <w:rPr>
                <w:rFonts w:hint="default" w:ascii="宋体" w:hAnsi="宋体" w:eastAsia="宋体" w:cs="宋体"/>
                <w:b/>
                <w:bCs/>
                <w:color w:val="auto"/>
                <w:kern w:val="0"/>
                <w:sz w:val="24"/>
                <w:szCs w:val="24"/>
                <w:lang w:val="en-US" w:eastAsia="zh-CN" w:bidi="ar"/>
              </w:rPr>
              <w:t>表</w:t>
            </w:r>
            <w:r>
              <w:rPr>
                <w:rFonts w:hint="eastAsia" w:ascii="宋体" w:hAnsi="宋体" w:cs="宋体"/>
                <w:b/>
                <w:bCs/>
                <w:color w:val="auto"/>
                <w:kern w:val="0"/>
                <w:sz w:val="24"/>
                <w:szCs w:val="24"/>
                <w:lang w:val="en-US" w:eastAsia="zh-CN" w:bidi="ar"/>
              </w:rPr>
              <w:t>（单位：t/a）</w:t>
            </w:r>
          </w:p>
          <w:tbl>
            <w:tblPr>
              <w:tblStyle w:val="89"/>
              <w:tblW w:w="4998" w:type="pct"/>
              <w:tblInd w:w="0" w:type="dxa"/>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Layout w:type="autofit"/>
              <w:tblCellMar>
                <w:top w:w="0" w:type="dxa"/>
                <w:left w:w="0" w:type="dxa"/>
                <w:bottom w:w="0" w:type="dxa"/>
                <w:right w:w="0" w:type="dxa"/>
              </w:tblCellMar>
            </w:tblPr>
            <w:tblGrid>
              <w:gridCol w:w="4356"/>
              <w:gridCol w:w="1207"/>
              <w:gridCol w:w="1207"/>
              <w:gridCol w:w="1935"/>
            </w:tblGrid>
            <w:tr w14:paraId="65BB3BFB">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2502" w:type="pct"/>
                  <w:vMerge w:val="restart"/>
                  <w:tcBorders>
                    <w:tl2br w:val="nil"/>
                    <w:tr2bl w:val="nil"/>
                  </w:tcBorders>
                  <w:vAlign w:val="center"/>
                </w:tcPr>
                <w:p w14:paraId="356A87DD">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i w:val="0"/>
                      <w:iCs w:val="0"/>
                      <w:color w:val="auto"/>
                      <w:kern w:val="0"/>
                      <w:sz w:val="21"/>
                      <w:szCs w:val="21"/>
                      <w:u w:val="none"/>
                      <w:lang w:val="en-US" w:eastAsia="zh-CN" w:bidi="ar"/>
                    </w:rPr>
                    <w:t>废物类别</w:t>
                  </w:r>
                </w:p>
              </w:tc>
              <w:tc>
                <w:tcPr>
                  <w:tcW w:w="2497" w:type="pct"/>
                  <w:gridSpan w:val="3"/>
                  <w:tcBorders>
                    <w:right w:val="single" w:color="auto" w:sz="4" w:space="0"/>
                    <w:tl2br w:val="nil"/>
                    <w:tr2bl w:val="nil"/>
                  </w:tcBorders>
                  <w:vAlign w:val="center"/>
                </w:tcPr>
                <w:p w14:paraId="1EB7F2BB">
                  <w:pPr>
                    <w:keepNext w:val="0"/>
                    <w:keepLines w:val="0"/>
                    <w:widowControl/>
                    <w:suppressLineNumbers w:val="0"/>
                    <w:jc w:val="center"/>
                    <w:textAlignment w:val="center"/>
                    <w:rPr>
                      <w:rFonts w:hint="default" w:ascii="Times New Roman" w:hAnsi="Times New Roman" w:cs="Times New Roman"/>
                      <w:color w:val="auto"/>
                      <w:spacing w:val="0"/>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接收量</w:t>
                  </w:r>
                </w:p>
              </w:tc>
            </w:tr>
            <w:tr w14:paraId="7139BFC5">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2502" w:type="pct"/>
                  <w:vMerge w:val="continue"/>
                  <w:tcBorders>
                    <w:tl2br w:val="nil"/>
                    <w:tr2bl w:val="nil"/>
                  </w:tcBorders>
                  <w:vAlign w:val="center"/>
                </w:tcPr>
                <w:p w14:paraId="549A0A94">
                  <w:pPr>
                    <w:jc w:val="center"/>
                    <w:rPr>
                      <w:rFonts w:hint="default" w:ascii="Times New Roman" w:hAnsi="Times New Roman" w:eastAsia="宋体" w:cs="Times New Roman"/>
                      <w:color w:val="auto"/>
                      <w:spacing w:val="0"/>
                      <w:sz w:val="21"/>
                      <w:szCs w:val="21"/>
                    </w:rPr>
                  </w:pPr>
                </w:p>
              </w:tc>
              <w:tc>
                <w:tcPr>
                  <w:tcW w:w="693" w:type="pct"/>
                  <w:tcBorders>
                    <w:tl2br w:val="nil"/>
                    <w:tr2bl w:val="nil"/>
                  </w:tcBorders>
                  <w:shd w:val="clear" w:color="auto" w:fill="auto"/>
                  <w:vAlign w:val="center"/>
                </w:tcPr>
                <w:p w14:paraId="5F1BC1B9">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2023</w:t>
                  </w:r>
                  <w:r>
                    <w:rPr>
                      <w:rStyle w:val="113"/>
                      <w:rFonts w:hint="default" w:ascii="Times New Roman" w:hAnsi="Times New Roman" w:cs="Times New Roman"/>
                      <w:color w:val="auto"/>
                      <w:sz w:val="21"/>
                      <w:szCs w:val="21"/>
                      <w:lang w:val="en-US" w:eastAsia="zh-CN" w:bidi="ar"/>
                    </w:rPr>
                    <w:t>年</w:t>
                  </w:r>
                </w:p>
              </w:tc>
              <w:tc>
                <w:tcPr>
                  <w:tcW w:w="693" w:type="pct"/>
                  <w:tcBorders>
                    <w:tl2br w:val="nil"/>
                    <w:tr2bl w:val="nil"/>
                  </w:tcBorders>
                  <w:shd w:val="clear" w:color="auto" w:fill="auto"/>
                  <w:vAlign w:val="center"/>
                </w:tcPr>
                <w:p w14:paraId="6209532C">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2024</w:t>
                  </w:r>
                  <w:r>
                    <w:rPr>
                      <w:rFonts w:hint="eastAsia" w:cs="Times New Roman"/>
                      <w:i w:val="0"/>
                      <w:iCs w:val="0"/>
                      <w:color w:val="auto"/>
                      <w:kern w:val="0"/>
                      <w:sz w:val="21"/>
                      <w:szCs w:val="21"/>
                      <w:u w:val="none"/>
                      <w:lang w:val="en-US" w:eastAsia="zh-CN" w:bidi="ar"/>
                    </w:rPr>
                    <w:t>年</w:t>
                  </w:r>
                </w:p>
              </w:tc>
              <w:tc>
                <w:tcPr>
                  <w:tcW w:w="1111" w:type="pct"/>
                  <w:tcBorders>
                    <w:right w:val="single" w:color="auto" w:sz="4" w:space="0"/>
                    <w:tl2br w:val="nil"/>
                    <w:tr2bl w:val="nil"/>
                  </w:tcBorders>
                  <w:vAlign w:val="center"/>
                </w:tcPr>
                <w:p w14:paraId="35C79DD9">
                  <w:pPr>
                    <w:keepNext w:val="0"/>
                    <w:keepLines w:val="0"/>
                    <w:widowControl/>
                    <w:suppressLineNumbers w:val="0"/>
                    <w:jc w:val="center"/>
                    <w:textAlignment w:val="center"/>
                    <w:rPr>
                      <w:rFonts w:hint="default" w:ascii="Times New Roman" w:hAnsi="Times New Roman" w:cs="Times New Roman"/>
                      <w:color w:val="auto"/>
                      <w:spacing w:val="0"/>
                      <w:sz w:val="21"/>
                      <w:szCs w:val="21"/>
                      <w:lang w:val="en-US" w:eastAsia="zh-CN"/>
                    </w:rPr>
                  </w:pPr>
                  <w:r>
                    <w:rPr>
                      <w:rFonts w:hint="eastAsia" w:cs="Times New Roman"/>
                      <w:color w:val="auto"/>
                      <w:spacing w:val="0"/>
                      <w:sz w:val="21"/>
                      <w:szCs w:val="21"/>
                      <w:lang w:val="en-US" w:eastAsia="zh-CN"/>
                    </w:rPr>
                    <w:t>2025年</w:t>
                  </w:r>
                </w:p>
              </w:tc>
            </w:tr>
            <w:tr w14:paraId="6F1BADA0">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2502" w:type="pct"/>
                  <w:tcBorders>
                    <w:tl2br w:val="nil"/>
                    <w:tr2bl w:val="nil"/>
                  </w:tcBorders>
                  <w:vAlign w:val="center"/>
                </w:tcPr>
                <w:p w14:paraId="70E44DBB">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i w:val="0"/>
                      <w:iCs w:val="0"/>
                      <w:color w:val="auto"/>
                      <w:kern w:val="0"/>
                      <w:sz w:val="21"/>
                      <w:szCs w:val="21"/>
                      <w:u w:val="none"/>
                      <w:lang w:val="en-US" w:eastAsia="zh-CN" w:bidi="ar"/>
                    </w:rPr>
                    <w:t>HW02</w:t>
                  </w:r>
                  <w:r>
                    <w:rPr>
                      <w:rStyle w:val="113"/>
                      <w:rFonts w:hint="default" w:ascii="Times New Roman" w:hAnsi="Times New Roman" w:cs="Times New Roman"/>
                      <w:color w:val="auto"/>
                      <w:sz w:val="21"/>
                      <w:szCs w:val="21"/>
                      <w:lang w:val="en-US" w:eastAsia="zh-CN" w:bidi="ar"/>
                    </w:rPr>
                    <w:t>医药废物</w:t>
                  </w:r>
                </w:p>
              </w:tc>
              <w:tc>
                <w:tcPr>
                  <w:tcW w:w="693" w:type="pct"/>
                  <w:tcBorders>
                    <w:tl2br w:val="nil"/>
                    <w:tr2bl w:val="nil"/>
                  </w:tcBorders>
                  <w:shd w:val="clear" w:color="auto" w:fill="auto"/>
                  <w:vAlign w:val="center"/>
                </w:tcPr>
                <w:p w14:paraId="11CE61B6">
                  <w:pPr>
                    <w:jc w:val="center"/>
                    <w:rPr>
                      <w:rFonts w:hint="default" w:ascii="Times New Roman" w:hAnsi="Times New Roman" w:eastAsia="宋体" w:cs="Times New Roman"/>
                      <w:color w:val="auto"/>
                      <w:spacing w:val="0"/>
                      <w:kern w:val="2"/>
                      <w:sz w:val="21"/>
                      <w:szCs w:val="21"/>
                      <w:lang w:val="en-US" w:eastAsia="zh-CN" w:bidi="ar-SA"/>
                    </w:rPr>
                  </w:pPr>
                  <w:r>
                    <w:rPr>
                      <w:rFonts w:hint="eastAsia" w:cs="Times New Roman"/>
                      <w:color w:val="auto"/>
                      <w:spacing w:val="0"/>
                      <w:sz w:val="21"/>
                      <w:szCs w:val="21"/>
                      <w:lang w:val="en-US" w:eastAsia="zh-CN"/>
                    </w:rPr>
                    <w:t>/</w:t>
                  </w:r>
                </w:p>
              </w:tc>
              <w:tc>
                <w:tcPr>
                  <w:tcW w:w="693" w:type="pct"/>
                  <w:tcBorders>
                    <w:tl2br w:val="nil"/>
                    <w:tr2bl w:val="nil"/>
                  </w:tcBorders>
                  <w:shd w:val="clear" w:color="auto" w:fill="auto"/>
                  <w:vAlign w:val="center"/>
                </w:tcPr>
                <w:p w14:paraId="03F503F2">
                  <w:pPr>
                    <w:jc w:val="center"/>
                    <w:rPr>
                      <w:rFonts w:hint="default" w:ascii="Times New Roman" w:hAnsi="Times New Roman" w:eastAsia="宋体" w:cs="Times New Roman"/>
                      <w:color w:val="auto"/>
                      <w:spacing w:val="0"/>
                      <w:kern w:val="2"/>
                      <w:sz w:val="21"/>
                      <w:szCs w:val="21"/>
                      <w:lang w:val="en-US" w:eastAsia="zh-CN" w:bidi="ar-SA"/>
                    </w:rPr>
                  </w:pPr>
                  <w:r>
                    <w:rPr>
                      <w:rFonts w:hint="eastAsia" w:cs="Times New Roman"/>
                      <w:color w:val="auto"/>
                      <w:spacing w:val="0"/>
                      <w:sz w:val="21"/>
                      <w:szCs w:val="21"/>
                      <w:lang w:val="en-US" w:eastAsia="zh-CN"/>
                    </w:rPr>
                    <w:t>/</w:t>
                  </w:r>
                </w:p>
              </w:tc>
              <w:tc>
                <w:tcPr>
                  <w:tcW w:w="1111" w:type="pct"/>
                  <w:tcBorders>
                    <w:tl2br w:val="nil"/>
                    <w:tr2bl w:val="nil"/>
                  </w:tcBorders>
                  <w:vAlign w:val="center"/>
                </w:tcPr>
                <w:p w14:paraId="41ADC124">
                  <w:pPr>
                    <w:jc w:val="center"/>
                    <w:rPr>
                      <w:rFonts w:hint="default" w:ascii="Times New Roman" w:hAnsi="Times New Roman" w:eastAsia="宋体" w:cs="Times New Roman"/>
                      <w:color w:val="auto"/>
                      <w:spacing w:val="0"/>
                      <w:sz w:val="21"/>
                      <w:szCs w:val="21"/>
                      <w:lang w:val="en-US" w:eastAsia="zh-CN"/>
                    </w:rPr>
                  </w:pPr>
                  <w:r>
                    <w:rPr>
                      <w:rFonts w:hint="eastAsia" w:cs="Times New Roman"/>
                      <w:color w:val="auto"/>
                      <w:spacing w:val="0"/>
                      <w:sz w:val="21"/>
                      <w:szCs w:val="21"/>
                      <w:lang w:val="en-US" w:eastAsia="zh-CN"/>
                    </w:rPr>
                    <w:t>0.0555</w:t>
                  </w:r>
                </w:p>
              </w:tc>
            </w:tr>
            <w:tr w14:paraId="17E9E86F">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2502" w:type="pct"/>
                  <w:tcBorders>
                    <w:tl2br w:val="nil"/>
                    <w:tr2bl w:val="nil"/>
                  </w:tcBorders>
                  <w:vAlign w:val="center"/>
                </w:tcPr>
                <w:p w14:paraId="222EF5E4">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i w:val="0"/>
                      <w:iCs w:val="0"/>
                      <w:color w:val="auto"/>
                      <w:kern w:val="0"/>
                      <w:sz w:val="21"/>
                      <w:szCs w:val="21"/>
                      <w:u w:val="none"/>
                      <w:lang w:val="en-US" w:eastAsia="zh-CN" w:bidi="ar"/>
                    </w:rPr>
                    <w:t>HW03</w:t>
                  </w:r>
                  <w:r>
                    <w:rPr>
                      <w:rStyle w:val="113"/>
                      <w:rFonts w:hint="default" w:ascii="Times New Roman" w:hAnsi="Times New Roman" w:cs="Times New Roman"/>
                      <w:color w:val="auto"/>
                      <w:sz w:val="21"/>
                      <w:szCs w:val="21"/>
                      <w:lang w:val="en-US" w:eastAsia="zh-CN" w:bidi="ar"/>
                    </w:rPr>
                    <w:t>废药物、药品</w:t>
                  </w:r>
                </w:p>
              </w:tc>
              <w:tc>
                <w:tcPr>
                  <w:tcW w:w="693" w:type="pct"/>
                  <w:tcBorders>
                    <w:tl2br w:val="nil"/>
                    <w:tr2bl w:val="nil"/>
                  </w:tcBorders>
                  <w:shd w:val="clear" w:color="auto" w:fill="auto"/>
                  <w:vAlign w:val="center"/>
                </w:tcPr>
                <w:p w14:paraId="143CB8C4">
                  <w:pPr>
                    <w:jc w:val="center"/>
                    <w:rPr>
                      <w:rFonts w:hint="default" w:ascii="Times New Roman" w:hAnsi="Times New Roman" w:eastAsia="宋体" w:cs="Times New Roman"/>
                      <w:color w:val="auto"/>
                      <w:spacing w:val="0"/>
                      <w:kern w:val="2"/>
                      <w:sz w:val="21"/>
                      <w:szCs w:val="21"/>
                      <w:lang w:val="en-US" w:eastAsia="zh-CN" w:bidi="ar-SA"/>
                    </w:rPr>
                  </w:pPr>
                  <w:r>
                    <w:rPr>
                      <w:rFonts w:hint="eastAsia" w:cs="Times New Roman"/>
                      <w:color w:val="auto"/>
                      <w:spacing w:val="0"/>
                      <w:sz w:val="21"/>
                      <w:szCs w:val="21"/>
                      <w:lang w:val="en-US" w:eastAsia="zh-CN"/>
                    </w:rPr>
                    <w:t>/</w:t>
                  </w:r>
                </w:p>
              </w:tc>
              <w:tc>
                <w:tcPr>
                  <w:tcW w:w="693" w:type="pct"/>
                  <w:tcBorders>
                    <w:tl2br w:val="nil"/>
                    <w:tr2bl w:val="nil"/>
                  </w:tcBorders>
                  <w:shd w:val="clear" w:color="auto" w:fill="auto"/>
                  <w:vAlign w:val="center"/>
                </w:tcPr>
                <w:p w14:paraId="0B5724B5">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0.4</w:t>
                  </w:r>
                </w:p>
              </w:tc>
              <w:tc>
                <w:tcPr>
                  <w:tcW w:w="1111" w:type="pct"/>
                  <w:tcBorders>
                    <w:tl2br w:val="nil"/>
                    <w:tr2bl w:val="nil"/>
                  </w:tcBorders>
                  <w:vAlign w:val="center"/>
                </w:tcPr>
                <w:p w14:paraId="52634FEA">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lang w:val="en-US" w:eastAsia="zh-CN"/>
                    </w:rPr>
                  </w:pPr>
                  <w:r>
                    <w:rPr>
                      <w:rFonts w:hint="eastAsia" w:cs="Times New Roman"/>
                      <w:color w:val="auto"/>
                      <w:spacing w:val="0"/>
                      <w:sz w:val="21"/>
                      <w:szCs w:val="21"/>
                      <w:lang w:val="en-US" w:eastAsia="zh-CN"/>
                    </w:rPr>
                    <w:t>0.81</w:t>
                  </w:r>
                </w:p>
              </w:tc>
            </w:tr>
            <w:tr w14:paraId="74A9D393">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2502" w:type="pct"/>
                  <w:tcBorders>
                    <w:tl2br w:val="nil"/>
                    <w:tr2bl w:val="nil"/>
                  </w:tcBorders>
                  <w:vAlign w:val="center"/>
                </w:tcPr>
                <w:p w14:paraId="4BA4D80D">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i w:val="0"/>
                      <w:iCs w:val="0"/>
                      <w:color w:val="auto"/>
                      <w:kern w:val="0"/>
                      <w:sz w:val="21"/>
                      <w:szCs w:val="21"/>
                      <w:u w:val="none"/>
                      <w:lang w:val="en-US" w:eastAsia="zh-CN" w:bidi="ar"/>
                    </w:rPr>
                    <w:t>HW04</w:t>
                  </w:r>
                  <w:r>
                    <w:rPr>
                      <w:rStyle w:val="113"/>
                      <w:rFonts w:hint="default" w:ascii="Times New Roman" w:hAnsi="Times New Roman" w:cs="Times New Roman"/>
                      <w:color w:val="auto"/>
                      <w:sz w:val="21"/>
                      <w:szCs w:val="21"/>
                      <w:lang w:val="en-US" w:eastAsia="zh-CN" w:bidi="ar"/>
                    </w:rPr>
                    <w:t>农药废物</w:t>
                  </w:r>
                </w:p>
              </w:tc>
              <w:tc>
                <w:tcPr>
                  <w:tcW w:w="693" w:type="pct"/>
                  <w:tcBorders>
                    <w:tl2br w:val="nil"/>
                    <w:tr2bl w:val="nil"/>
                  </w:tcBorders>
                  <w:shd w:val="clear" w:color="auto" w:fill="auto"/>
                  <w:vAlign w:val="center"/>
                </w:tcPr>
                <w:p w14:paraId="797C5677">
                  <w:pPr>
                    <w:jc w:val="center"/>
                    <w:rPr>
                      <w:rFonts w:hint="default" w:ascii="Times New Roman" w:hAnsi="Times New Roman" w:eastAsia="宋体" w:cs="Times New Roman"/>
                      <w:color w:val="auto"/>
                      <w:spacing w:val="0"/>
                      <w:kern w:val="2"/>
                      <w:sz w:val="21"/>
                      <w:szCs w:val="21"/>
                      <w:lang w:val="en-US" w:eastAsia="zh-CN" w:bidi="ar-SA"/>
                    </w:rPr>
                  </w:pPr>
                  <w:r>
                    <w:rPr>
                      <w:rFonts w:hint="eastAsia" w:cs="Times New Roman"/>
                      <w:color w:val="auto"/>
                      <w:spacing w:val="0"/>
                      <w:sz w:val="21"/>
                      <w:szCs w:val="21"/>
                      <w:lang w:val="en-US" w:eastAsia="zh-CN"/>
                    </w:rPr>
                    <w:t>/</w:t>
                  </w:r>
                </w:p>
              </w:tc>
              <w:tc>
                <w:tcPr>
                  <w:tcW w:w="693" w:type="pct"/>
                  <w:tcBorders>
                    <w:tl2br w:val="nil"/>
                    <w:tr2bl w:val="nil"/>
                  </w:tcBorders>
                  <w:shd w:val="clear" w:color="auto" w:fill="auto"/>
                  <w:vAlign w:val="center"/>
                </w:tcPr>
                <w:p w14:paraId="3418433F">
                  <w:pPr>
                    <w:jc w:val="center"/>
                    <w:rPr>
                      <w:rFonts w:hint="default" w:ascii="Times New Roman" w:hAnsi="Times New Roman" w:eastAsia="宋体" w:cs="Times New Roman"/>
                      <w:color w:val="auto"/>
                      <w:spacing w:val="0"/>
                      <w:kern w:val="2"/>
                      <w:sz w:val="21"/>
                      <w:szCs w:val="21"/>
                      <w:lang w:val="en-US" w:eastAsia="zh-CN" w:bidi="ar-SA"/>
                    </w:rPr>
                  </w:pPr>
                  <w:r>
                    <w:rPr>
                      <w:rFonts w:hint="eastAsia" w:cs="Times New Roman"/>
                      <w:color w:val="auto"/>
                      <w:spacing w:val="0"/>
                      <w:sz w:val="21"/>
                      <w:szCs w:val="21"/>
                      <w:lang w:val="en-US" w:eastAsia="zh-CN"/>
                    </w:rPr>
                    <w:t>/</w:t>
                  </w:r>
                </w:p>
              </w:tc>
              <w:tc>
                <w:tcPr>
                  <w:tcW w:w="1111" w:type="pct"/>
                  <w:tcBorders>
                    <w:tl2br w:val="nil"/>
                    <w:tr2bl w:val="nil"/>
                  </w:tcBorders>
                  <w:shd w:val="clear" w:color="auto" w:fill="auto"/>
                  <w:vAlign w:val="center"/>
                </w:tcPr>
                <w:p w14:paraId="05216A93">
                  <w:pPr>
                    <w:jc w:val="center"/>
                    <w:rPr>
                      <w:rFonts w:hint="eastAsia" w:ascii="Times New Roman" w:hAnsi="Times New Roman" w:eastAsia="宋体" w:cs="Times New Roman"/>
                      <w:color w:val="auto"/>
                      <w:spacing w:val="0"/>
                      <w:sz w:val="21"/>
                      <w:szCs w:val="21"/>
                      <w:lang w:val="en-US" w:eastAsia="zh-CN"/>
                    </w:rPr>
                  </w:pPr>
                  <w:r>
                    <w:rPr>
                      <w:rFonts w:hint="eastAsia" w:cs="Times New Roman"/>
                      <w:color w:val="auto"/>
                      <w:spacing w:val="0"/>
                      <w:sz w:val="21"/>
                      <w:szCs w:val="21"/>
                      <w:lang w:val="en-US" w:eastAsia="zh-CN"/>
                    </w:rPr>
                    <w:t>/</w:t>
                  </w:r>
                </w:p>
              </w:tc>
            </w:tr>
            <w:tr w14:paraId="0A325E32">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2502" w:type="pct"/>
                  <w:tcBorders>
                    <w:tl2br w:val="nil"/>
                    <w:tr2bl w:val="nil"/>
                  </w:tcBorders>
                  <w:vAlign w:val="center"/>
                </w:tcPr>
                <w:p w14:paraId="637F8B88">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i w:val="0"/>
                      <w:iCs w:val="0"/>
                      <w:color w:val="auto"/>
                      <w:kern w:val="0"/>
                      <w:sz w:val="21"/>
                      <w:szCs w:val="21"/>
                      <w:u w:val="none"/>
                      <w:lang w:val="en-US" w:eastAsia="zh-CN" w:bidi="ar"/>
                    </w:rPr>
                    <w:t>HW08</w:t>
                  </w:r>
                  <w:r>
                    <w:rPr>
                      <w:rStyle w:val="113"/>
                      <w:rFonts w:hint="default" w:ascii="Times New Roman" w:hAnsi="Times New Roman" w:cs="Times New Roman"/>
                      <w:color w:val="auto"/>
                      <w:sz w:val="21"/>
                      <w:szCs w:val="21"/>
                      <w:lang w:val="en-US" w:eastAsia="zh-CN" w:bidi="ar"/>
                    </w:rPr>
                    <w:t>废矿物油与含矿物油废物</w:t>
                  </w:r>
                </w:p>
              </w:tc>
              <w:tc>
                <w:tcPr>
                  <w:tcW w:w="693" w:type="pct"/>
                  <w:tcBorders>
                    <w:tl2br w:val="nil"/>
                    <w:tr2bl w:val="nil"/>
                  </w:tcBorders>
                  <w:shd w:val="clear" w:color="auto" w:fill="auto"/>
                  <w:vAlign w:val="center"/>
                </w:tcPr>
                <w:p w14:paraId="2D5F6990">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37.91961</w:t>
                  </w:r>
                </w:p>
              </w:tc>
              <w:tc>
                <w:tcPr>
                  <w:tcW w:w="693" w:type="pct"/>
                  <w:tcBorders>
                    <w:tl2br w:val="nil"/>
                    <w:tr2bl w:val="nil"/>
                  </w:tcBorders>
                  <w:shd w:val="clear" w:color="auto" w:fill="auto"/>
                  <w:vAlign w:val="center"/>
                </w:tcPr>
                <w:p w14:paraId="2DF2E744">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31.9223</w:t>
                  </w:r>
                </w:p>
              </w:tc>
              <w:tc>
                <w:tcPr>
                  <w:tcW w:w="1111" w:type="pct"/>
                  <w:tcBorders>
                    <w:tl2br w:val="nil"/>
                    <w:tr2bl w:val="nil"/>
                  </w:tcBorders>
                  <w:vAlign w:val="center"/>
                </w:tcPr>
                <w:p w14:paraId="2703E731">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lang w:val="en-US" w:eastAsia="zh-CN"/>
                    </w:rPr>
                  </w:pPr>
                  <w:r>
                    <w:rPr>
                      <w:rFonts w:hint="eastAsia" w:cs="Times New Roman"/>
                      <w:color w:val="auto"/>
                      <w:spacing w:val="0"/>
                      <w:sz w:val="21"/>
                      <w:szCs w:val="21"/>
                      <w:lang w:val="en-US" w:eastAsia="zh-CN"/>
                    </w:rPr>
                    <w:t>32.03135</w:t>
                  </w:r>
                </w:p>
              </w:tc>
            </w:tr>
            <w:tr w14:paraId="2FB3BBD3">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2502" w:type="pct"/>
                  <w:tcBorders>
                    <w:tl2br w:val="nil"/>
                    <w:tr2bl w:val="nil"/>
                  </w:tcBorders>
                  <w:vAlign w:val="center"/>
                </w:tcPr>
                <w:p w14:paraId="505FA8A4">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i w:val="0"/>
                      <w:iCs w:val="0"/>
                      <w:color w:val="auto"/>
                      <w:kern w:val="0"/>
                      <w:sz w:val="21"/>
                      <w:szCs w:val="21"/>
                      <w:u w:val="none"/>
                      <w:lang w:val="en-US" w:eastAsia="zh-CN" w:bidi="ar"/>
                    </w:rPr>
                    <w:t>HW09</w:t>
                  </w:r>
                  <w:r>
                    <w:rPr>
                      <w:rStyle w:val="113"/>
                      <w:rFonts w:hint="default" w:ascii="Times New Roman" w:hAnsi="Times New Roman" w:cs="Times New Roman"/>
                      <w:color w:val="auto"/>
                      <w:sz w:val="21"/>
                      <w:szCs w:val="21"/>
                      <w:lang w:val="en-US" w:eastAsia="zh-CN" w:bidi="ar"/>
                    </w:rPr>
                    <w:t>油</w:t>
                  </w:r>
                  <w:r>
                    <w:rPr>
                      <w:rStyle w:val="103"/>
                      <w:rFonts w:hint="default" w:ascii="Times New Roman" w:hAnsi="Times New Roman" w:eastAsia="宋体" w:cs="Times New Roman"/>
                      <w:color w:val="auto"/>
                      <w:sz w:val="21"/>
                      <w:szCs w:val="21"/>
                      <w:lang w:val="en-US" w:eastAsia="zh-CN" w:bidi="ar"/>
                    </w:rPr>
                    <w:t>/</w:t>
                  </w:r>
                  <w:r>
                    <w:rPr>
                      <w:rStyle w:val="113"/>
                      <w:rFonts w:hint="default" w:ascii="Times New Roman" w:hAnsi="Times New Roman" w:cs="Times New Roman"/>
                      <w:color w:val="auto"/>
                      <w:sz w:val="21"/>
                      <w:szCs w:val="21"/>
                      <w:lang w:val="en-US" w:eastAsia="zh-CN" w:bidi="ar"/>
                    </w:rPr>
                    <w:t>水、烃</w:t>
                  </w:r>
                  <w:r>
                    <w:rPr>
                      <w:rStyle w:val="103"/>
                      <w:rFonts w:hint="default" w:ascii="Times New Roman" w:hAnsi="Times New Roman" w:eastAsia="宋体" w:cs="Times New Roman"/>
                      <w:color w:val="auto"/>
                      <w:sz w:val="21"/>
                      <w:szCs w:val="21"/>
                      <w:lang w:val="en-US" w:eastAsia="zh-CN" w:bidi="ar"/>
                    </w:rPr>
                    <w:t>/</w:t>
                  </w:r>
                  <w:r>
                    <w:rPr>
                      <w:rStyle w:val="113"/>
                      <w:rFonts w:hint="default" w:ascii="Times New Roman" w:hAnsi="Times New Roman" w:cs="Times New Roman"/>
                      <w:color w:val="auto"/>
                      <w:sz w:val="21"/>
                      <w:szCs w:val="21"/>
                      <w:lang w:val="en-US" w:eastAsia="zh-CN" w:bidi="ar"/>
                    </w:rPr>
                    <w:t>水混合物或乳化液</w:t>
                  </w:r>
                </w:p>
              </w:tc>
              <w:tc>
                <w:tcPr>
                  <w:tcW w:w="693" w:type="pct"/>
                  <w:tcBorders>
                    <w:tl2br w:val="nil"/>
                    <w:tr2bl w:val="nil"/>
                  </w:tcBorders>
                  <w:shd w:val="clear" w:color="auto" w:fill="auto"/>
                  <w:vAlign w:val="center"/>
                </w:tcPr>
                <w:p w14:paraId="6C58183B">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lang w:val="en-US" w:eastAsia="en-US" w:bidi="ar-SA"/>
                    </w:rPr>
                  </w:pPr>
                  <w:r>
                    <w:rPr>
                      <w:rFonts w:hint="default" w:ascii="Times New Roman" w:hAnsi="Times New Roman" w:eastAsia="宋体" w:cs="Times New Roman"/>
                      <w:i w:val="0"/>
                      <w:iCs w:val="0"/>
                      <w:color w:val="auto"/>
                      <w:kern w:val="0"/>
                      <w:sz w:val="21"/>
                      <w:szCs w:val="21"/>
                      <w:u w:val="none"/>
                      <w:lang w:val="en-US" w:eastAsia="zh-CN" w:bidi="ar"/>
                    </w:rPr>
                    <w:t>2.1842</w:t>
                  </w:r>
                </w:p>
              </w:tc>
              <w:tc>
                <w:tcPr>
                  <w:tcW w:w="693" w:type="pct"/>
                  <w:tcBorders>
                    <w:tl2br w:val="nil"/>
                    <w:tr2bl w:val="nil"/>
                  </w:tcBorders>
                  <w:shd w:val="clear" w:color="auto" w:fill="auto"/>
                  <w:vAlign w:val="center"/>
                </w:tcPr>
                <w:p w14:paraId="15D8C036">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lang w:val="en-US" w:eastAsia="en-US" w:bidi="ar-SA"/>
                    </w:rPr>
                  </w:pPr>
                  <w:r>
                    <w:rPr>
                      <w:rFonts w:hint="default" w:ascii="Times New Roman" w:hAnsi="Times New Roman" w:eastAsia="宋体" w:cs="Times New Roman"/>
                      <w:i w:val="0"/>
                      <w:iCs w:val="0"/>
                      <w:color w:val="auto"/>
                      <w:kern w:val="0"/>
                      <w:sz w:val="21"/>
                      <w:szCs w:val="21"/>
                      <w:u w:val="none"/>
                      <w:lang w:val="en-US" w:eastAsia="zh-CN" w:bidi="ar"/>
                    </w:rPr>
                    <w:t>4.3013</w:t>
                  </w:r>
                </w:p>
              </w:tc>
              <w:tc>
                <w:tcPr>
                  <w:tcW w:w="1111" w:type="pct"/>
                  <w:tcBorders>
                    <w:tl2br w:val="nil"/>
                    <w:tr2bl w:val="nil"/>
                  </w:tcBorders>
                  <w:shd w:val="clear" w:color="auto" w:fill="auto"/>
                  <w:vAlign w:val="center"/>
                </w:tcPr>
                <w:p w14:paraId="3ABBB22B">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lang w:val="en-US" w:eastAsia="zh-CN" w:bidi="ar-SA"/>
                    </w:rPr>
                  </w:pPr>
                  <w:r>
                    <w:rPr>
                      <w:rFonts w:hint="eastAsia" w:cs="Times New Roman"/>
                      <w:color w:val="auto"/>
                      <w:spacing w:val="0"/>
                      <w:kern w:val="2"/>
                      <w:sz w:val="21"/>
                      <w:szCs w:val="21"/>
                      <w:lang w:val="en-US" w:eastAsia="zh-CN" w:bidi="ar-SA"/>
                    </w:rPr>
                    <w:t>22.6191</w:t>
                  </w:r>
                </w:p>
              </w:tc>
            </w:tr>
            <w:tr w14:paraId="60D4EB38">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2502" w:type="pct"/>
                  <w:tcBorders>
                    <w:tl2br w:val="nil"/>
                    <w:tr2bl w:val="nil"/>
                  </w:tcBorders>
                  <w:vAlign w:val="center"/>
                </w:tcPr>
                <w:p w14:paraId="45675550">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i w:val="0"/>
                      <w:iCs w:val="0"/>
                      <w:color w:val="auto"/>
                      <w:kern w:val="0"/>
                      <w:sz w:val="21"/>
                      <w:szCs w:val="21"/>
                      <w:u w:val="none"/>
                      <w:lang w:val="en-US" w:eastAsia="zh-CN" w:bidi="ar"/>
                    </w:rPr>
                    <w:t>HW11</w:t>
                  </w:r>
                  <w:r>
                    <w:rPr>
                      <w:rStyle w:val="113"/>
                      <w:rFonts w:hint="default" w:ascii="Times New Roman" w:hAnsi="Times New Roman" w:cs="Times New Roman"/>
                      <w:color w:val="auto"/>
                      <w:sz w:val="21"/>
                      <w:szCs w:val="21"/>
                      <w:lang w:val="en-US" w:eastAsia="zh-CN" w:bidi="ar"/>
                    </w:rPr>
                    <w:t>精（蒸）馏残渣</w:t>
                  </w:r>
                </w:p>
              </w:tc>
              <w:tc>
                <w:tcPr>
                  <w:tcW w:w="693" w:type="pct"/>
                  <w:tcBorders>
                    <w:tl2br w:val="nil"/>
                    <w:tr2bl w:val="nil"/>
                  </w:tcBorders>
                  <w:shd w:val="clear" w:color="auto" w:fill="auto"/>
                  <w:vAlign w:val="center"/>
                </w:tcPr>
                <w:p w14:paraId="60DF8EB7">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4.21</w:t>
                  </w:r>
                </w:p>
              </w:tc>
              <w:tc>
                <w:tcPr>
                  <w:tcW w:w="693" w:type="pct"/>
                  <w:tcBorders>
                    <w:tl2br w:val="nil"/>
                    <w:tr2bl w:val="nil"/>
                  </w:tcBorders>
                  <w:shd w:val="clear" w:color="auto" w:fill="auto"/>
                  <w:vAlign w:val="center"/>
                </w:tcPr>
                <w:p w14:paraId="55ED746C">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1.6</w:t>
                  </w:r>
                </w:p>
              </w:tc>
              <w:tc>
                <w:tcPr>
                  <w:tcW w:w="1111" w:type="pct"/>
                  <w:tcBorders>
                    <w:tl2br w:val="nil"/>
                    <w:tr2bl w:val="nil"/>
                  </w:tcBorders>
                  <w:vAlign w:val="center"/>
                </w:tcPr>
                <w:p w14:paraId="460CE505">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lang w:val="en-US" w:eastAsia="zh-CN"/>
                    </w:rPr>
                  </w:pPr>
                  <w:r>
                    <w:rPr>
                      <w:rFonts w:hint="eastAsia" w:cs="Times New Roman"/>
                      <w:color w:val="auto"/>
                      <w:spacing w:val="0"/>
                      <w:sz w:val="21"/>
                      <w:szCs w:val="21"/>
                      <w:lang w:val="en-US" w:eastAsia="zh-CN"/>
                    </w:rPr>
                    <w:t>5.4</w:t>
                  </w:r>
                </w:p>
              </w:tc>
            </w:tr>
            <w:tr w14:paraId="5D2F4688">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2502" w:type="pct"/>
                  <w:tcBorders>
                    <w:tl2br w:val="nil"/>
                    <w:tr2bl w:val="nil"/>
                  </w:tcBorders>
                  <w:vAlign w:val="center"/>
                </w:tcPr>
                <w:p w14:paraId="4CD88B22">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i w:val="0"/>
                      <w:iCs w:val="0"/>
                      <w:color w:val="auto"/>
                      <w:kern w:val="0"/>
                      <w:sz w:val="21"/>
                      <w:szCs w:val="21"/>
                      <w:u w:val="none"/>
                      <w:lang w:val="en-US" w:eastAsia="zh-CN" w:bidi="ar"/>
                    </w:rPr>
                    <w:t>HW12</w:t>
                  </w:r>
                  <w:r>
                    <w:rPr>
                      <w:rStyle w:val="113"/>
                      <w:rFonts w:hint="default" w:ascii="Times New Roman" w:hAnsi="Times New Roman" w:cs="Times New Roman"/>
                      <w:color w:val="auto"/>
                      <w:sz w:val="21"/>
                      <w:szCs w:val="21"/>
                      <w:lang w:val="en-US" w:eastAsia="zh-CN" w:bidi="ar"/>
                    </w:rPr>
                    <w:t>染料、涂料废物</w:t>
                  </w:r>
                </w:p>
              </w:tc>
              <w:tc>
                <w:tcPr>
                  <w:tcW w:w="693" w:type="pct"/>
                  <w:tcBorders>
                    <w:tl2br w:val="nil"/>
                    <w:tr2bl w:val="nil"/>
                  </w:tcBorders>
                  <w:shd w:val="clear" w:color="auto" w:fill="auto"/>
                  <w:vAlign w:val="center"/>
                </w:tcPr>
                <w:p w14:paraId="3315B419">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12.20165</w:t>
                  </w:r>
                </w:p>
              </w:tc>
              <w:tc>
                <w:tcPr>
                  <w:tcW w:w="693" w:type="pct"/>
                  <w:tcBorders>
                    <w:tl2br w:val="nil"/>
                    <w:tr2bl w:val="nil"/>
                  </w:tcBorders>
                  <w:shd w:val="clear" w:color="auto" w:fill="auto"/>
                  <w:vAlign w:val="center"/>
                </w:tcPr>
                <w:p w14:paraId="4FD509C0">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27.772</w:t>
                  </w:r>
                </w:p>
              </w:tc>
              <w:tc>
                <w:tcPr>
                  <w:tcW w:w="1111" w:type="pct"/>
                  <w:tcBorders>
                    <w:tl2br w:val="nil"/>
                    <w:tr2bl w:val="nil"/>
                  </w:tcBorders>
                  <w:vAlign w:val="center"/>
                </w:tcPr>
                <w:p w14:paraId="7721F82C">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lang w:val="en-US" w:eastAsia="zh-CN"/>
                    </w:rPr>
                  </w:pPr>
                  <w:r>
                    <w:rPr>
                      <w:rFonts w:hint="eastAsia" w:cs="Times New Roman"/>
                      <w:color w:val="auto"/>
                      <w:spacing w:val="0"/>
                      <w:sz w:val="21"/>
                      <w:szCs w:val="21"/>
                      <w:lang w:val="en-US" w:eastAsia="zh-CN"/>
                    </w:rPr>
                    <w:t>36.74002</w:t>
                  </w:r>
                </w:p>
              </w:tc>
            </w:tr>
            <w:tr w14:paraId="1507DF7B">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2502" w:type="pct"/>
                  <w:tcBorders>
                    <w:tl2br w:val="nil"/>
                    <w:tr2bl w:val="nil"/>
                  </w:tcBorders>
                  <w:vAlign w:val="center"/>
                </w:tcPr>
                <w:p w14:paraId="1997B5F2">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i w:val="0"/>
                      <w:iCs w:val="0"/>
                      <w:color w:val="auto"/>
                      <w:kern w:val="0"/>
                      <w:sz w:val="21"/>
                      <w:szCs w:val="21"/>
                      <w:u w:val="none"/>
                      <w:lang w:val="en-US" w:eastAsia="zh-CN" w:bidi="ar"/>
                    </w:rPr>
                    <w:t>HW13</w:t>
                  </w:r>
                  <w:r>
                    <w:rPr>
                      <w:rStyle w:val="113"/>
                      <w:rFonts w:hint="default" w:ascii="Times New Roman" w:hAnsi="Times New Roman" w:cs="Times New Roman"/>
                      <w:color w:val="auto"/>
                      <w:sz w:val="21"/>
                      <w:szCs w:val="21"/>
                      <w:lang w:val="en-US" w:eastAsia="zh-CN" w:bidi="ar"/>
                    </w:rPr>
                    <w:t>有机树脂类废物</w:t>
                  </w:r>
                </w:p>
              </w:tc>
              <w:tc>
                <w:tcPr>
                  <w:tcW w:w="693" w:type="pct"/>
                  <w:tcBorders>
                    <w:tl2br w:val="nil"/>
                    <w:tr2bl w:val="nil"/>
                  </w:tcBorders>
                  <w:shd w:val="clear" w:color="auto" w:fill="auto"/>
                  <w:vAlign w:val="center"/>
                </w:tcPr>
                <w:p w14:paraId="58B6FD6F">
                  <w:pPr>
                    <w:jc w:val="center"/>
                    <w:rPr>
                      <w:rFonts w:hint="default" w:ascii="Times New Roman" w:hAnsi="Times New Roman" w:eastAsia="宋体" w:cs="Times New Roman"/>
                      <w:color w:val="auto"/>
                      <w:spacing w:val="0"/>
                      <w:kern w:val="2"/>
                      <w:sz w:val="21"/>
                      <w:szCs w:val="21"/>
                      <w:lang w:val="en-US" w:eastAsia="en-US" w:bidi="ar-SA"/>
                    </w:rPr>
                  </w:pPr>
                  <w:r>
                    <w:rPr>
                      <w:rFonts w:hint="eastAsia" w:cs="Times New Roman"/>
                      <w:color w:val="auto"/>
                      <w:spacing w:val="0"/>
                      <w:sz w:val="21"/>
                      <w:szCs w:val="21"/>
                      <w:lang w:val="en-US" w:eastAsia="zh-CN"/>
                    </w:rPr>
                    <w:t>/</w:t>
                  </w:r>
                </w:p>
              </w:tc>
              <w:tc>
                <w:tcPr>
                  <w:tcW w:w="693" w:type="pct"/>
                  <w:tcBorders>
                    <w:tl2br w:val="nil"/>
                    <w:tr2bl w:val="nil"/>
                  </w:tcBorders>
                  <w:shd w:val="clear" w:color="auto" w:fill="auto"/>
                  <w:vAlign w:val="center"/>
                </w:tcPr>
                <w:p w14:paraId="209367BB">
                  <w:pPr>
                    <w:jc w:val="center"/>
                    <w:rPr>
                      <w:rFonts w:hint="default" w:ascii="Times New Roman" w:hAnsi="Times New Roman" w:eastAsia="宋体" w:cs="Times New Roman"/>
                      <w:color w:val="auto"/>
                      <w:spacing w:val="0"/>
                      <w:kern w:val="2"/>
                      <w:sz w:val="21"/>
                      <w:szCs w:val="21"/>
                      <w:lang w:val="en-US" w:eastAsia="en-US" w:bidi="ar-SA"/>
                    </w:rPr>
                  </w:pPr>
                  <w:r>
                    <w:rPr>
                      <w:rFonts w:hint="eastAsia" w:cs="Times New Roman"/>
                      <w:color w:val="auto"/>
                      <w:spacing w:val="0"/>
                      <w:sz w:val="21"/>
                      <w:szCs w:val="21"/>
                      <w:lang w:val="en-US" w:eastAsia="zh-CN"/>
                    </w:rPr>
                    <w:t>/</w:t>
                  </w:r>
                </w:p>
              </w:tc>
              <w:tc>
                <w:tcPr>
                  <w:tcW w:w="1111" w:type="pct"/>
                  <w:tcBorders>
                    <w:tl2br w:val="nil"/>
                    <w:tr2bl w:val="nil"/>
                  </w:tcBorders>
                  <w:shd w:val="clear" w:color="auto" w:fill="auto"/>
                  <w:vAlign w:val="center"/>
                </w:tcPr>
                <w:p w14:paraId="64676094">
                  <w:pPr>
                    <w:jc w:val="center"/>
                    <w:rPr>
                      <w:rFonts w:hint="default" w:ascii="Times New Roman" w:hAnsi="Times New Roman" w:eastAsia="宋体" w:cs="Times New Roman"/>
                      <w:color w:val="auto"/>
                      <w:spacing w:val="0"/>
                      <w:kern w:val="2"/>
                      <w:sz w:val="21"/>
                      <w:szCs w:val="21"/>
                      <w:lang w:val="en-US" w:eastAsia="zh-CN" w:bidi="ar-SA"/>
                    </w:rPr>
                  </w:pPr>
                  <w:r>
                    <w:rPr>
                      <w:rFonts w:hint="eastAsia" w:cs="Times New Roman"/>
                      <w:color w:val="auto"/>
                      <w:spacing w:val="0"/>
                      <w:kern w:val="2"/>
                      <w:sz w:val="21"/>
                      <w:szCs w:val="21"/>
                      <w:lang w:val="en-US" w:eastAsia="zh-CN" w:bidi="ar-SA"/>
                    </w:rPr>
                    <w:t>0.112</w:t>
                  </w:r>
                </w:p>
              </w:tc>
            </w:tr>
            <w:tr w14:paraId="434AE489">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2502" w:type="pct"/>
                  <w:tcBorders>
                    <w:tl2br w:val="nil"/>
                    <w:tr2bl w:val="nil"/>
                  </w:tcBorders>
                  <w:vAlign w:val="center"/>
                </w:tcPr>
                <w:p w14:paraId="73AB820F">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i w:val="0"/>
                      <w:iCs w:val="0"/>
                      <w:color w:val="auto"/>
                      <w:kern w:val="0"/>
                      <w:sz w:val="21"/>
                      <w:szCs w:val="21"/>
                      <w:u w:val="none"/>
                      <w:lang w:val="en-US" w:eastAsia="zh-CN" w:bidi="ar"/>
                    </w:rPr>
                    <w:t>HW16</w:t>
                  </w:r>
                  <w:r>
                    <w:rPr>
                      <w:rStyle w:val="113"/>
                      <w:rFonts w:hint="default" w:ascii="Times New Roman" w:hAnsi="Times New Roman" w:cs="Times New Roman"/>
                      <w:color w:val="auto"/>
                      <w:sz w:val="21"/>
                      <w:szCs w:val="21"/>
                      <w:lang w:val="en-US" w:eastAsia="zh-CN" w:bidi="ar"/>
                    </w:rPr>
                    <w:t>感光材料废物</w:t>
                  </w:r>
                </w:p>
              </w:tc>
              <w:tc>
                <w:tcPr>
                  <w:tcW w:w="693" w:type="pct"/>
                  <w:tcBorders>
                    <w:tl2br w:val="nil"/>
                    <w:tr2bl w:val="nil"/>
                  </w:tcBorders>
                  <w:shd w:val="clear" w:color="auto" w:fill="auto"/>
                  <w:vAlign w:val="center"/>
                </w:tcPr>
                <w:p w14:paraId="404BFF9D">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lang w:val="en-US" w:eastAsia="en-US" w:bidi="ar-SA"/>
                    </w:rPr>
                  </w:pPr>
                  <w:r>
                    <w:rPr>
                      <w:rFonts w:hint="default" w:ascii="Times New Roman" w:hAnsi="Times New Roman" w:eastAsia="宋体" w:cs="Times New Roman"/>
                      <w:i w:val="0"/>
                      <w:iCs w:val="0"/>
                      <w:color w:val="auto"/>
                      <w:kern w:val="0"/>
                      <w:sz w:val="21"/>
                      <w:szCs w:val="21"/>
                      <w:u w:val="none"/>
                      <w:lang w:val="en-US" w:eastAsia="zh-CN" w:bidi="ar"/>
                    </w:rPr>
                    <w:t>0.15925</w:t>
                  </w:r>
                </w:p>
              </w:tc>
              <w:tc>
                <w:tcPr>
                  <w:tcW w:w="693" w:type="pct"/>
                  <w:tcBorders>
                    <w:tl2br w:val="nil"/>
                    <w:tr2bl w:val="nil"/>
                  </w:tcBorders>
                  <w:shd w:val="clear" w:color="auto" w:fill="auto"/>
                  <w:vAlign w:val="center"/>
                </w:tcPr>
                <w:p w14:paraId="0B8E96E4">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lang w:val="en-US" w:eastAsia="en-US" w:bidi="ar-SA"/>
                    </w:rPr>
                  </w:pPr>
                  <w:r>
                    <w:rPr>
                      <w:rFonts w:hint="default" w:ascii="Times New Roman" w:hAnsi="Times New Roman" w:eastAsia="宋体" w:cs="Times New Roman"/>
                      <w:i w:val="0"/>
                      <w:iCs w:val="0"/>
                      <w:color w:val="auto"/>
                      <w:kern w:val="0"/>
                      <w:sz w:val="21"/>
                      <w:szCs w:val="21"/>
                      <w:u w:val="none"/>
                      <w:lang w:val="en-US" w:eastAsia="zh-CN" w:bidi="ar"/>
                    </w:rPr>
                    <w:t>0.1255</w:t>
                  </w:r>
                </w:p>
              </w:tc>
              <w:tc>
                <w:tcPr>
                  <w:tcW w:w="1111" w:type="pct"/>
                  <w:tcBorders>
                    <w:tl2br w:val="nil"/>
                    <w:tr2bl w:val="nil"/>
                  </w:tcBorders>
                  <w:shd w:val="clear" w:color="auto" w:fill="auto"/>
                  <w:vAlign w:val="center"/>
                </w:tcPr>
                <w:p w14:paraId="0EE857D9">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lang w:val="en-US" w:eastAsia="zh-CN" w:bidi="ar-SA"/>
                    </w:rPr>
                  </w:pPr>
                  <w:r>
                    <w:rPr>
                      <w:rFonts w:hint="eastAsia" w:cs="Times New Roman"/>
                      <w:color w:val="auto"/>
                      <w:spacing w:val="0"/>
                      <w:kern w:val="2"/>
                      <w:sz w:val="21"/>
                      <w:szCs w:val="21"/>
                      <w:lang w:val="en-US" w:eastAsia="zh-CN" w:bidi="ar-SA"/>
                    </w:rPr>
                    <w:t>0.9035</w:t>
                  </w:r>
                </w:p>
              </w:tc>
            </w:tr>
            <w:tr w14:paraId="5A34EDA0">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2502" w:type="pct"/>
                  <w:tcBorders>
                    <w:tl2br w:val="nil"/>
                    <w:tr2bl w:val="nil"/>
                  </w:tcBorders>
                  <w:vAlign w:val="center"/>
                </w:tcPr>
                <w:p w14:paraId="6D1D5928">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i w:val="0"/>
                      <w:iCs w:val="0"/>
                      <w:color w:val="auto"/>
                      <w:kern w:val="0"/>
                      <w:sz w:val="21"/>
                      <w:szCs w:val="21"/>
                      <w:u w:val="none"/>
                      <w:lang w:val="en-US" w:eastAsia="zh-CN" w:bidi="ar"/>
                    </w:rPr>
                    <w:t>HW17</w:t>
                  </w:r>
                  <w:r>
                    <w:rPr>
                      <w:rStyle w:val="113"/>
                      <w:rFonts w:hint="default" w:ascii="Times New Roman" w:hAnsi="Times New Roman" w:cs="Times New Roman"/>
                      <w:color w:val="auto"/>
                      <w:sz w:val="21"/>
                      <w:szCs w:val="21"/>
                      <w:lang w:val="en-US" w:eastAsia="zh-CN" w:bidi="ar"/>
                    </w:rPr>
                    <w:t>表面处理废物</w:t>
                  </w:r>
                </w:p>
              </w:tc>
              <w:tc>
                <w:tcPr>
                  <w:tcW w:w="693" w:type="pct"/>
                  <w:tcBorders>
                    <w:tl2br w:val="nil"/>
                    <w:tr2bl w:val="nil"/>
                  </w:tcBorders>
                  <w:shd w:val="clear" w:color="auto" w:fill="auto"/>
                  <w:vAlign w:val="center"/>
                </w:tcPr>
                <w:p w14:paraId="54F12DEF">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lang w:val="en-US" w:eastAsia="en-US" w:bidi="ar-SA"/>
                    </w:rPr>
                  </w:pPr>
                  <w:r>
                    <w:rPr>
                      <w:rFonts w:hint="default" w:ascii="Times New Roman" w:hAnsi="Times New Roman" w:eastAsia="宋体" w:cs="Times New Roman"/>
                      <w:i w:val="0"/>
                      <w:iCs w:val="0"/>
                      <w:color w:val="auto"/>
                      <w:kern w:val="0"/>
                      <w:sz w:val="21"/>
                      <w:szCs w:val="21"/>
                      <w:u w:val="none"/>
                      <w:lang w:val="en-US" w:eastAsia="zh-CN" w:bidi="ar"/>
                    </w:rPr>
                    <w:t>5.04</w:t>
                  </w:r>
                </w:p>
              </w:tc>
              <w:tc>
                <w:tcPr>
                  <w:tcW w:w="693" w:type="pct"/>
                  <w:tcBorders>
                    <w:tl2br w:val="nil"/>
                    <w:tr2bl w:val="nil"/>
                  </w:tcBorders>
                  <w:shd w:val="clear" w:color="auto" w:fill="auto"/>
                  <w:vAlign w:val="center"/>
                </w:tcPr>
                <w:p w14:paraId="3F0B693A">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lang w:val="en-US" w:eastAsia="en-US" w:bidi="ar-SA"/>
                    </w:rPr>
                  </w:pPr>
                  <w:r>
                    <w:rPr>
                      <w:rFonts w:hint="default" w:ascii="Times New Roman" w:hAnsi="Times New Roman" w:eastAsia="宋体" w:cs="Times New Roman"/>
                      <w:i w:val="0"/>
                      <w:iCs w:val="0"/>
                      <w:color w:val="auto"/>
                      <w:kern w:val="0"/>
                      <w:sz w:val="21"/>
                      <w:szCs w:val="21"/>
                      <w:u w:val="none"/>
                      <w:lang w:val="en-US" w:eastAsia="zh-CN" w:bidi="ar"/>
                    </w:rPr>
                    <w:t>6.178</w:t>
                  </w:r>
                </w:p>
              </w:tc>
              <w:tc>
                <w:tcPr>
                  <w:tcW w:w="1111" w:type="pct"/>
                  <w:tcBorders>
                    <w:tl2br w:val="nil"/>
                    <w:tr2bl w:val="nil"/>
                  </w:tcBorders>
                  <w:shd w:val="clear" w:color="auto" w:fill="auto"/>
                  <w:vAlign w:val="center"/>
                </w:tcPr>
                <w:p w14:paraId="1C59EA36">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lang w:val="en-US" w:eastAsia="zh-CN" w:bidi="ar-SA"/>
                    </w:rPr>
                  </w:pPr>
                  <w:r>
                    <w:rPr>
                      <w:rFonts w:hint="eastAsia" w:cs="Times New Roman"/>
                      <w:color w:val="auto"/>
                      <w:spacing w:val="0"/>
                      <w:kern w:val="2"/>
                      <w:sz w:val="21"/>
                      <w:szCs w:val="21"/>
                      <w:lang w:val="en-US" w:eastAsia="zh-CN" w:bidi="ar-SA"/>
                    </w:rPr>
                    <w:t>6.312</w:t>
                  </w:r>
                </w:p>
              </w:tc>
            </w:tr>
            <w:tr w14:paraId="21245F33">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2502" w:type="pct"/>
                  <w:tcBorders>
                    <w:tl2br w:val="nil"/>
                    <w:tr2bl w:val="nil"/>
                  </w:tcBorders>
                  <w:vAlign w:val="center"/>
                </w:tcPr>
                <w:p w14:paraId="702C7234">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i w:val="0"/>
                      <w:iCs w:val="0"/>
                      <w:color w:val="auto"/>
                      <w:kern w:val="0"/>
                      <w:sz w:val="21"/>
                      <w:szCs w:val="21"/>
                      <w:u w:val="none"/>
                      <w:lang w:val="en-US" w:eastAsia="zh-CN" w:bidi="ar"/>
                    </w:rPr>
                    <w:t>HW18</w:t>
                  </w:r>
                  <w:r>
                    <w:rPr>
                      <w:rStyle w:val="113"/>
                      <w:rFonts w:hint="default" w:ascii="Times New Roman" w:hAnsi="Times New Roman" w:cs="Times New Roman"/>
                      <w:color w:val="auto"/>
                      <w:sz w:val="21"/>
                      <w:szCs w:val="21"/>
                      <w:lang w:val="en-US" w:eastAsia="zh-CN" w:bidi="ar"/>
                    </w:rPr>
                    <w:t>焚烧处置残渣</w:t>
                  </w:r>
                </w:p>
              </w:tc>
              <w:tc>
                <w:tcPr>
                  <w:tcW w:w="693" w:type="pct"/>
                  <w:tcBorders>
                    <w:tl2br w:val="nil"/>
                    <w:tr2bl w:val="nil"/>
                  </w:tcBorders>
                  <w:shd w:val="clear" w:color="auto" w:fill="auto"/>
                  <w:vAlign w:val="center"/>
                </w:tcPr>
                <w:p w14:paraId="6F49F6E2">
                  <w:pPr>
                    <w:jc w:val="center"/>
                    <w:rPr>
                      <w:rFonts w:hint="default" w:ascii="Times New Roman" w:hAnsi="Times New Roman" w:eastAsia="宋体" w:cs="Times New Roman"/>
                      <w:color w:val="auto"/>
                      <w:spacing w:val="0"/>
                      <w:kern w:val="2"/>
                      <w:sz w:val="21"/>
                      <w:szCs w:val="21"/>
                      <w:lang w:val="en-US" w:eastAsia="zh-CN" w:bidi="ar-SA"/>
                    </w:rPr>
                  </w:pPr>
                  <w:r>
                    <w:rPr>
                      <w:rFonts w:hint="eastAsia" w:cs="Times New Roman"/>
                      <w:color w:val="auto"/>
                      <w:spacing w:val="0"/>
                      <w:sz w:val="21"/>
                      <w:szCs w:val="21"/>
                      <w:lang w:val="en-US" w:eastAsia="zh-CN"/>
                    </w:rPr>
                    <w:t>/</w:t>
                  </w:r>
                </w:p>
              </w:tc>
              <w:tc>
                <w:tcPr>
                  <w:tcW w:w="693" w:type="pct"/>
                  <w:tcBorders>
                    <w:tl2br w:val="nil"/>
                    <w:tr2bl w:val="nil"/>
                  </w:tcBorders>
                  <w:shd w:val="clear" w:color="auto" w:fill="auto"/>
                  <w:vAlign w:val="center"/>
                </w:tcPr>
                <w:p w14:paraId="23967BC0">
                  <w:pPr>
                    <w:jc w:val="center"/>
                    <w:rPr>
                      <w:rFonts w:hint="default" w:ascii="Times New Roman" w:hAnsi="Times New Roman" w:eastAsia="宋体" w:cs="Times New Roman"/>
                      <w:color w:val="auto"/>
                      <w:spacing w:val="0"/>
                      <w:kern w:val="2"/>
                      <w:sz w:val="21"/>
                      <w:szCs w:val="21"/>
                      <w:lang w:val="en-US" w:eastAsia="zh-CN" w:bidi="ar-SA"/>
                    </w:rPr>
                  </w:pPr>
                  <w:r>
                    <w:rPr>
                      <w:rFonts w:hint="eastAsia" w:cs="Times New Roman"/>
                      <w:color w:val="auto"/>
                      <w:spacing w:val="0"/>
                      <w:sz w:val="21"/>
                      <w:szCs w:val="21"/>
                      <w:lang w:val="en-US" w:eastAsia="zh-CN"/>
                    </w:rPr>
                    <w:t>/</w:t>
                  </w:r>
                </w:p>
              </w:tc>
              <w:tc>
                <w:tcPr>
                  <w:tcW w:w="1111" w:type="pct"/>
                  <w:tcBorders>
                    <w:tl2br w:val="nil"/>
                    <w:tr2bl w:val="nil"/>
                  </w:tcBorders>
                  <w:shd w:val="clear" w:color="auto" w:fill="auto"/>
                  <w:vAlign w:val="center"/>
                </w:tcPr>
                <w:p w14:paraId="29B4E459">
                  <w:pPr>
                    <w:jc w:val="center"/>
                    <w:rPr>
                      <w:rFonts w:hint="default" w:ascii="Times New Roman" w:hAnsi="Times New Roman" w:eastAsia="宋体" w:cs="Times New Roman"/>
                      <w:color w:val="auto"/>
                      <w:spacing w:val="0"/>
                      <w:sz w:val="21"/>
                      <w:szCs w:val="21"/>
                      <w:lang w:val="en-US" w:eastAsia="zh-CN"/>
                    </w:rPr>
                  </w:pPr>
                  <w:r>
                    <w:rPr>
                      <w:rFonts w:hint="eastAsia" w:cs="Times New Roman"/>
                      <w:color w:val="auto"/>
                      <w:spacing w:val="0"/>
                      <w:sz w:val="21"/>
                      <w:szCs w:val="21"/>
                      <w:lang w:val="en-US" w:eastAsia="zh-CN"/>
                    </w:rPr>
                    <w:t>/</w:t>
                  </w:r>
                </w:p>
              </w:tc>
            </w:tr>
            <w:tr w14:paraId="292CDD01">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2502" w:type="pct"/>
                  <w:tcBorders>
                    <w:tl2br w:val="nil"/>
                    <w:tr2bl w:val="nil"/>
                  </w:tcBorders>
                  <w:vAlign w:val="center"/>
                </w:tcPr>
                <w:p w14:paraId="39F02C77">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i w:val="0"/>
                      <w:iCs w:val="0"/>
                      <w:color w:val="auto"/>
                      <w:kern w:val="0"/>
                      <w:sz w:val="21"/>
                      <w:szCs w:val="21"/>
                      <w:u w:val="none"/>
                      <w:lang w:val="en-US" w:eastAsia="zh-CN" w:bidi="ar"/>
                    </w:rPr>
                    <w:t>HW19</w:t>
                  </w:r>
                  <w:r>
                    <w:rPr>
                      <w:rStyle w:val="113"/>
                      <w:rFonts w:hint="default" w:ascii="Times New Roman" w:hAnsi="Times New Roman" w:cs="Times New Roman"/>
                      <w:color w:val="auto"/>
                      <w:sz w:val="21"/>
                      <w:szCs w:val="21"/>
                      <w:lang w:val="en-US" w:eastAsia="zh-CN" w:bidi="ar"/>
                    </w:rPr>
                    <w:t>含金属羰基化合物废物</w:t>
                  </w:r>
                </w:p>
              </w:tc>
              <w:tc>
                <w:tcPr>
                  <w:tcW w:w="693" w:type="pct"/>
                  <w:tcBorders>
                    <w:tl2br w:val="nil"/>
                    <w:tr2bl w:val="nil"/>
                  </w:tcBorders>
                  <w:shd w:val="clear" w:color="auto" w:fill="auto"/>
                  <w:vAlign w:val="center"/>
                </w:tcPr>
                <w:p w14:paraId="0CFE0351">
                  <w:pPr>
                    <w:jc w:val="center"/>
                    <w:rPr>
                      <w:rFonts w:hint="default" w:ascii="Times New Roman" w:hAnsi="Times New Roman" w:eastAsia="宋体" w:cs="Times New Roman"/>
                      <w:color w:val="auto"/>
                      <w:spacing w:val="0"/>
                      <w:kern w:val="2"/>
                      <w:sz w:val="21"/>
                      <w:szCs w:val="21"/>
                      <w:lang w:val="en-US" w:eastAsia="en-US" w:bidi="ar-SA"/>
                    </w:rPr>
                  </w:pPr>
                  <w:r>
                    <w:rPr>
                      <w:rFonts w:hint="eastAsia" w:cs="Times New Roman"/>
                      <w:color w:val="auto"/>
                      <w:spacing w:val="0"/>
                      <w:sz w:val="21"/>
                      <w:szCs w:val="21"/>
                      <w:lang w:val="en-US" w:eastAsia="zh-CN"/>
                    </w:rPr>
                    <w:t>/</w:t>
                  </w:r>
                </w:p>
              </w:tc>
              <w:tc>
                <w:tcPr>
                  <w:tcW w:w="693" w:type="pct"/>
                  <w:tcBorders>
                    <w:tl2br w:val="nil"/>
                    <w:tr2bl w:val="nil"/>
                  </w:tcBorders>
                  <w:shd w:val="clear" w:color="auto" w:fill="auto"/>
                  <w:vAlign w:val="center"/>
                </w:tcPr>
                <w:p w14:paraId="7B6F3BC3">
                  <w:pPr>
                    <w:jc w:val="center"/>
                    <w:rPr>
                      <w:rFonts w:hint="default" w:ascii="Times New Roman" w:hAnsi="Times New Roman" w:eastAsia="宋体" w:cs="Times New Roman"/>
                      <w:color w:val="auto"/>
                      <w:spacing w:val="0"/>
                      <w:kern w:val="2"/>
                      <w:sz w:val="21"/>
                      <w:szCs w:val="21"/>
                      <w:lang w:val="en-US" w:eastAsia="en-US" w:bidi="ar-SA"/>
                    </w:rPr>
                  </w:pPr>
                  <w:r>
                    <w:rPr>
                      <w:rFonts w:hint="eastAsia" w:cs="Times New Roman"/>
                      <w:color w:val="auto"/>
                      <w:spacing w:val="0"/>
                      <w:sz w:val="21"/>
                      <w:szCs w:val="21"/>
                      <w:lang w:val="en-US" w:eastAsia="zh-CN"/>
                    </w:rPr>
                    <w:t>/</w:t>
                  </w:r>
                </w:p>
              </w:tc>
              <w:tc>
                <w:tcPr>
                  <w:tcW w:w="1111" w:type="pct"/>
                  <w:tcBorders>
                    <w:tl2br w:val="nil"/>
                    <w:tr2bl w:val="nil"/>
                  </w:tcBorders>
                  <w:shd w:val="clear" w:color="auto" w:fill="auto"/>
                  <w:vAlign w:val="center"/>
                </w:tcPr>
                <w:p w14:paraId="0059510A">
                  <w:pPr>
                    <w:jc w:val="center"/>
                    <w:rPr>
                      <w:rFonts w:hint="eastAsia" w:ascii="Times New Roman" w:hAnsi="Times New Roman" w:eastAsia="宋体" w:cs="Times New Roman"/>
                      <w:color w:val="auto"/>
                      <w:spacing w:val="0"/>
                      <w:kern w:val="2"/>
                      <w:sz w:val="21"/>
                      <w:szCs w:val="21"/>
                      <w:lang w:val="en-US" w:eastAsia="zh-CN" w:bidi="ar-SA"/>
                    </w:rPr>
                  </w:pPr>
                  <w:r>
                    <w:rPr>
                      <w:rFonts w:hint="eastAsia" w:cs="Times New Roman"/>
                      <w:color w:val="auto"/>
                      <w:spacing w:val="0"/>
                      <w:kern w:val="2"/>
                      <w:sz w:val="21"/>
                      <w:szCs w:val="21"/>
                      <w:lang w:val="en-US" w:eastAsia="zh-CN" w:bidi="ar-SA"/>
                    </w:rPr>
                    <w:t>/</w:t>
                  </w:r>
                </w:p>
              </w:tc>
            </w:tr>
            <w:tr w14:paraId="701E1F77">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2502" w:type="pct"/>
                  <w:tcBorders>
                    <w:tl2br w:val="nil"/>
                    <w:tr2bl w:val="nil"/>
                  </w:tcBorders>
                  <w:vAlign w:val="center"/>
                </w:tcPr>
                <w:p w14:paraId="4B87FFBF">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i w:val="0"/>
                      <w:iCs w:val="0"/>
                      <w:color w:val="auto"/>
                      <w:kern w:val="0"/>
                      <w:sz w:val="21"/>
                      <w:szCs w:val="21"/>
                      <w:u w:val="none"/>
                      <w:lang w:val="en-US" w:eastAsia="zh-CN" w:bidi="ar"/>
                    </w:rPr>
                    <w:t>HW21</w:t>
                  </w:r>
                  <w:r>
                    <w:rPr>
                      <w:rStyle w:val="113"/>
                      <w:rFonts w:hint="default" w:ascii="Times New Roman" w:hAnsi="Times New Roman" w:cs="Times New Roman"/>
                      <w:color w:val="auto"/>
                      <w:sz w:val="21"/>
                      <w:szCs w:val="21"/>
                      <w:lang w:val="en-US" w:eastAsia="zh-CN" w:bidi="ar"/>
                    </w:rPr>
                    <w:t>含铬废物</w:t>
                  </w:r>
                </w:p>
              </w:tc>
              <w:tc>
                <w:tcPr>
                  <w:tcW w:w="693" w:type="pct"/>
                  <w:tcBorders>
                    <w:tl2br w:val="nil"/>
                    <w:tr2bl w:val="nil"/>
                  </w:tcBorders>
                  <w:shd w:val="clear" w:color="auto" w:fill="auto"/>
                  <w:vAlign w:val="center"/>
                </w:tcPr>
                <w:p w14:paraId="70CD324E">
                  <w:pPr>
                    <w:jc w:val="center"/>
                    <w:rPr>
                      <w:rFonts w:hint="default" w:ascii="Times New Roman" w:hAnsi="Times New Roman" w:eastAsia="宋体" w:cs="Times New Roman"/>
                      <w:color w:val="auto"/>
                      <w:spacing w:val="0"/>
                      <w:kern w:val="2"/>
                      <w:sz w:val="21"/>
                      <w:szCs w:val="21"/>
                      <w:lang w:val="en-US" w:eastAsia="en-US" w:bidi="ar-SA"/>
                    </w:rPr>
                  </w:pPr>
                  <w:r>
                    <w:rPr>
                      <w:rFonts w:hint="eastAsia" w:cs="Times New Roman"/>
                      <w:color w:val="auto"/>
                      <w:spacing w:val="0"/>
                      <w:sz w:val="21"/>
                      <w:szCs w:val="21"/>
                      <w:lang w:val="en-US" w:eastAsia="zh-CN"/>
                    </w:rPr>
                    <w:t>/</w:t>
                  </w:r>
                </w:p>
              </w:tc>
              <w:tc>
                <w:tcPr>
                  <w:tcW w:w="693" w:type="pct"/>
                  <w:tcBorders>
                    <w:tl2br w:val="nil"/>
                    <w:tr2bl w:val="nil"/>
                  </w:tcBorders>
                  <w:shd w:val="clear" w:color="auto" w:fill="auto"/>
                  <w:vAlign w:val="center"/>
                </w:tcPr>
                <w:p w14:paraId="1F8C5698">
                  <w:pPr>
                    <w:jc w:val="center"/>
                    <w:rPr>
                      <w:rFonts w:hint="default" w:ascii="Times New Roman" w:hAnsi="Times New Roman" w:eastAsia="宋体" w:cs="Times New Roman"/>
                      <w:color w:val="auto"/>
                      <w:spacing w:val="0"/>
                      <w:kern w:val="2"/>
                      <w:sz w:val="21"/>
                      <w:szCs w:val="21"/>
                      <w:lang w:val="en-US" w:eastAsia="en-US" w:bidi="ar-SA"/>
                    </w:rPr>
                  </w:pPr>
                  <w:r>
                    <w:rPr>
                      <w:rFonts w:hint="eastAsia" w:cs="Times New Roman"/>
                      <w:color w:val="auto"/>
                      <w:spacing w:val="0"/>
                      <w:sz w:val="21"/>
                      <w:szCs w:val="21"/>
                      <w:lang w:val="en-US" w:eastAsia="zh-CN"/>
                    </w:rPr>
                    <w:t>/</w:t>
                  </w:r>
                </w:p>
              </w:tc>
              <w:tc>
                <w:tcPr>
                  <w:tcW w:w="1111" w:type="pct"/>
                  <w:tcBorders>
                    <w:tl2br w:val="nil"/>
                    <w:tr2bl w:val="nil"/>
                  </w:tcBorders>
                  <w:shd w:val="clear" w:color="auto" w:fill="auto"/>
                  <w:vAlign w:val="center"/>
                </w:tcPr>
                <w:p w14:paraId="66DF6EC3">
                  <w:pPr>
                    <w:jc w:val="center"/>
                    <w:rPr>
                      <w:rFonts w:hint="eastAsia" w:ascii="Times New Roman" w:hAnsi="Times New Roman" w:eastAsia="宋体" w:cs="Times New Roman"/>
                      <w:color w:val="auto"/>
                      <w:spacing w:val="0"/>
                      <w:kern w:val="2"/>
                      <w:sz w:val="21"/>
                      <w:szCs w:val="21"/>
                      <w:lang w:val="en-US" w:eastAsia="zh-CN" w:bidi="ar-SA"/>
                    </w:rPr>
                  </w:pPr>
                  <w:r>
                    <w:rPr>
                      <w:rFonts w:hint="eastAsia" w:cs="Times New Roman"/>
                      <w:color w:val="auto"/>
                      <w:spacing w:val="0"/>
                      <w:kern w:val="2"/>
                      <w:sz w:val="21"/>
                      <w:szCs w:val="21"/>
                      <w:lang w:val="en-US" w:eastAsia="zh-CN" w:bidi="ar-SA"/>
                    </w:rPr>
                    <w:t>/</w:t>
                  </w:r>
                </w:p>
              </w:tc>
            </w:tr>
            <w:tr w14:paraId="1CB0E258">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2502" w:type="pct"/>
                  <w:tcBorders>
                    <w:tl2br w:val="nil"/>
                    <w:tr2bl w:val="nil"/>
                  </w:tcBorders>
                  <w:vAlign w:val="center"/>
                </w:tcPr>
                <w:p w14:paraId="68AD3275">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i w:val="0"/>
                      <w:iCs w:val="0"/>
                      <w:color w:val="auto"/>
                      <w:kern w:val="0"/>
                      <w:sz w:val="21"/>
                      <w:szCs w:val="21"/>
                      <w:u w:val="none"/>
                      <w:lang w:val="en-US" w:eastAsia="zh-CN" w:bidi="ar"/>
                    </w:rPr>
                    <w:t>HW29</w:t>
                  </w:r>
                  <w:r>
                    <w:rPr>
                      <w:rStyle w:val="113"/>
                      <w:rFonts w:hint="default" w:ascii="Times New Roman" w:hAnsi="Times New Roman" w:cs="Times New Roman"/>
                      <w:color w:val="auto"/>
                      <w:sz w:val="21"/>
                      <w:szCs w:val="21"/>
                      <w:lang w:val="en-US" w:eastAsia="zh-CN" w:bidi="ar"/>
                    </w:rPr>
                    <w:t>含汞废物</w:t>
                  </w:r>
                </w:p>
              </w:tc>
              <w:tc>
                <w:tcPr>
                  <w:tcW w:w="693" w:type="pct"/>
                  <w:tcBorders>
                    <w:tl2br w:val="nil"/>
                    <w:tr2bl w:val="nil"/>
                  </w:tcBorders>
                  <w:shd w:val="clear" w:color="auto" w:fill="auto"/>
                  <w:vAlign w:val="center"/>
                </w:tcPr>
                <w:p w14:paraId="7AE7D484">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lang w:val="en-US" w:eastAsia="en-US" w:bidi="ar-SA"/>
                    </w:rPr>
                  </w:pPr>
                  <w:r>
                    <w:rPr>
                      <w:rFonts w:hint="default" w:ascii="Times New Roman" w:hAnsi="Times New Roman" w:eastAsia="宋体" w:cs="Times New Roman"/>
                      <w:i w:val="0"/>
                      <w:iCs w:val="0"/>
                      <w:color w:val="auto"/>
                      <w:kern w:val="0"/>
                      <w:sz w:val="21"/>
                      <w:szCs w:val="21"/>
                      <w:u w:val="none"/>
                      <w:lang w:val="en-US" w:eastAsia="zh-CN" w:bidi="ar"/>
                    </w:rPr>
                    <w:t>0.44735</w:t>
                  </w:r>
                </w:p>
              </w:tc>
              <w:tc>
                <w:tcPr>
                  <w:tcW w:w="693" w:type="pct"/>
                  <w:tcBorders>
                    <w:tl2br w:val="nil"/>
                    <w:tr2bl w:val="nil"/>
                  </w:tcBorders>
                  <w:shd w:val="clear" w:color="auto" w:fill="auto"/>
                  <w:vAlign w:val="center"/>
                </w:tcPr>
                <w:p w14:paraId="58509E84">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lang w:val="en-US" w:eastAsia="en-US" w:bidi="ar-SA"/>
                    </w:rPr>
                  </w:pPr>
                  <w:r>
                    <w:rPr>
                      <w:rFonts w:hint="default" w:ascii="Times New Roman" w:hAnsi="Times New Roman" w:eastAsia="宋体" w:cs="Times New Roman"/>
                      <w:i w:val="0"/>
                      <w:iCs w:val="0"/>
                      <w:color w:val="auto"/>
                      <w:kern w:val="0"/>
                      <w:sz w:val="21"/>
                      <w:szCs w:val="21"/>
                      <w:u w:val="none"/>
                      <w:lang w:val="en-US" w:eastAsia="zh-CN" w:bidi="ar"/>
                    </w:rPr>
                    <w:t>0.1994</w:t>
                  </w:r>
                </w:p>
              </w:tc>
              <w:tc>
                <w:tcPr>
                  <w:tcW w:w="1111" w:type="pct"/>
                  <w:tcBorders>
                    <w:tl2br w:val="nil"/>
                    <w:tr2bl w:val="nil"/>
                  </w:tcBorders>
                  <w:shd w:val="clear" w:color="auto" w:fill="auto"/>
                  <w:vAlign w:val="center"/>
                </w:tcPr>
                <w:p w14:paraId="723A15E1">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lang w:val="en-US" w:eastAsia="zh-CN" w:bidi="ar-SA"/>
                    </w:rPr>
                  </w:pPr>
                  <w:r>
                    <w:rPr>
                      <w:rFonts w:hint="eastAsia" w:cs="Times New Roman"/>
                      <w:color w:val="auto"/>
                      <w:spacing w:val="0"/>
                      <w:kern w:val="2"/>
                      <w:sz w:val="21"/>
                      <w:szCs w:val="21"/>
                      <w:lang w:val="en-US" w:eastAsia="zh-CN" w:bidi="ar-SA"/>
                    </w:rPr>
                    <w:t>0.19744</w:t>
                  </w:r>
                </w:p>
              </w:tc>
            </w:tr>
            <w:tr w14:paraId="3A47DA9B">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2502" w:type="pct"/>
                  <w:tcBorders>
                    <w:tl2br w:val="nil"/>
                    <w:tr2bl w:val="nil"/>
                  </w:tcBorders>
                  <w:vAlign w:val="center"/>
                </w:tcPr>
                <w:p w14:paraId="7C316B5B">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i w:val="0"/>
                      <w:iCs w:val="0"/>
                      <w:color w:val="auto"/>
                      <w:kern w:val="0"/>
                      <w:sz w:val="21"/>
                      <w:szCs w:val="21"/>
                      <w:u w:val="none"/>
                      <w:lang w:val="en-US" w:eastAsia="zh-CN" w:bidi="ar"/>
                    </w:rPr>
                    <w:t>HW31</w:t>
                  </w:r>
                  <w:r>
                    <w:rPr>
                      <w:rStyle w:val="113"/>
                      <w:rFonts w:hint="default" w:ascii="Times New Roman" w:hAnsi="Times New Roman" w:cs="Times New Roman"/>
                      <w:color w:val="auto"/>
                      <w:sz w:val="21"/>
                      <w:szCs w:val="21"/>
                      <w:lang w:val="en-US" w:eastAsia="zh-CN" w:bidi="ar"/>
                    </w:rPr>
                    <w:t>含铅废物</w:t>
                  </w:r>
                </w:p>
              </w:tc>
              <w:tc>
                <w:tcPr>
                  <w:tcW w:w="693" w:type="pct"/>
                  <w:tcBorders>
                    <w:tl2br w:val="nil"/>
                    <w:tr2bl w:val="nil"/>
                  </w:tcBorders>
                  <w:shd w:val="clear" w:color="auto" w:fill="auto"/>
                  <w:vAlign w:val="center"/>
                </w:tcPr>
                <w:p w14:paraId="7073B6A6">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lang w:val="en-US" w:eastAsia="en-US" w:bidi="ar-SA"/>
                    </w:rPr>
                  </w:pPr>
                  <w:r>
                    <w:rPr>
                      <w:rFonts w:hint="default" w:ascii="Times New Roman" w:hAnsi="Times New Roman" w:eastAsia="宋体" w:cs="Times New Roman"/>
                      <w:i w:val="0"/>
                      <w:iCs w:val="0"/>
                      <w:color w:val="auto"/>
                      <w:kern w:val="0"/>
                      <w:sz w:val="21"/>
                      <w:szCs w:val="21"/>
                      <w:u w:val="none"/>
                      <w:lang w:val="en-US" w:eastAsia="zh-CN" w:bidi="ar"/>
                    </w:rPr>
                    <w:t>6.492</w:t>
                  </w:r>
                </w:p>
              </w:tc>
              <w:tc>
                <w:tcPr>
                  <w:tcW w:w="693" w:type="pct"/>
                  <w:tcBorders>
                    <w:tl2br w:val="nil"/>
                    <w:tr2bl w:val="nil"/>
                  </w:tcBorders>
                  <w:shd w:val="clear" w:color="auto" w:fill="auto"/>
                  <w:vAlign w:val="center"/>
                </w:tcPr>
                <w:p w14:paraId="5FE16072">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lang w:val="en-US" w:eastAsia="en-US" w:bidi="ar-SA"/>
                    </w:rPr>
                  </w:pPr>
                  <w:r>
                    <w:rPr>
                      <w:rFonts w:hint="default" w:ascii="Times New Roman" w:hAnsi="Times New Roman" w:eastAsia="宋体" w:cs="Times New Roman"/>
                      <w:i w:val="0"/>
                      <w:iCs w:val="0"/>
                      <w:color w:val="auto"/>
                      <w:kern w:val="0"/>
                      <w:sz w:val="21"/>
                      <w:szCs w:val="21"/>
                      <w:u w:val="none"/>
                      <w:lang w:val="en-US" w:eastAsia="zh-CN" w:bidi="ar"/>
                    </w:rPr>
                    <w:t>27.55</w:t>
                  </w:r>
                </w:p>
              </w:tc>
              <w:tc>
                <w:tcPr>
                  <w:tcW w:w="1111" w:type="pct"/>
                  <w:tcBorders>
                    <w:tl2br w:val="nil"/>
                    <w:tr2bl w:val="nil"/>
                  </w:tcBorders>
                  <w:shd w:val="clear" w:color="auto" w:fill="auto"/>
                  <w:vAlign w:val="center"/>
                </w:tcPr>
                <w:p w14:paraId="09832B72">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lang w:val="en-US" w:eastAsia="zh-CN" w:bidi="ar-SA"/>
                    </w:rPr>
                  </w:pPr>
                  <w:r>
                    <w:rPr>
                      <w:rFonts w:hint="eastAsia" w:cs="Times New Roman"/>
                      <w:color w:val="auto"/>
                      <w:spacing w:val="0"/>
                      <w:kern w:val="2"/>
                      <w:sz w:val="21"/>
                      <w:szCs w:val="21"/>
                      <w:lang w:val="en-US" w:eastAsia="zh-CN" w:bidi="ar-SA"/>
                    </w:rPr>
                    <w:t>9.465</w:t>
                  </w:r>
                </w:p>
              </w:tc>
            </w:tr>
            <w:tr w14:paraId="6E576BED">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2502" w:type="pct"/>
                  <w:tcBorders>
                    <w:tl2br w:val="nil"/>
                    <w:tr2bl w:val="nil"/>
                  </w:tcBorders>
                  <w:vAlign w:val="center"/>
                </w:tcPr>
                <w:p w14:paraId="61314FA7">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i w:val="0"/>
                      <w:iCs w:val="0"/>
                      <w:color w:val="auto"/>
                      <w:kern w:val="0"/>
                      <w:sz w:val="21"/>
                      <w:szCs w:val="21"/>
                      <w:u w:val="none"/>
                      <w:lang w:val="en-US" w:eastAsia="zh-CN" w:bidi="ar"/>
                    </w:rPr>
                    <w:t>HW34</w:t>
                  </w:r>
                  <w:r>
                    <w:rPr>
                      <w:rStyle w:val="113"/>
                      <w:rFonts w:hint="default" w:ascii="Times New Roman" w:hAnsi="Times New Roman" w:cs="Times New Roman"/>
                      <w:color w:val="auto"/>
                      <w:sz w:val="21"/>
                      <w:szCs w:val="21"/>
                      <w:lang w:val="en-US" w:eastAsia="zh-CN" w:bidi="ar"/>
                    </w:rPr>
                    <w:t>废酸</w:t>
                  </w:r>
                </w:p>
              </w:tc>
              <w:tc>
                <w:tcPr>
                  <w:tcW w:w="693" w:type="pct"/>
                  <w:tcBorders>
                    <w:tl2br w:val="nil"/>
                    <w:tr2bl w:val="nil"/>
                  </w:tcBorders>
                  <w:shd w:val="clear" w:color="auto" w:fill="auto"/>
                  <w:vAlign w:val="center"/>
                </w:tcPr>
                <w:p w14:paraId="7A2FBC00">
                  <w:pPr>
                    <w:jc w:val="center"/>
                    <w:rPr>
                      <w:rFonts w:hint="default" w:ascii="Times New Roman" w:hAnsi="Times New Roman" w:eastAsia="宋体" w:cs="Times New Roman"/>
                      <w:color w:val="auto"/>
                      <w:spacing w:val="0"/>
                      <w:kern w:val="2"/>
                      <w:sz w:val="21"/>
                      <w:szCs w:val="21"/>
                      <w:lang w:val="en-US" w:eastAsia="en-US" w:bidi="ar-SA"/>
                    </w:rPr>
                  </w:pPr>
                  <w:r>
                    <w:rPr>
                      <w:rFonts w:hint="eastAsia" w:cs="Times New Roman"/>
                      <w:color w:val="auto"/>
                      <w:spacing w:val="0"/>
                      <w:sz w:val="21"/>
                      <w:szCs w:val="21"/>
                      <w:lang w:val="en-US" w:eastAsia="zh-CN"/>
                    </w:rPr>
                    <w:t>/</w:t>
                  </w:r>
                </w:p>
              </w:tc>
              <w:tc>
                <w:tcPr>
                  <w:tcW w:w="693" w:type="pct"/>
                  <w:tcBorders>
                    <w:tl2br w:val="nil"/>
                    <w:tr2bl w:val="nil"/>
                  </w:tcBorders>
                  <w:shd w:val="clear" w:color="auto" w:fill="auto"/>
                  <w:vAlign w:val="center"/>
                </w:tcPr>
                <w:p w14:paraId="01014178">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lang w:val="en-US" w:eastAsia="en-US" w:bidi="ar-SA"/>
                    </w:rPr>
                  </w:pPr>
                  <w:r>
                    <w:rPr>
                      <w:rFonts w:hint="default" w:ascii="Times New Roman" w:hAnsi="Times New Roman" w:eastAsia="宋体" w:cs="Times New Roman"/>
                      <w:i w:val="0"/>
                      <w:iCs w:val="0"/>
                      <w:color w:val="auto"/>
                      <w:kern w:val="0"/>
                      <w:sz w:val="21"/>
                      <w:szCs w:val="21"/>
                      <w:u w:val="none"/>
                      <w:lang w:val="en-US" w:eastAsia="zh-CN" w:bidi="ar"/>
                    </w:rPr>
                    <w:t>0.019</w:t>
                  </w:r>
                </w:p>
              </w:tc>
              <w:tc>
                <w:tcPr>
                  <w:tcW w:w="1111" w:type="pct"/>
                  <w:tcBorders>
                    <w:tl2br w:val="nil"/>
                    <w:tr2bl w:val="nil"/>
                  </w:tcBorders>
                  <w:shd w:val="clear" w:color="auto" w:fill="auto"/>
                  <w:vAlign w:val="center"/>
                </w:tcPr>
                <w:p w14:paraId="294855C7">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lang w:val="en-US" w:eastAsia="zh-CN" w:bidi="ar-SA"/>
                    </w:rPr>
                  </w:pPr>
                  <w:r>
                    <w:rPr>
                      <w:rFonts w:hint="eastAsia" w:cs="Times New Roman"/>
                      <w:color w:val="auto"/>
                      <w:spacing w:val="0"/>
                      <w:kern w:val="2"/>
                      <w:sz w:val="21"/>
                      <w:szCs w:val="21"/>
                      <w:lang w:val="en-US" w:eastAsia="zh-CN" w:bidi="ar-SA"/>
                    </w:rPr>
                    <w:t>0.0272</w:t>
                  </w:r>
                </w:p>
              </w:tc>
            </w:tr>
            <w:tr w14:paraId="1992B811">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2502" w:type="pct"/>
                  <w:tcBorders>
                    <w:tl2br w:val="nil"/>
                    <w:tr2bl w:val="nil"/>
                  </w:tcBorders>
                  <w:vAlign w:val="center"/>
                </w:tcPr>
                <w:p w14:paraId="5A258993">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i w:val="0"/>
                      <w:iCs w:val="0"/>
                      <w:color w:val="auto"/>
                      <w:kern w:val="0"/>
                      <w:sz w:val="21"/>
                      <w:szCs w:val="21"/>
                      <w:u w:val="none"/>
                      <w:lang w:val="en-US" w:eastAsia="zh-CN" w:bidi="ar"/>
                    </w:rPr>
                    <w:t>HW35</w:t>
                  </w:r>
                  <w:r>
                    <w:rPr>
                      <w:rStyle w:val="113"/>
                      <w:rFonts w:hint="default" w:ascii="Times New Roman" w:hAnsi="Times New Roman" w:cs="Times New Roman"/>
                      <w:color w:val="auto"/>
                      <w:sz w:val="21"/>
                      <w:szCs w:val="21"/>
                      <w:lang w:val="en-US" w:eastAsia="zh-CN" w:bidi="ar"/>
                    </w:rPr>
                    <w:t>废碱</w:t>
                  </w:r>
                </w:p>
              </w:tc>
              <w:tc>
                <w:tcPr>
                  <w:tcW w:w="693" w:type="pct"/>
                  <w:tcBorders>
                    <w:tl2br w:val="nil"/>
                    <w:tr2bl w:val="nil"/>
                  </w:tcBorders>
                  <w:shd w:val="clear" w:color="auto" w:fill="auto"/>
                  <w:vAlign w:val="center"/>
                </w:tcPr>
                <w:p w14:paraId="0F261D26">
                  <w:pPr>
                    <w:jc w:val="center"/>
                    <w:rPr>
                      <w:rFonts w:hint="default" w:ascii="Times New Roman" w:hAnsi="Times New Roman" w:eastAsia="宋体" w:cs="Times New Roman"/>
                      <w:color w:val="auto"/>
                      <w:spacing w:val="0"/>
                      <w:kern w:val="2"/>
                      <w:sz w:val="21"/>
                      <w:szCs w:val="21"/>
                      <w:lang w:val="en-US" w:eastAsia="en-US" w:bidi="ar-SA"/>
                    </w:rPr>
                  </w:pPr>
                  <w:r>
                    <w:rPr>
                      <w:rFonts w:hint="eastAsia" w:cs="Times New Roman"/>
                      <w:color w:val="auto"/>
                      <w:spacing w:val="0"/>
                      <w:sz w:val="21"/>
                      <w:szCs w:val="21"/>
                      <w:lang w:val="en-US" w:eastAsia="zh-CN"/>
                    </w:rPr>
                    <w:t>/</w:t>
                  </w:r>
                </w:p>
              </w:tc>
              <w:tc>
                <w:tcPr>
                  <w:tcW w:w="693" w:type="pct"/>
                  <w:tcBorders>
                    <w:tl2br w:val="nil"/>
                    <w:tr2bl w:val="nil"/>
                  </w:tcBorders>
                  <w:shd w:val="clear" w:color="auto" w:fill="auto"/>
                  <w:vAlign w:val="center"/>
                </w:tcPr>
                <w:p w14:paraId="192EA68B">
                  <w:pPr>
                    <w:jc w:val="center"/>
                    <w:rPr>
                      <w:rFonts w:hint="default" w:ascii="Times New Roman" w:hAnsi="Times New Roman" w:eastAsia="宋体" w:cs="Times New Roman"/>
                      <w:color w:val="auto"/>
                      <w:spacing w:val="0"/>
                      <w:kern w:val="2"/>
                      <w:sz w:val="21"/>
                      <w:szCs w:val="21"/>
                      <w:lang w:val="en-US" w:eastAsia="en-US" w:bidi="ar-SA"/>
                    </w:rPr>
                  </w:pPr>
                  <w:r>
                    <w:rPr>
                      <w:rFonts w:hint="eastAsia" w:cs="Times New Roman"/>
                      <w:color w:val="auto"/>
                      <w:spacing w:val="0"/>
                      <w:sz w:val="21"/>
                      <w:szCs w:val="21"/>
                      <w:lang w:val="en-US" w:eastAsia="zh-CN"/>
                    </w:rPr>
                    <w:t>/</w:t>
                  </w:r>
                </w:p>
              </w:tc>
              <w:tc>
                <w:tcPr>
                  <w:tcW w:w="1111" w:type="pct"/>
                  <w:tcBorders>
                    <w:tl2br w:val="nil"/>
                    <w:tr2bl w:val="nil"/>
                  </w:tcBorders>
                  <w:shd w:val="clear" w:color="auto" w:fill="auto"/>
                  <w:vAlign w:val="center"/>
                </w:tcPr>
                <w:p w14:paraId="0724B1EE">
                  <w:pPr>
                    <w:jc w:val="center"/>
                    <w:rPr>
                      <w:rFonts w:hint="eastAsia" w:ascii="Times New Roman" w:hAnsi="Times New Roman" w:eastAsia="宋体" w:cs="Times New Roman"/>
                      <w:color w:val="auto"/>
                      <w:spacing w:val="0"/>
                      <w:kern w:val="2"/>
                      <w:sz w:val="21"/>
                      <w:szCs w:val="21"/>
                      <w:lang w:val="en-US" w:eastAsia="zh-CN" w:bidi="ar-SA"/>
                    </w:rPr>
                  </w:pPr>
                  <w:r>
                    <w:rPr>
                      <w:rFonts w:hint="eastAsia" w:cs="Times New Roman"/>
                      <w:color w:val="auto"/>
                      <w:spacing w:val="0"/>
                      <w:kern w:val="2"/>
                      <w:sz w:val="21"/>
                      <w:szCs w:val="21"/>
                      <w:lang w:val="en-US" w:eastAsia="zh-CN" w:bidi="ar-SA"/>
                    </w:rPr>
                    <w:t>/</w:t>
                  </w:r>
                </w:p>
              </w:tc>
            </w:tr>
            <w:tr w14:paraId="6065AF1B">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2502" w:type="pct"/>
                  <w:tcBorders>
                    <w:tl2br w:val="nil"/>
                    <w:tr2bl w:val="nil"/>
                  </w:tcBorders>
                  <w:vAlign w:val="center"/>
                </w:tcPr>
                <w:p w14:paraId="1752E097">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i w:val="0"/>
                      <w:iCs w:val="0"/>
                      <w:color w:val="auto"/>
                      <w:kern w:val="0"/>
                      <w:sz w:val="21"/>
                      <w:szCs w:val="21"/>
                      <w:u w:val="none"/>
                      <w:lang w:val="en-US" w:eastAsia="zh-CN" w:bidi="ar"/>
                    </w:rPr>
                    <w:t>HW36</w:t>
                  </w:r>
                  <w:r>
                    <w:rPr>
                      <w:rStyle w:val="113"/>
                      <w:rFonts w:hint="default" w:ascii="Times New Roman" w:hAnsi="Times New Roman" w:cs="Times New Roman"/>
                      <w:color w:val="auto"/>
                      <w:sz w:val="21"/>
                      <w:szCs w:val="21"/>
                      <w:lang w:val="en-US" w:eastAsia="zh-CN" w:bidi="ar"/>
                    </w:rPr>
                    <w:t>石棉废物</w:t>
                  </w:r>
                </w:p>
              </w:tc>
              <w:tc>
                <w:tcPr>
                  <w:tcW w:w="693" w:type="pct"/>
                  <w:tcBorders>
                    <w:tl2br w:val="nil"/>
                    <w:tr2bl w:val="nil"/>
                  </w:tcBorders>
                  <w:shd w:val="clear" w:color="auto" w:fill="auto"/>
                  <w:vAlign w:val="center"/>
                </w:tcPr>
                <w:p w14:paraId="36D05CD9">
                  <w:pPr>
                    <w:jc w:val="center"/>
                    <w:rPr>
                      <w:rFonts w:hint="default" w:ascii="Times New Roman" w:hAnsi="Times New Roman" w:eastAsia="宋体" w:cs="Times New Roman"/>
                      <w:color w:val="auto"/>
                      <w:spacing w:val="0"/>
                      <w:kern w:val="2"/>
                      <w:sz w:val="21"/>
                      <w:szCs w:val="21"/>
                      <w:lang w:val="en-US" w:eastAsia="zh-CN" w:bidi="ar-SA"/>
                    </w:rPr>
                  </w:pPr>
                  <w:r>
                    <w:rPr>
                      <w:rFonts w:hint="eastAsia" w:cs="Times New Roman"/>
                      <w:color w:val="auto"/>
                      <w:spacing w:val="0"/>
                      <w:sz w:val="21"/>
                      <w:szCs w:val="21"/>
                      <w:lang w:val="en-US" w:eastAsia="zh-CN"/>
                    </w:rPr>
                    <w:t>/</w:t>
                  </w:r>
                </w:p>
              </w:tc>
              <w:tc>
                <w:tcPr>
                  <w:tcW w:w="693" w:type="pct"/>
                  <w:tcBorders>
                    <w:tl2br w:val="nil"/>
                    <w:tr2bl w:val="nil"/>
                  </w:tcBorders>
                  <w:shd w:val="clear" w:color="auto" w:fill="auto"/>
                  <w:vAlign w:val="center"/>
                </w:tcPr>
                <w:p w14:paraId="4520411A">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0.11685</w:t>
                  </w:r>
                </w:p>
              </w:tc>
              <w:tc>
                <w:tcPr>
                  <w:tcW w:w="1111" w:type="pct"/>
                  <w:tcBorders>
                    <w:tl2br w:val="nil"/>
                    <w:tr2bl w:val="nil"/>
                  </w:tcBorders>
                  <w:vAlign w:val="center"/>
                </w:tcPr>
                <w:p w14:paraId="51369271">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lang w:val="en-US" w:eastAsia="zh-CN"/>
                    </w:rPr>
                  </w:pPr>
                  <w:r>
                    <w:rPr>
                      <w:rFonts w:hint="eastAsia" w:cs="Times New Roman"/>
                      <w:color w:val="auto"/>
                      <w:spacing w:val="0"/>
                      <w:sz w:val="21"/>
                      <w:szCs w:val="21"/>
                      <w:lang w:val="en-US" w:eastAsia="zh-CN"/>
                    </w:rPr>
                    <w:t>0.19</w:t>
                  </w:r>
                </w:p>
              </w:tc>
            </w:tr>
            <w:tr w14:paraId="758C85D0">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2502" w:type="pct"/>
                  <w:tcBorders>
                    <w:tl2br w:val="nil"/>
                    <w:tr2bl w:val="nil"/>
                  </w:tcBorders>
                  <w:vAlign w:val="center"/>
                </w:tcPr>
                <w:p w14:paraId="02308D47">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i w:val="0"/>
                      <w:iCs w:val="0"/>
                      <w:color w:val="auto"/>
                      <w:kern w:val="0"/>
                      <w:sz w:val="21"/>
                      <w:szCs w:val="21"/>
                      <w:u w:val="none"/>
                      <w:lang w:val="en-US" w:eastAsia="zh-CN" w:bidi="ar"/>
                    </w:rPr>
                    <w:t>HW38</w:t>
                  </w:r>
                  <w:r>
                    <w:rPr>
                      <w:rStyle w:val="113"/>
                      <w:rFonts w:hint="default" w:ascii="Times New Roman" w:hAnsi="Times New Roman" w:cs="Times New Roman"/>
                      <w:color w:val="auto"/>
                      <w:sz w:val="21"/>
                      <w:szCs w:val="21"/>
                      <w:lang w:val="en-US" w:eastAsia="zh-CN" w:bidi="ar"/>
                    </w:rPr>
                    <w:t>有机氰化物废物</w:t>
                  </w:r>
                </w:p>
              </w:tc>
              <w:tc>
                <w:tcPr>
                  <w:tcW w:w="693" w:type="pct"/>
                  <w:tcBorders>
                    <w:tl2br w:val="nil"/>
                    <w:tr2bl w:val="nil"/>
                  </w:tcBorders>
                  <w:shd w:val="clear" w:color="auto" w:fill="auto"/>
                  <w:vAlign w:val="center"/>
                </w:tcPr>
                <w:p w14:paraId="079790CB">
                  <w:pPr>
                    <w:jc w:val="center"/>
                    <w:rPr>
                      <w:rFonts w:hint="default" w:ascii="Times New Roman" w:hAnsi="Times New Roman" w:eastAsia="宋体" w:cs="Times New Roman"/>
                      <w:color w:val="auto"/>
                      <w:spacing w:val="0"/>
                      <w:kern w:val="2"/>
                      <w:sz w:val="21"/>
                      <w:szCs w:val="21"/>
                      <w:lang w:val="en-US" w:eastAsia="en-US" w:bidi="ar-SA"/>
                    </w:rPr>
                  </w:pPr>
                  <w:r>
                    <w:rPr>
                      <w:rFonts w:hint="eastAsia" w:cs="Times New Roman"/>
                      <w:color w:val="auto"/>
                      <w:spacing w:val="0"/>
                      <w:sz w:val="21"/>
                      <w:szCs w:val="21"/>
                      <w:lang w:val="en-US" w:eastAsia="zh-CN"/>
                    </w:rPr>
                    <w:t>/</w:t>
                  </w:r>
                </w:p>
              </w:tc>
              <w:tc>
                <w:tcPr>
                  <w:tcW w:w="693" w:type="pct"/>
                  <w:tcBorders>
                    <w:tl2br w:val="nil"/>
                    <w:tr2bl w:val="nil"/>
                  </w:tcBorders>
                  <w:shd w:val="clear" w:color="auto" w:fill="auto"/>
                  <w:vAlign w:val="center"/>
                </w:tcPr>
                <w:p w14:paraId="131F3DFA">
                  <w:pPr>
                    <w:jc w:val="center"/>
                    <w:rPr>
                      <w:rFonts w:hint="default" w:ascii="Times New Roman" w:hAnsi="Times New Roman" w:eastAsia="宋体" w:cs="Times New Roman"/>
                      <w:color w:val="auto"/>
                      <w:spacing w:val="0"/>
                      <w:kern w:val="2"/>
                      <w:sz w:val="21"/>
                      <w:szCs w:val="21"/>
                      <w:lang w:val="en-US" w:eastAsia="en-US" w:bidi="ar-SA"/>
                    </w:rPr>
                  </w:pPr>
                  <w:r>
                    <w:rPr>
                      <w:rFonts w:hint="eastAsia" w:cs="Times New Roman"/>
                      <w:color w:val="auto"/>
                      <w:spacing w:val="0"/>
                      <w:sz w:val="21"/>
                      <w:szCs w:val="21"/>
                      <w:lang w:val="en-US" w:eastAsia="zh-CN"/>
                    </w:rPr>
                    <w:t>/</w:t>
                  </w:r>
                </w:p>
              </w:tc>
              <w:tc>
                <w:tcPr>
                  <w:tcW w:w="1111" w:type="pct"/>
                  <w:tcBorders>
                    <w:tl2br w:val="nil"/>
                    <w:tr2bl w:val="nil"/>
                  </w:tcBorders>
                  <w:shd w:val="clear" w:color="auto" w:fill="auto"/>
                  <w:vAlign w:val="center"/>
                </w:tcPr>
                <w:p w14:paraId="15AC4E95">
                  <w:pPr>
                    <w:jc w:val="center"/>
                    <w:rPr>
                      <w:rFonts w:hint="eastAsia" w:ascii="Times New Roman" w:hAnsi="Times New Roman" w:eastAsia="宋体" w:cs="Times New Roman"/>
                      <w:color w:val="auto"/>
                      <w:spacing w:val="0"/>
                      <w:kern w:val="2"/>
                      <w:sz w:val="21"/>
                      <w:szCs w:val="21"/>
                      <w:lang w:val="en-US" w:eastAsia="zh-CN" w:bidi="ar-SA"/>
                    </w:rPr>
                  </w:pPr>
                  <w:r>
                    <w:rPr>
                      <w:rFonts w:hint="eastAsia" w:cs="Times New Roman"/>
                      <w:color w:val="auto"/>
                      <w:spacing w:val="0"/>
                      <w:kern w:val="2"/>
                      <w:sz w:val="21"/>
                      <w:szCs w:val="21"/>
                      <w:lang w:val="en-US" w:eastAsia="zh-CN" w:bidi="ar-SA"/>
                    </w:rPr>
                    <w:t>/</w:t>
                  </w:r>
                </w:p>
              </w:tc>
            </w:tr>
            <w:tr w14:paraId="249B92CA">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2502" w:type="pct"/>
                  <w:tcBorders>
                    <w:tl2br w:val="nil"/>
                    <w:tr2bl w:val="nil"/>
                  </w:tcBorders>
                  <w:vAlign w:val="center"/>
                </w:tcPr>
                <w:p w14:paraId="4CCA50F1">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i w:val="0"/>
                      <w:iCs w:val="0"/>
                      <w:color w:val="auto"/>
                      <w:kern w:val="0"/>
                      <w:sz w:val="21"/>
                      <w:szCs w:val="21"/>
                      <w:u w:val="none"/>
                      <w:lang w:val="en-US" w:eastAsia="zh-CN" w:bidi="ar"/>
                    </w:rPr>
                    <w:t>HW39</w:t>
                  </w:r>
                  <w:r>
                    <w:rPr>
                      <w:rStyle w:val="113"/>
                      <w:rFonts w:hint="default" w:ascii="Times New Roman" w:hAnsi="Times New Roman" w:cs="Times New Roman"/>
                      <w:color w:val="auto"/>
                      <w:sz w:val="21"/>
                      <w:szCs w:val="21"/>
                      <w:lang w:val="en-US" w:eastAsia="zh-CN" w:bidi="ar"/>
                    </w:rPr>
                    <w:t>含酚废物</w:t>
                  </w:r>
                </w:p>
              </w:tc>
              <w:tc>
                <w:tcPr>
                  <w:tcW w:w="693" w:type="pct"/>
                  <w:tcBorders>
                    <w:tl2br w:val="nil"/>
                    <w:tr2bl w:val="nil"/>
                  </w:tcBorders>
                  <w:shd w:val="clear" w:color="auto" w:fill="auto"/>
                  <w:vAlign w:val="center"/>
                </w:tcPr>
                <w:p w14:paraId="753E57FE">
                  <w:pPr>
                    <w:jc w:val="center"/>
                    <w:rPr>
                      <w:rFonts w:hint="default" w:ascii="Times New Roman" w:hAnsi="Times New Roman" w:eastAsia="宋体" w:cs="Times New Roman"/>
                      <w:color w:val="auto"/>
                      <w:spacing w:val="0"/>
                      <w:kern w:val="2"/>
                      <w:sz w:val="21"/>
                      <w:szCs w:val="21"/>
                      <w:lang w:val="en-US" w:eastAsia="en-US" w:bidi="ar-SA"/>
                    </w:rPr>
                  </w:pPr>
                  <w:r>
                    <w:rPr>
                      <w:rFonts w:hint="eastAsia" w:cs="Times New Roman"/>
                      <w:color w:val="auto"/>
                      <w:spacing w:val="0"/>
                      <w:sz w:val="21"/>
                      <w:szCs w:val="21"/>
                      <w:lang w:val="en-US" w:eastAsia="zh-CN"/>
                    </w:rPr>
                    <w:t>/</w:t>
                  </w:r>
                </w:p>
              </w:tc>
              <w:tc>
                <w:tcPr>
                  <w:tcW w:w="693" w:type="pct"/>
                  <w:tcBorders>
                    <w:tl2br w:val="nil"/>
                    <w:tr2bl w:val="nil"/>
                  </w:tcBorders>
                  <w:shd w:val="clear" w:color="auto" w:fill="auto"/>
                  <w:vAlign w:val="center"/>
                </w:tcPr>
                <w:p w14:paraId="695EEF6D">
                  <w:pPr>
                    <w:jc w:val="center"/>
                    <w:rPr>
                      <w:rFonts w:hint="default" w:ascii="Times New Roman" w:hAnsi="Times New Roman" w:eastAsia="宋体" w:cs="Times New Roman"/>
                      <w:color w:val="auto"/>
                      <w:spacing w:val="0"/>
                      <w:kern w:val="2"/>
                      <w:sz w:val="21"/>
                      <w:szCs w:val="21"/>
                      <w:lang w:val="en-US" w:eastAsia="en-US" w:bidi="ar-SA"/>
                    </w:rPr>
                  </w:pPr>
                  <w:r>
                    <w:rPr>
                      <w:rFonts w:hint="eastAsia" w:cs="Times New Roman"/>
                      <w:color w:val="auto"/>
                      <w:spacing w:val="0"/>
                      <w:sz w:val="21"/>
                      <w:szCs w:val="21"/>
                      <w:lang w:val="en-US" w:eastAsia="zh-CN"/>
                    </w:rPr>
                    <w:t>/</w:t>
                  </w:r>
                </w:p>
              </w:tc>
              <w:tc>
                <w:tcPr>
                  <w:tcW w:w="1111" w:type="pct"/>
                  <w:tcBorders>
                    <w:tl2br w:val="nil"/>
                    <w:tr2bl w:val="nil"/>
                  </w:tcBorders>
                  <w:shd w:val="clear" w:color="auto" w:fill="auto"/>
                  <w:vAlign w:val="center"/>
                </w:tcPr>
                <w:p w14:paraId="3720A9DE">
                  <w:pPr>
                    <w:jc w:val="center"/>
                    <w:rPr>
                      <w:rFonts w:hint="eastAsia" w:ascii="Times New Roman" w:hAnsi="Times New Roman" w:eastAsia="宋体" w:cs="Times New Roman"/>
                      <w:color w:val="auto"/>
                      <w:spacing w:val="0"/>
                      <w:kern w:val="2"/>
                      <w:sz w:val="21"/>
                      <w:szCs w:val="21"/>
                      <w:lang w:val="en-US" w:eastAsia="zh-CN" w:bidi="ar-SA"/>
                    </w:rPr>
                  </w:pPr>
                  <w:r>
                    <w:rPr>
                      <w:rFonts w:hint="eastAsia" w:cs="Times New Roman"/>
                      <w:color w:val="auto"/>
                      <w:spacing w:val="0"/>
                      <w:kern w:val="2"/>
                      <w:sz w:val="21"/>
                      <w:szCs w:val="21"/>
                      <w:lang w:val="en-US" w:eastAsia="zh-CN" w:bidi="ar-SA"/>
                    </w:rPr>
                    <w:t>/</w:t>
                  </w:r>
                </w:p>
              </w:tc>
            </w:tr>
            <w:tr w14:paraId="074C6391">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2502" w:type="pct"/>
                  <w:tcBorders>
                    <w:tl2br w:val="nil"/>
                    <w:tr2bl w:val="nil"/>
                  </w:tcBorders>
                  <w:vAlign w:val="center"/>
                </w:tcPr>
                <w:p w14:paraId="1C348F22">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i w:val="0"/>
                      <w:iCs w:val="0"/>
                      <w:color w:val="auto"/>
                      <w:kern w:val="0"/>
                      <w:sz w:val="21"/>
                      <w:szCs w:val="21"/>
                      <w:u w:val="none"/>
                      <w:lang w:val="en-US" w:eastAsia="zh-CN" w:bidi="ar"/>
                    </w:rPr>
                    <w:t>HW40</w:t>
                  </w:r>
                  <w:r>
                    <w:rPr>
                      <w:rStyle w:val="113"/>
                      <w:rFonts w:hint="default" w:ascii="Times New Roman" w:hAnsi="Times New Roman" w:cs="Times New Roman"/>
                      <w:color w:val="auto"/>
                      <w:sz w:val="21"/>
                      <w:szCs w:val="21"/>
                      <w:lang w:val="en-US" w:eastAsia="zh-CN" w:bidi="ar"/>
                    </w:rPr>
                    <w:t>含醚废物</w:t>
                  </w:r>
                </w:p>
              </w:tc>
              <w:tc>
                <w:tcPr>
                  <w:tcW w:w="693" w:type="pct"/>
                  <w:tcBorders>
                    <w:tl2br w:val="nil"/>
                    <w:tr2bl w:val="nil"/>
                  </w:tcBorders>
                  <w:shd w:val="clear" w:color="auto" w:fill="auto"/>
                  <w:vAlign w:val="center"/>
                </w:tcPr>
                <w:p w14:paraId="1C6F6167">
                  <w:pPr>
                    <w:jc w:val="center"/>
                    <w:rPr>
                      <w:rFonts w:hint="default" w:ascii="Times New Roman" w:hAnsi="Times New Roman" w:eastAsia="宋体" w:cs="Times New Roman"/>
                      <w:color w:val="auto"/>
                      <w:spacing w:val="0"/>
                      <w:kern w:val="2"/>
                      <w:sz w:val="21"/>
                      <w:szCs w:val="21"/>
                      <w:lang w:val="en-US" w:eastAsia="en-US" w:bidi="ar-SA"/>
                    </w:rPr>
                  </w:pPr>
                  <w:r>
                    <w:rPr>
                      <w:rFonts w:hint="eastAsia" w:cs="Times New Roman"/>
                      <w:color w:val="auto"/>
                      <w:spacing w:val="0"/>
                      <w:sz w:val="21"/>
                      <w:szCs w:val="21"/>
                      <w:lang w:val="en-US" w:eastAsia="zh-CN"/>
                    </w:rPr>
                    <w:t>/</w:t>
                  </w:r>
                </w:p>
              </w:tc>
              <w:tc>
                <w:tcPr>
                  <w:tcW w:w="693" w:type="pct"/>
                  <w:tcBorders>
                    <w:tl2br w:val="nil"/>
                    <w:tr2bl w:val="nil"/>
                  </w:tcBorders>
                  <w:shd w:val="clear" w:color="auto" w:fill="auto"/>
                  <w:vAlign w:val="center"/>
                </w:tcPr>
                <w:p w14:paraId="628BB4DA">
                  <w:pPr>
                    <w:jc w:val="center"/>
                    <w:rPr>
                      <w:rFonts w:hint="default" w:ascii="Times New Roman" w:hAnsi="Times New Roman" w:eastAsia="宋体" w:cs="Times New Roman"/>
                      <w:color w:val="auto"/>
                      <w:spacing w:val="0"/>
                      <w:kern w:val="2"/>
                      <w:sz w:val="21"/>
                      <w:szCs w:val="21"/>
                      <w:lang w:val="en-US" w:eastAsia="en-US" w:bidi="ar-SA"/>
                    </w:rPr>
                  </w:pPr>
                  <w:r>
                    <w:rPr>
                      <w:rFonts w:hint="eastAsia" w:cs="Times New Roman"/>
                      <w:color w:val="auto"/>
                      <w:spacing w:val="0"/>
                      <w:sz w:val="21"/>
                      <w:szCs w:val="21"/>
                      <w:lang w:val="en-US" w:eastAsia="zh-CN"/>
                    </w:rPr>
                    <w:t>/</w:t>
                  </w:r>
                </w:p>
              </w:tc>
              <w:tc>
                <w:tcPr>
                  <w:tcW w:w="1111" w:type="pct"/>
                  <w:tcBorders>
                    <w:tl2br w:val="nil"/>
                    <w:tr2bl w:val="nil"/>
                  </w:tcBorders>
                  <w:shd w:val="clear" w:color="auto" w:fill="auto"/>
                  <w:vAlign w:val="center"/>
                </w:tcPr>
                <w:p w14:paraId="53A5B78D">
                  <w:pPr>
                    <w:jc w:val="center"/>
                    <w:rPr>
                      <w:rFonts w:hint="eastAsia" w:ascii="Times New Roman" w:hAnsi="Times New Roman" w:eastAsia="宋体" w:cs="Times New Roman"/>
                      <w:color w:val="auto"/>
                      <w:spacing w:val="0"/>
                      <w:kern w:val="2"/>
                      <w:sz w:val="21"/>
                      <w:szCs w:val="21"/>
                      <w:lang w:val="en-US" w:eastAsia="zh-CN" w:bidi="ar-SA"/>
                    </w:rPr>
                  </w:pPr>
                  <w:r>
                    <w:rPr>
                      <w:rFonts w:hint="eastAsia" w:cs="Times New Roman"/>
                      <w:color w:val="auto"/>
                      <w:spacing w:val="0"/>
                      <w:kern w:val="2"/>
                      <w:sz w:val="21"/>
                      <w:szCs w:val="21"/>
                      <w:lang w:val="en-US" w:eastAsia="zh-CN" w:bidi="ar-SA"/>
                    </w:rPr>
                    <w:t>/</w:t>
                  </w:r>
                </w:p>
              </w:tc>
            </w:tr>
            <w:tr w14:paraId="66CF07B6">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2502" w:type="pct"/>
                  <w:tcBorders>
                    <w:tl2br w:val="nil"/>
                    <w:tr2bl w:val="nil"/>
                  </w:tcBorders>
                  <w:vAlign w:val="center"/>
                </w:tcPr>
                <w:p w14:paraId="3F764FCA">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i w:val="0"/>
                      <w:iCs w:val="0"/>
                      <w:color w:val="auto"/>
                      <w:kern w:val="0"/>
                      <w:sz w:val="21"/>
                      <w:szCs w:val="21"/>
                      <w:u w:val="none"/>
                      <w:lang w:val="en-US" w:eastAsia="zh-CN" w:bidi="ar"/>
                    </w:rPr>
                    <w:t>HW45</w:t>
                  </w:r>
                  <w:r>
                    <w:rPr>
                      <w:rStyle w:val="113"/>
                      <w:rFonts w:hint="default" w:ascii="Times New Roman" w:hAnsi="Times New Roman" w:cs="Times New Roman"/>
                      <w:color w:val="auto"/>
                      <w:sz w:val="21"/>
                      <w:szCs w:val="21"/>
                      <w:lang w:val="en-US" w:eastAsia="zh-CN" w:bidi="ar"/>
                    </w:rPr>
                    <w:t>含有机卤化物废物</w:t>
                  </w:r>
                </w:p>
              </w:tc>
              <w:tc>
                <w:tcPr>
                  <w:tcW w:w="693" w:type="pct"/>
                  <w:tcBorders>
                    <w:tl2br w:val="nil"/>
                    <w:tr2bl w:val="nil"/>
                  </w:tcBorders>
                  <w:shd w:val="clear" w:color="auto" w:fill="auto"/>
                  <w:vAlign w:val="center"/>
                </w:tcPr>
                <w:p w14:paraId="0AE689FD">
                  <w:pPr>
                    <w:jc w:val="center"/>
                    <w:rPr>
                      <w:rFonts w:hint="default" w:ascii="Times New Roman" w:hAnsi="Times New Roman" w:eastAsia="宋体" w:cs="Times New Roman"/>
                      <w:color w:val="auto"/>
                      <w:spacing w:val="0"/>
                      <w:kern w:val="2"/>
                      <w:sz w:val="21"/>
                      <w:szCs w:val="21"/>
                      <w:lang w:val="en-US" w:eastAsia="en-US" w:bidi="ar-SA"/>
                    </w:rPr>
                  </w:pPr>
                  <w:r>
                    <w:rPr>
                      <w:rFonts w:hint="eastAsia" w:cs="Times New Roman"/>
                      <w:color w:val="auto"/>
                      <w:spacing w:val="0"/>
                      <w:sz w:val="21"/>
                      <w:szCs w:val="21"/>
                      <w:lang w:val="en-US" w:eastAsia="zh-CN"/>
                    </w:rPr>
                    <w:t>/</w:t>
                  </w:r>
                </w:p>
              </w:tc>
              <w:tc>
                <w:tcPr>
                  <w:tcW w:w="693" w:type="pct"/>
                  <w:tcBorders>
                    <w:tl2br w:val="nil"/>
                    <w:tr2bl w:val="nil"/>
                  </w:tcBorders>
                  <w:shd w:val="clear" w:color="auto" w:fill="auto"/>
                  <w:vAlign w:val="center"/>
                </w:tcPr>
                <w:p w14:paraId="6C262DFE">
                  <w:pPr>
                    <w:jc w:val="center"/>
                    <w:rPr>
                      <w:rFonts w:hint="default" w:ascii="Times New Roman" w:hAnsi="Times New Roman" w:eastAsia="宋体" w:cs="Times New Roman"/>
                      <w:color w:val="auto"/>
                      <w:spacing w:val="0"/>
                      <w:kern w:val="2"/>
                      <w:sz w:val="21"/>
                      <w:szCs w:val="21"/>
                      <w:lang w:val="en-US" w:eastAsia="en-US" w:bidi="ar-SA"/>
                    </w:rPr>
                  </w:pPr>
                  <w:r>
                    <w:rPr>
                      <w:rFonts w:hint="eastAsia" w:cs="Times New Roman"/>
                      <w:color w:val="auto"/>
                      <w:spacing w:val="0"/>
                      <w:sz w:val="21"/>
                      <w:szCs w:val="21"/>
                      <w:lang w:val="en-US" w:eastAsia="zh-CN"/>
                    </w:rPr>
                    <w:t>/</w:t>
                  </w:r>
                </w:p>
              </w:tc>
              <w:tc>
                <w:tcPr>
                  <w:tcW w:w="1111" w:type="pct"/>
                  <w:tcBorders>
                    <w:tl2br w:val="nil"/>
                    <w:tr2bl w:val="nil"/>
                  </w:tcBorders>
                  <w:shd w:val="clear" w:color="auto" w:fill="auto"/>
                  <w:vAlign w:val="center"/>
                </w:tcPr>
                <w:p w14:paraId="1011F5DE">
                  <w:pPr>
                    <w:jc w:val="center"/>
                    <w:rPr>
                      <w:rFonts w:hint="eastAsia" w:ascii="Times New Roman" w:hAnsi="Times New Roman" w:eastAsia="宋体" w:cs="Times New Roman"/>
                      <w:color w:val="auto"/>
                      <w:spacing w:val="0"/>
                      <w:kern w:val="2"/>
                      <w:sz w:val="21"/>
                      <w:szCs w:val="21"/>
                      <w:lang w:val="en-US" w:eastAsia="zh-CN" w:bidi="ar-SA"/>
                    </w:rPr>
                  </w:pPr>
                  <w:r>
                    <w:rPr>
                      <w:rFonts w:hint="eastAsia" w:cs="Times New Roman"/>
                      <w:color w:val="auto"/>
                      <w:spacing w:val="0"/>
                      <w:kern w:val="2"/>
                      <w:sz w:val="21"/>
                      <w:szCs w:val="21"/>
                      <w:lang w:val="en-US" w:eastAsia="zh-CN" w:bidi="ar-SA"/>
                    </w:rPr>
                    <w:t>/</w:t>
                  </w:r>
                </w:p>
              </w:tc>
            </w:tr>
            <w:tr w14:paraId="15BD3D9E">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2502" w:type="pct"/>
                  <w:tcBorders>
                    <w:tl2br w:val="nil"/>
                    <w:tr2bl w:val="nil"/>
                  </w:tcBorders>
                  <w:vAlign w:val="center"/>
                </w:tcPr>
                <w:p w14:paraId="06F51D65">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i w:val="0"/>
                      <w:iCs w:val="0"/>
                      <w:color w:val="auto"/>
                      <w:kern w:val="0"/>
                      <w:sz w:val="21"/>
                      <w:szCs w:val="21"/>
                      <w:u w:val="none"/>
                      <w:lang w:val="en-US" w:eastAsia="zh-CN" w:bidi="ar"/>
                    </w:rPr>
                    <w:t>HW46</w:t>
                  </w:r>
                  <w:r>
                    <w:rPr>
                      <w:rStyle w:val="113"/>
                      <w:rFonts w:hint="default" w:ascii="Times New Roman" w:hAnsi="Times New Roman" w:cs="Times New Roman"/>
                      <w:color w:val="auto"/>
                      <w:sz w:val="21"/>
                      <w:szCs w:val="21"/>
                      <w:lang w:val="en-US" w:eastAsia="zh-CN" w:bidi="ar"/>
                    </w:rPr>
                    <w:t>含镍废物</w:t>
                  </w:r>
                </w:p>
              </w:tc>
              <w:tc>
                <w:tcPr>
                  <w:tcW w:w="693" w:type="pct"/>
                  <w:tcBorders>
                    <w:tl2br w:val="nil"/>
                    <w:tr2bl w:val="nil"/>
                  </w:tcBorders>
                  <w:shd w:val="clear" w:color="auto" w:fill="auto"/>
                  <w:vAlign w:val="center"/>
                </w:tcPr>
                <w:p w14:paraId="4611975B">
                  <w:pPr>
                    <w:jc w:val="center"/>
                    <w:rPr>
                      <w:rFonts w:hint="default" w:ascii="Times New Roman" w:hAnsi="Times New Roman" w:eastAsia="宋体" w:cs="Times New Roman"/>
                      <w:color w:val="auto"/>
                      <w:spacing w:val="0"/>
                      <w:kern w:val="2"/>
                      <w:sz w:val="21"/>
                      <w:szCs w:val="21"/>
                      <w:lang w:val="en-US" w:eastAsia="zh-CN" w:bidi="ar-SA"/>
                    </w:rPr>
                  </w:pPr>
                </w:p>
              </w:tc>
              <w:tc>
                <w:tcPr>
                  <w:tcW w:w="693" w:type="pct"/>
                  <w:tcBorders>
                    <w:tl2br w:val="nil"/>
                    <w:tr2bl w:val="nil"/>
                  </w:tcBorders>
                  <w:shd w:val="clear" w:color="auto" w:fill="auto"/>
                  <w:vAlign w:val="center"/>
                </w:tcPr>
                <w:p w14:paraId="6615C57B">
                  <w:pPr>
                    <w:jc w:val="center"/>
                    <w:rPr>
                      <w:rFonts w:hint="default" w:ascii="Times New Roman" w:hAnsi="Times New Roman" w:eastAsia="宋体" w:cs="Times New Roman"/>
                      <w:color w:val="auto"/>
                      <w:spacing w:val="0"/>
                      <w:kern w:val="2"/>
                      <w:sz w:val="21"/>
                      <w:szCs w:val="21"/>
                      <w:lang w:val="en-US" w:eastAsia="zh-CN" w:bidi="ar-SA"/>
                    </w:rPr>
                  </w:pPr>
                </w:p>
              </w:tc>
              <w:tc>
                <w:tcPr>
                  <w:tcW w:w="1111" w:type="pct"/>
                  <w:tcBorders>
                    <w:tl2br w:val="nil"/>
                    <w:tr2bl w:val="nil"/>
                  </w:tcBorders>
                  <w:shd w:val="clear" w:color="auto" w:fill="auto"/>
                  <w:vAlign w:val="center"/>
                </w:tcPr>
                <w:p w14:paraId="68279A86">
                  <w:pPr>
                    <w:jc w:val="center"/>
                    <w:rPr>
                      <w:rFonts w:hint="default" w:ascii="Times New Roman" w:hAnsi="Times New Roman" w:eastAsia="宋体" w:cs="Times New Roman"/>
                      <w:color w:val="auto"/>
                      <w:spacing w:val="0"/>
                      <w:sz w:val="21"/>
                      <w:szCs w:val="21"/>
                      <w:lang w:val="en-US" w:eastAsia="zh-CN"/>
                    </w:rPr>
                  </w:pPr>
                  <w:r>
                    <w:rPr>
                      <w:rFonts w:hint="eastAsia" w:cs="Times New Roman"/>
                      <w:color w:val="auto"/>
                      <w:spacing w:val="0"/>
                      <w:sz w:val="21"/>
                      <w:szCs w:val="21"/>
                      <w:lang w:val="en-US" w:eastAsia="zh-CN"/>
                    </w:rPr>
                    <w:t>/</w:t>
                  </w:r>
                </w:p>
              </w:tc>
            </w:tr>
            <w:tr w14:paraId="19588791">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2502" w:type="pct"/>
                  <w:tcBorders>
                    <w:tl2br w:val="nil"/>
                    <w:tr2bl w:val="nil"/>
                  </w:tcBorders>
                  <w:vAlign w:val="center"/>
                </w:tcPr>
                <w:p w14:paraId="5E5BAD91">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i w:val="0"/>
                      <w:iCs w:val="0"/>
                      <w:color w:val="auto"/>
                      <w:kern w:val="0"/>
                      <w:sz w:val="21"/>
                      <w:szCs w:val="21"/>
                      <w:u w:val="none"/>
                      <w:lang w:val="en-US" w:eastAsia="zh-CN" w:bidi="ar"/>
                    </w:rPr>
                    <w:t>HW49</w:t>
                  </w:r>
                  <w:r>
                    <w:rPr>
                      <w:rStyle w:val="113"/>
                      <w:rFonts w:hint="default" w:ascii="Times New Roman" w:hAnsi="Times New Roman" w:cs="Times New Roman"/>
                      <w:color w:val="auto"/>
                      <w:sz w:val="21"/>
                      <w:szCs w:val="21"/>
                      <w:lang w:val="en-US" w:eastAsia="zh-CN" w:bidi="ar"/>
                    </w:rPr>
                    <w:t>其他废物</w:t>
                  </w:r>
                </w:p>
              </w:tc>
              <w:tc>
                <w:tcPr>
                  <w:tcW w:w="693" w:type="pct"/>
                  <w:tcBorders>
                    <w:tl2br w:val="nil"/>
                    <w:tr2bl w:val="nil"/>
                  </w:tcBorders>
                  <w:shd w:val="clear" w:color="auto" w:fill="auto"/>
                  <w:vAlign w:val="center"/>
                </w:tcPr>
                <w:p w14:paraId="32DD9CFA">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lang w:val="en-US" w:eastAsia="en-US" w:bidi="ar-SA"/>
                    </w:rPr>
                  </w:pPr>
                  <w:r>
                    <w:rPr>
                      <w:rFonts w:hint="default" w:ascii="Times New Roman" w:hAnsi="Times New Roman" w:eastAsia="宋体" w:cs="Times New Roman"/>
                      <w:i w:val="0"/>
                      <w:iCs w:val="0"/>
                      <w:color w:val="auto"/>
                      <w:kern w:val="0"/>
                      <w:sz w:val="21"/>
                      <w:szCs w:val="21"/>
                      <w:u w:val="none"/>
                      <w:lang w:val="en-US" w:eastAsia="zh-CN" w:bidi="ar"/>
                    </w:rPr>
                    <w:t>86.801115</w:t>
                  </w:r>
                </w:p>
              </w:tc>
              <w:tc>
                <w:tcPr>
                  <w:tcW w:w="693" w:type="pct"/>
                  <w:tcBorders>
                    <w:tl2br w:val="nil"/>
                    <w:tr2bl w:val="nil"/>
                  </w:tcBorders>
                  <w:shd w:val="clear" w:color="auto" w:fill="auto"/>
                  <w:vAlign w:val="center"/>
                </w:tcPr>
                <w:p w14:paraId="2F69BF70">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lang w:val="en-US" w:eastAsia="en-US" w:bidi="ar-SA"/>
                    </w:rPr>
                  </w:pPr>
                  <w:r>
                    <w:rPr>
                      <w:rFonts w:hint="default" w:ascii="Times New Roman" w:hAnsi="Times New Roman" w:eastAsia="宋体" w:cs="Times New Roman"/>
                      <w:i w:val="0"/>
                      <w:iCs w:val="0"/>
                      <w:color w:val="auto"/>
                      <w:kern w:val="0"/>
                      <w:sz w:val="21"/>
                      <w:szCs w:val="21"/>
                      <w:u w:val="none"/>
                      <w:lang w:val="en-US" w:eastAsia="zh-CN" w:bidi="ar"/>
                    </w:rPr>
                    <w:t>117.061528</w:t>
                  </w:r>
                </w:p>
              </w:tc>
              <w:tc>
                <w:tcPr>
                  <w:tcW w:w="1111" w:type="pct"/>
                  <w:tcBorders>
                    <w:tl2br w:val="nil"/>
                    <w:tr2bl w:val="nil"/>
                  </w:tcBorders>
                  <w:shd w:val="clear" w:color="auto" w:fill="auto"/>
                  <w:vAlign w:val="center"/>
                </w:tcPr>
                <w:p w14:paraId="48956E6A">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lang w:val="en-US" w:eastAsia="zh-CN" w:bidi="ar-SA"/>
                    </w:rPr>
                  </w:pPr>
                  <w:r>
                    <w:rPr>
                      <w:rFonts w:hint="eastAsia" w:cs="Times New Roman"/>
                      <w:color w:val="auto"/>
                      <w:spacing w:val="0"/>
                      <w:kern w:val="2"/>
                      <w:sz w:val="21"/>
                      <w:szCs w:val="21"/>
                      <w:lang w:val="en-US" w:eastAsia="zh-CN" w:bidi="ar-SA"/>
                    </w:rPr>
                    <w:t>114.13144</w:t>
                  </w:r>
                </w:p>
              </w:tc>
            </w:tr>
            <w:tr w14:paraId="57849E4B">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2502" w:type="pct"/>
                  <w:tcBorders>
                    <w:tl2br w:val="nil"/>
                    <w:tr2bl w:val="nil"/>
                  </w:tcBorders>
                  <w:vAlign w:val="center"/>
                </w:tcPr>
                <w:p w14:paraId="78FBAE9A">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i w:val="0"/>
                      <w:iCs w:val="0"/>
                      <w:color w:val="auto"/>
                      <w:kern w:val="0"/>
                      <w:sz w:val="21"/>
                      <w:szCs w:val="21"/>
                      <w:u w:val="none"/>
                      <w:lang w:val="en-US" w:eastAsia="zh-CN" w:bidi="ar"/>
                    </w:rPr>
                    <w:t>HW50</w:t>
                  </w:r>
                  <w:r>
                    <w:rPr>
                      <w:rStyle w:val="113"/>
                      <w:rFonts w:hint="default" w:ascii="Times New Roman" w:hAnsi="Times New Roman" w:cs="Times New Roman"/>
                      <w:color w:val="auto"/>
                      <w:sz w:val="21"/>
                      <w:szCs w:val="21"/>
                      <w:lang w:val="en-US" w:eastAsia="zh-CN" w:bidi="ar"/>
                    </w:rPr>
                    <w:t>废催化剂</w:t>
                  </w:r>
                </w:p>
              </w:tc>
              <w:tc>
                <w:tcPr>
                  <w:tcW w:w="693" w:type="pct"/>
                  <w:tcBorders>
                    <w:tl2br w:val="nil"/>
                    <w:tr2bl w:val="nil"/>
                  </w:tcBorders>
                  <w:shd w:val="clear" w:color="auto" w:fill="auto"/>
                  <w:vAlign w:val="center"/>
                </w:tcPr>
                <w:p w14:paraId="108D2F49">
                  <w:pPr>
                    <w:jc w:val="center"/>
                    <w:rPr>
                      <w:rFonts w:hint="default" w:ascii="Times New Roman" w:hAnsi="Times New Roman" w:eastAsia="宋体" w:cs="Times New Roman"/>
                      <w:color w:val="auto"/>
                      <w:spacing w:val="0"/>
                      <w:kern w:val="2"/>
                      <w:sz w:val="21"/>
                      <w:szCs w:val="21"/>
                      <w:lang w:val="en-US" w:eastAsia="zh-CN" w:bidi="ar-SA"/>
                    </w:rPr>
                  </w:pPr>
                  <w:r>
                    <w:rPr>
                      <w:rFonts w:hint="eastAsia" w:cs="Times New Roman"/>
                      <w:color w:val="auto"/>
                      <w:spacing w:val="0"/>
                      <w:sz w:val="21"/>
                      <w:szCs w:val="21"/>
                      <w:lang w:val="en-US" w:eastAsia="zh-CN"/>
                    </w:rPr>
                    <w:t>/</w:t>
                  </w:r>
                </w:p>
              </w:tc>
              <w:tc>
                <w:tcPr>
                  <w:tcW w:w="693" w:type="pct"/>
                  <w:tcBorders>
                    <w:tl2br w:val="nil"/>
                    <w:tr2bl w:val="nil"/>
                  </w:tcBorders>
                  <w:shd w:val="clear" w:color="auto" w:fill="auto"/>
                  <w:vAlign w:val="center"/>
                </w:tcPr>
                <w:p w14:paraId="12216908">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0.042</w:t>
                  </w:r>
                </w:p>
              </w:tc>
              <w:tc>
                <w:tcPr>
                  <w:tcW w:w="1111" w:type="pct"/>
                  <w:tcBorders>
                    <w:tl2br w:val="nil"/>
                    <w:tr2bl w:val="nil"/>
                  </w:tcBorders>
                  <w:shd w:val="clear" w:color="auto" w:fill="auto"/>
                  <w:vAlign w:val="center"/>
                </w:tcPr>
                <w:p w14:paraId="16DEACFB">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lang w:val="en-US" w:eastAsia="zh-CN" w:bidi="ar-SA"/>
                    </w:rPr>
                  </w:pPr>
                  <w:r>
                    <w:rPr>
                      <w:rFonts w:hint="eastAsia" w:cs="Times New Roman"/>
                      <w:color w:val="auto"/>
                      <w:spacing w:val="0"/>
                      <w:kern w:val="2"/>
                      <w:sz w:val="21"/>
                      <w:szCs w:val="21"/>
                      <w:lang w:val="en-US" w:eastAsia="zh-CN" w:bidi="ar-SA"/>
                    </w:rPr>
                    <w:t>15.675</w:t>
                  </w:r>
                </w:p>
              </w:tc>
            </w:tr>
            <w:tr w14:paraId="3F11D0A3">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2502" w:type="pct"/>
                  <w:tcBorders>
                    <w:tl2br w:val="nil"/>
                    <w:tr2bl w:val="nil"/>
                  </w:tcBorders>
                  <w:vAlign w:val="center"/>
                </w:tcPr>
                <w:p w14:paraId="3FB42AA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合计</w:t>
                  </w:r>
                </w:p>
              </w:tc>
              <w:tc>
                <w:tcPr>
                  <w:tcW w:w="693" w:type="pct"/>
                  <w:tcBorders>
                    <w:tl2br w:val="nil"/>
                    <w:tr2bl w:val="nil"/>
                  </w:tcBorders>
                  <w:shd w:val="clear" w:color="auto" w:fill="auto"/>
                  <w:vAlign w:val="center"/>
                </w:tcPr>
                <w:p w14:paraId="123039E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155.455175</w:t>
                  </w:r>
                </w:p>
              </w:tc>
              <w:tc>
                <w:tcPr>
                  <w:tcW w:w="693" w:type="pct"/>
                  <w:tcBorders>
                    <w:tl2br w:val="nil"/>
                    <w:tr2bl w:val="nil"/>
                  </w:tcBorders>
                  <w:shd w:val="clear" w:color="auto" w:fill="auto"/>
                  <w:vAlign w:val="center"/>
                </w:tcPr>
                <w:p w14:paraId="71A44A1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217.287878</w:t>
                  </w:r>
                </w:p>
              </w:tc>
              <w:tc>
                <w:tcPr>
                  <w:tcW w:w="1111" w:type="pct"/>
                  <w:tcBorders>
                    <w:tl2br w:val="nil"/>
                    <w:tr2bl w:val="nil"/>
                  </w:tcBorders>
                  <w:shd w:val="clear" w:color="auto" w:fill="auto"/>
                  <w:vAlign w:val="center"/>
                </w:tcPr>
                <w:p w14:paraId="331872C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228.994554</w:t>
                  </w:r>
                </w:p>
              </w:tc>
            </w:tr>
          </w:tbl>
          <w:p w14:paraId="2A92B8F0">
            <w:pPr>
              <w:keepNext w:val="0"/>
              <w:keepLines w:val="0"/>
              <w:pageBreakBefore w:val="0"/>
              <w:widowControl/>
              <w:kinsoku/>
              <w:wordWrap/>
              <w:overflowPunct/>
              <w:topLinePunct w:val="0"/>
              <w:bidi w:val="0"/>
              <w:adjustRightInd w:val="0"/>
              <w:snapToGrid/>
              <w:spacing w:line="360" w:lineRule="auto"/>
              <w:ind w:firstLine="480" w:firstLineChars="200"/>
              <w:jc w:val="left"/>
              <w:textAlignment w:val="auto"/>
              <w:rPr>
                <w:rFonts w:hint="default" w:hAnsi="宋体"/>
                <w:color w:val="auto"/>
                <w:sz w:val="24"/>
                <w:szCs w:val="24"/>
                <w:lang w:val="en-US" w:eastAsia="zh-CN"/>
              </w:rPr>
            </w:pPr>
            <w:r>
              <w:rPr>
                <w:rFonts w:hint="eastAsia" w:hAnsi="宋体"/>
                <w:color w:val="auto"/>
                <w:sz w:val="24"/>
                <w:szCs w:val="24"/>
                <w:lang w:val="en-US" w:eastAsia="zh-CN"/>
              </w:rPr>
              <w:t>（1）有组织废气</w:t>
            </w:r>
          </w:p>
          <w:p w14:paraId="7F5FD722">
            <w:pPr>
              <w:keepNext w:val="0"/>
              <w:keepLines w:val="0"/>
              <w:pageBreakBefore w:val="0"/>
              <w:widowControl/>
              <w:kinsoku/>
              <w:wordWrap/>
              <w:overflowPunct/>
              <w:topLinePunct w:val="0"/>
              <w:bidi w:val="0"/>
              <w:adjustRightInd w:val="0"/>
              <w:snapToGrid/>
              <w:spacing w:line="360" w:lineRule="auto"/>
              <w:ind w:firstLine="480" w:firstLineChars="200"/>
              <w:jc w:val="left"/>
              <w:textAlignment w:val="auto"/>
              <w:rPr>
                <w:rFonts w:hint="default" w:hAnsi="宋体"/>
                <w:color w:val="auto"/>
                <w:sz w:val="24"/>
                <w:szCs w:val="24"/>
                <w:lang w:val="en-US" w:eastAsia="zh-CN"/>
              </w:rPr>
            </w:pPr>
            <w:r>
              <w:rPr>
                <w:rFonts w:hint="eastAsia" w:hAnsi="宋体"/>
                <w:color w:val="auto"/>
                <w:sz w:val="24"/>
                <w:szCs w:val="24"/>
                <w:lang w:val="en-US" w:eastAsia="zh-CN"/>
              </w:rPr>
              <w:t>本项目搬迁后，危废收集类别、贮存情况、污染物治理措施均与现有项目一致，因此，搬迁后项目污染物产排情况可以类比现有项目。</w:t>
            </w:r>
          </w:p>
          <w:p w14:paraId="59661B1B">
            <w:pPr>
              <w:keepNext w:val="0"/>
              <w:keepLines w:val="0"/>
              <w:pageBreakBefore w:val="0"/>
              <w:widowControl/>
              <w:kinsoku/>
              <w:wordWrap/>
              <w:overflowPunct/>
              <w:topLinePunct w:val="0"/>
              <w:bidi w:val="0"/>
              <w:adjustRightInd w:val="0"/>
              <w:snapToGrid/>
              <w:spacing w:line="360" w:lineRule="auto"/>
              <w:ind w:firstLine="480" w:firstLineChars="200"/>
              <w:jc w:val="left"/>
              <w:textAlignment w:val="auto"/>
              <w:rPr>
                <w:rFonts w:hint="default" w:ascii="Times New Roman" w:hAnsi="Times New Roman" w:eastAsia="宋体" w:cs="Times New Roman"/>
                <w:color w:val="auto"/>
                <w:sz w:val="24"/>
                <w:szCs w:val="24"/>
                <w:highlight w:val="none"/>
                <w:lang w:val="en-US" w:eastAsia="zh-CN"/>
              </w:rPr>
            </w:pPr>
            <w:r>
              <w:rPr>
                <w:rFonts w:hint="eastAsia" w:hAnsi="宋体"/>
                <w:color w:val="auto"/>
                <w:sz w:val="24"/>
                <w:szCs w:val="24"/>
                <w:lang w:val="en-US" w:eastAsia="zh-CN"/>
              </w:rPr>
              <w:t>根据现有项目2025年例行监测数据，</w:t>
            </w:r>
            <w:r>
              <w:rPr>
                <w:rFonts w:hint="eastAsia" w:cs="Times New Roman"/>
                <w:color w:val="auto"/>
                <w:sz w:val="24"/>
                <w:lang w:val="en-US" w:eastAsia="zh-CN"/>
              </w:rPr>
              <w:t>各排气筒产排情况</w:t>
            </w:r>
            <w:r>
              <w:rPr>
                <w:rFonts w:hint="eastAsia" w:ascii="Times New Roman" w:hAnsi="Times New Roman" w:eastAsia="宋体" w:cs="Times New Roman"/>
                <w:color w:val="auto"/>
                <w:sz w:val="24"/>
                <w:szCs w:val="24"/>
                <w:highlight w:val="none"/>
                <w:lang w:val="en-US" w:eastAsia="zh-CN"/>
              </w:rPr>
              <w:t>结果如下：</w:t>
            </w:r>
          </w:p>
          <w:p w14:paraId="35742106">
            <w:pPr>
              <w:keepNext w:val="0"/>
              <w:keepLines w:val="0"/>
              <w:pageBreakBefore w:val="0"/>
              <w:widowControl w:val="0"/>
              <w:numPr>
                <w:ilvl w:val="0"/>
                <w:numId w:val="31"/>
              </w:numPr>
              <w:kinsoku/>
              <w:wordWrap/>
              <w:overflowPunct/>
              <w:topLinePunct w:val="0"/>
              <w:autoSpaceDE w:val="0"/>
              <w:autoSpaceDN w:val="0"/>
              <w:bidi w:val="0"/>
              <w:adjustRightInd w:val="0"/>
              <w:snapToGrid/>
              <w:spacing w:line="360" w:lineRule="auto"/>
              <w:ind w:left="3150" w:leftChars="0" w:hanging="3110" w:firstLineChars="0"/>
              <w:jc w:val="center"/>
              <w:textAlignment w:val="auto"/>
              <w:rPr>
                <w:rFonts w:hint="default" w:ascii="宋体" w:hAnsi="宋体" w:eastAsia="宋体" w:cs="宋体"/>
                <w:b/>
                <w:bCs/>
                <w:color w:val="auto"/>
                <w:kern w:val="0"/>
                <w:sz w:val="24"/>
                <w:szCs w:val="24"/>
                <w:lang w:val="en-US" w:eastAsia="zh-CN" w:bidi="ar"/>
              </w:rPr>
            </w:pPr>
            <w:r>
              <w:rPr>
                <w:rFonts w:hint="eastAsia" w:ascii="宋体" w:hAnsi="宋体" w:cs="宋体"/>
                <w:b/>
                <w:bCs/>
                <w:color w:val="auto"/>
                <w:kern w:val="0"/>
                <w:sz w:val="24"/>
                <w:szCs w:val="24"/>
                <w:lang w:val="en-US" w:eastAsia="zh-CN" w:bidi="ar"/>
              </w:rPr>
              <w:t>项目各</w:t>
            </w:r>
            <w:r>
              <w:rPr>
                <w:rFonts w:hint="default" w:ascii="宋体" w:hAnsi="宋体" w:eastAsia="宋体" w:cs="宋体"/>
                <w:b/>
                <w:bCs/>
                <w:color w:val="auto"/>
                <w:kern w:val="0"/>
                <w:sz w:val="24"/>
                <w:szCs w:val="24"/>
                <w:lang w:val="en-US" w:eastAsia="zh-CN" w:bidi="ar"/>
              </w:rPr>
              <w:t>排放口</w:t>
            </w:r>
            <w:r>
              <w:rPr>
                <w:rFonts w:hint="eastAsia" w:ascii="宋体" w:hAnsi="宋体" w:cs="宋体"/>
                <w:b/>
                <w:bCs/>
                <w:color w:val="auto"/>
                <w:kern w:val="0"/>
                <w:sz w:val="24"/>
                <w:szCs w:val="24"/>
                <w:lang w:val="en-US" w:eastAsia="zh-CN" w:bidi="ar"/>
              </w:rPr>
              <w:t>产排</w:t>
            </w:r>
            <w:r>
              <w:rPr>
                <w:rFonts w:hint="default" w:ascii="宋体" w:hAnsi="宋体" w:eastAsia="宋体" w:cs="宋体"/>
                <w:b/>
                <w:bCs/>
                <w:color w:val="auto"/>
                <w:kern w:val="0"/>
                <w:sz w:val="24"/>
                <w:szCs w:val="24"/>
                <w:lang w:val="en-US" w:eastAsia="zh-CN" w:bidi="ar"/>
              </w:rPr>
              <w:t>结果表</w:t>
            </w:r>
          </w:p>
          <w:tbl>
            <w:tblPr>
              <w:tblStyle w:val="2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10"/>
              <w:gridCol w:w="1923"/>
              <w:gridCol w:w="1309"/>
              <w:gridCol w:w="1311"/>
              <w:gridCol w:w="3050"/>
            </w:tblGrid>
            <w:tr w14:paraId="24337B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3" w:type="pct"/>
                  <w:gridSpan w:val="2"/>
                  <w:tcBorders>
                    <w:top w:val="single" w:color="auto" w:sz="4" w:space="0"/>
                    <w:left w:val="single" w:color="auto" w:sz="4" w:space="0"/>
                    <w:bottom w:val="single" w:color="auto" w:sz="4" w:space="0"/>
                    <w:right w:val="single" w:color="auto" w:sz="4" w:space="0"/>
                  </w:tcBorders>
                  <w:shd w:val="clear" w:color="auto" w:fill="auto"/>
                  <w:vAlign w:val="center"/>
                </w:tcPr>
                <w:p w14:paraId="7CCC1B83">
                  <w:pPr>
                    <w:keepNext w:val="0"/>
                    <w:keepLines w:val="0"/>
                    <w:pageBreakBefore w:val="0"/>
                    <w:widowControl/>
                    <w:kinsoku/>
                    <w:wordWrap/>
                    <w:overflowPunct/>
                    <w:topLinePunct w:val="0"/>
                    <w:autoSpaceDE/>
                    <w:autoSpaceDN/>
                    <w:bidi w:val="0"/>
                    <w:adjustRightInd w:val="0"/>
                    <w:snapToGrid/>
                    <w:spacing w:line="240" w:lineRule="auto"/>
                    <w:jc w:val="center"/>
                    <w:textAlignment w:val="auto"/>
                    <w:rPr>
                      <w:rFonts w:hint="eastAsia" w:ascii="Times New Roman" w:hAnsi="Times New Roman" w:cs="Times New Roman"/>
                      <w:color w:val="auto"/>
                      <w:spacing w:val="-6"/>
                      <w:sz w:val="21"/>
                      <w:szCs w:val="21"/>
                      <w:vertAlign w:val="baseline"/>
                      <w:lang w:val="en-US" w:eastAsia="zh-CN"/>
                    </w:rPr>
                  </w:pPr>
                  <w:r>
                    <w:rPr>
                      <w:rFonts w:hint="default" w:ascii="Times New Roman" w:hAnsi="Times New Roman" w:cs="Times New Roman"/>
                      <w:color w:val="auto"/>
                      <w:spacing w:val="-6"/>
                      <w:sz w:val="21"/>
                      <w:szCs w:val="21"/>
                      <w:vertAlign w:val="baseline"/>
                      <w:lang w:val="en-US" w:eastAsia="zh-CN"/>
                    </w:rPr>
                    <w:t>项目</w:t>
                  </w:r>
                </w:p>
              </w:tc>
              <w:tc>
                <w:tcPr>
                  <w:tcW w:w="752" w:type="pct"/>
                  <w:tcBorders>
                    <w:top w:val="single" w:color="auto" w:sz="4" w:space="0"/>
                    <w:left w:val="single" w:color="auto" w:sz="4" w:space="0"/>
                    <w:bottom w:val="single" w:color="auto" w:sz="4" w:space="0"/>
                    <w:right w:val="single" w:color="auto" w:sz="4" w:space="0"/>
                  </w:tcBorders>
                  <w:shd w:val="clear" w:color="auto" w:fill="auto"/>
                  <w:vAlign w:val="center"/>
                </w:tcPr>
                <w:p w14:paraId="76AF950F">
                  <w:pPr>
                    <w:keepNext w:val="0"/>
                    <w:keepLines w:val="0"/>
                    <w:pageBreakBefore w:val="0"/>
                    <w:widowControl/>
                    <w:kinsoku/>
                    <w:wordWrap/>
                    <w:overflowPunct/>
                    <w:topLinePunct w:val="0"/>
                    <w:autoSpaceDE/>
                    <w:autoSpaceDN/>
                    <w:bidi w:val="0"/>
                    <w:adjustRightInd w:val="0"/>
                    <w:snapToGrid/>
                    <w:spacing w:line="240" w:lineRule="auto"/>
                    <w:jc w:val="center"/>
                    <w:textAlignment w:val="auto"/>
                    <w:rPr>
                      <w:rFonts w:hint="eastAsia" w:ascii="Times New Roman" w:hAnsi="Times New Roman" w:cs="Times New Roman"/>
                      <w:color w:val="auto"/>
                      <w:spacing w:val="-6"/>
                      <w:sz w:val="21"/>
                      <w:szCs w:val="21"/>
                      <w:vertAlign w:val="baseline"/>
                      <w:lang w:val="en-US" w:eastAsia="zh-CN"/>
                    </w:rPr>
                  </w:pPr>
                  <w:r>
                    <w:rPr>
                      <w:rFonts w:hint="default" w:ascii="Times New Roman" w:hAnsi="Times New Roman" w:cs="Times New Roman"/>
                      <w:color w:val="auto"/>
                      <w:spacing w:val="-6"/>
                      <w:sz w:val="21"/>
                      <w:szCs w:val="21"/>
                      <w:vertAlign w:val="baseline"/>
                      <w:lang w:val="en-US" w:eastAsia="zh-CN"/>
                    </w:rPr>
                    <w:t>氯化氢</w:t>
                  </w:r>
                </w:p>
              </w:tc>
              <w:tc>
                <w:tcPr>
                  <w:tcW w:w="752" w:type="pct"/>
                  <w:tcBorders>
                    <w:top w:val="single" w:color="auto" w:sz="4" w:space="0"/>
                    <w:left w:val="single" w:color="auto" w:sz="4" w:space="0"/>
                    <w:bottom w:val="single" w:color="auto" w:sz="4" w:space="0"/>
                    <w:right w:val="single" w:color="auto" w:sz="4" w:space="0"/>
                  </w:tcBorders>
                  <w:vAlign w:val="center"/>
                </w:tcPr>
                <w:p w14:paraId="62EA43E8">
                  <w:pPr>
                    <w:keepNext w:val="0"/>
                    <w:keepLines w:val="0"/>
                    <w:pageBreakBefore w:val="0"/>
                    <w:widowControl/>
                    <w:kinsoku/>
                    <w:wordWrap/>
                    <w:overflowPunct/>
                    <w:topLinePunct w:val="0"/>
                    <w:autoSpaceDE/>
                    <w:autoSpaceDN/>
                    <w:bidi w:val="0"/>
                    <w:adjustRightInd w:val="0"/>
                    <w:snapToGrid/>
                    <w:spacing w:line="240" w:lineRule="auto"/>
                    <w:jc w:val="center"/>
                    <w:textAlignment w:val="auto"/>
                    <w:rPr>
                      <w:rFonts w:hint="eastAsia" w:ascii="Times New Roman" w:hAnsi="Times New Roman" w:cs="Times New Roman"/>
                      <w:color w:val="auto"/>
                      <w:spacing w:val="-6"/>
                      <w:sz w:val="21"/>
                      <w:szCs w:val="21"/>
                      <w:vertAlign w:val="baseline"/>
                      <w:lang w:val="en-US" w:eastAsia="zh-CN"/>
                    </w:rPr>
                  </w:pPr>
                  <w:r>
                    <w:rPr>
                      <w:rFonts w:hint="default" w:ascii="Times New Roman" w:hAnsi="Times New Roman" w:cs="Times New Roman"/>
                      <w:color w:val="auto"/>
                      <w:spacing w:val="-6"/>
                      <w:sz w:val="21"/>
                      <w:szCs w:val="21"/>
                      <w:vertAlign w:val="baseline"/>
                      <w:lang w:val="en-US" w:eastAsia="zh-CN"/>
                    </w:rPr>
                    <w:t>硫酸雾</w:t>
                  </w:r>
                </w:p>
              </w:tc>
              <w:tc>
                <w:tcPr>
                  <w:tcW w:w="1751" w:type="pct"/>
                  <w:tcBorders>
                    <w:top w:val="single" w:color="auto" w:sz="4" w:space="0"/>
                    <w:left w:val="single" w:color="auto" w:sz="4" w:space="0"/>
                    <w:bottom w:val="single" w:color="auto" w:sz="4" w:space="0"/>
                    <w:right w:val="single" w:color="auto" w:sz="4" w:space="0"/>
                  </w:tcBorders>
                  <w:shd w:val="clear" w:color="auto" w:fill="auto"/>
                  <w:vAlign w:val="center"/>
                </w:tcPr>
                <w:p w14:paraId="1801058F">
                  <w:pPr>
                    <w:keepNext w:val="0"/>
                    <w:keepLines w:val="0"/>
                    <w:pageBreakBefore w:val="0"/>
                    <w:widowControl/>
                    <w:kinsoku/>
                    <w:wordWrap/>
                    <w:overflowPunct/>
                    <w:topLinePunct w:val="0"/>
                    <w:autoSpaceDE/>
                    <w:autoSpaceDN/>
                    <w:bidi w:val="0"/>
                    <w:adjustRightInd w:val="0"/>
                    <w:snapToGrid/>
                    <w:spacing w:line="240" w:lineRule="auto"/>
                    <w:jc w:val="center"/>
                    <w:textAlignment w:val="auto"/>
                    <w:rPr>
                      <w:rFonts w:hint="eastAsia" w:ascii="Times New Roman" w:hAnsi="Times New Roman" w:cs="Times New Roman"/>
                      <w:color w:val="auto"/>
                      <w:spacing w:val="-6"/>
                      <w:sz w:val="21"/>
                      <w:szCs w:val="21"/>
                      <w:highlight w:val="none"/>
                      <w:vertAlign w:val="baseline"/>
                      <w:lang w:val="en-US" w:eastAsia="zh-CN"/>
                    </w:rPr>
                  </w:pPr>
                  <w:r>
                    <w:rPr>
                      <w:rFonts w:hint="default" w:ascii="Times New Roman" w:hAnsi="Times New Roman" w:cs="Times New Roman"/>
                      <w:color w:val="auto"/>
                      <w:spacing w:val="-6"/>
                      <w:sz w:val="21"/>
                      <w:szCs w:val="21"/>
                      <w:highlight w:val="none"/>
                      <w:vertAlign w:val="baseline"/>
                      <w:lang w:val="en-US" w:eastAsia="zh-CN"/>
                    </w:rPr>
                    <w:t>VOCs</w:t>
                  </w:r>
                </w:p>
              </w:tc>
            </w:tr>
            <w:tr w14:paraId="3D04B9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8" w:type="pct"/>
                  <w:vMerge w:val="restart"/>
                  <w:tcBorders>
                    <w:top w:val="single" w:color="auto" w:sz="4" w:space="0"/>
                    <w:left w:val="single" w:color="auto" w:sz="4" w:space="0"/>
                    <w:right w:val="single" w:color="auto" w:sz="4" w:space="0"/>
                  </w:tcBorders>
                  <w:shd w:val="clear" w:color="auto" w:fill="auto"/>
                  <w:vAlign w:val="center"/>
                </w:tcPr>
                <w:p w14:paraId="4DC38643">
                  <w:pPr>
                    <w:keepNext w:val="0"/>
                    <w:keepLines w:val="0"/>
                    <w:pageBreakBefore w:val="0"/>
                    <w:widowControl/>
                    <w:kinsoku/>
                    <w:wordWrap/>
                    <w:overflowPunct/>
                    <w:topLinePunct w:val="0"/>
                    <w:autoSpaceDE/>
                    <w:autoSpaceDN/>
                    <w:bidi w:val="0"/>
                    <w:adjustRightInd w:val="0"/>
                    <w:snapToGrid/>
                    <w:spacing w:line="240" w:lineRule="auto"/>
                    <w:jc w:val="center"/>
                    <w:textAlignment w:val="auto"/>
                    <w:rPr>
                      <w:rFonts w:hint="eastAsia" w:ascii="Times New Roman" w:hAnsi="Times New Roman" w:cs="Times New Roman"/>
                      <w:color w:val="auto"/>
                      <w:spacing w:val="-6"/>
                      <w:kern w:val="2"/>
                      <w:sz w:val="21"/>
                      <w:szCs w:val="21"/>
                      <w:vertAlign w:val="baseline"/>
                      <w:lang w:val="en-US" w:eastAsia="zh-CN" w:bidi="ar-SA"/>
                    </w:rPr>
                  </w:pPr>
                  <w:r>
                    <w:rPr>
                      <w:rFonts w:hint="default" w:ascii="Times New Roman" w:hAnsi="Times New Roman" w:cs="Times New Roman"/>
                      <w:color w:val="auto"/>
                      <w:spacing w:val="-6"/>
                      <w:kern w:val="2"/>
                      <w:sz w:val="21"/>
                      <w:szCs w:val="21"/>
                      <w:vertAlign w:val="baseline"/>
                      <w:lang w:val="en-US" w:eastAsia="zh-CN" w:bidi="ar-SA"/>
                    </w:rPr>
                    <w:t>产生情况</w:t>
                  </w:r>
                </w:p>
              </w:tc>
              <w:tc>
                <w:tcPr>
                  <w:tcW w:w="1105" w:type="pct"/>
                  <w:tcBorders>
                    <w:top w:val="single" w:color="auto" w:sz="4" w:space="0"/>
                    <w:left w:val="single" w:color="auto" w:sz="4" w:space="0"/>
                    <w:bottom w:val="single" w:color="auto" w:sz="4" w:space="0"/>
                    <w:right w:val="single" w:color="auto" w:sz="4" w:space="0"/>
                  </w:tcBorders>
                  <w:shd w:val="clear" w:color="auto" w:fill="auto"/>
                  <w:vAlign w:val="center"/>
                </w:tcPr>
                <w:p w14:paraId="5F8E930C">
                  <w:pPr>
                    <w:keepNext w:val="0"/>
                    <w:keepLines w:val="0"/>
                    <w:pageBreakBefore w:val="0"/>
                    <w:widowControl/>
                    <w:kinsoku/>
                    <w:wordWrap/>
                    <w:overflowPunct/>
                    <w:topLinePunct w:val="0"/>
                    <w:autoSpaceDE/>
                    <w:autoSpaceDN/>
                    <w:bidi w:val="0"/>
                    <w:adjustRightInd w:val="0"/>
                    <w:snapToGrid/>
                    <w:spacing w:line="240" w:lineRule="auto"/>
                    <w:jc w:val="center"/>
                    <w:textAlignment w:val="auto"/>
                    <w:rPr>
                      <w:rFonts w:hint="eastAsia" w:ascii="Times New Roman" w:hAnsi="Times New Roman" w:cs="Times New Roman"/>
                      <w:color w:val="auto"/>
                      <w:spacing w:val="-6"/>
                      <w:sz w:val="21"/>
                      <w:szCs w:val="21"/>
                      <w:vertAlign w:val="baseline"/>
                      <w:lang w:val="en-US" w:eastAsia="zh-CN"/>
                    </w:rPr>
                  </w:pPr>
                  <w:r>
                    <w:rPr>
                      <w:rFonts w:hint="default" w:ascii="Times New Roman" w:hAnsi="Times New Roman" w:cs="Times New Roman"/>
                      <w:color w:val="auto"/>
                      <w:spacing w:val="-6"/>
                      <w:sz w:val="21"/>
                      <w:szCs w:val="21"/>
                      <w:vertAlign w:val="baseline"/>
                      <w:lang w:val="en-US" w:eastAsia="zh-CN"/>
                    </w:rPr>
                    <w:t>产生量（t/a）</w:t>
                  </w:r>
                </w:p>
              </w:tc>
              <w:tc>
                <w:tcPr>
                  <w:tcW w:w="752" w:type="pct"/>
                  <w:tcBorders>
                    <w:top w:val="single" w:color="auto" w:sz="4" w:space="0"/>
                    <w:left w:val="single" w:color="auto" w:sz="4" w:space="0"/>
                    <w:bottom w:val="single" w:color="auto" w:sz="4" w:space="0"/>
                    <w:right w:val="single" w:color="auto" w:sz="4" w:space="0"/>
                  </w:tcBorders>
                  <w:vAlign w:val="center"/>
                </w:tcPr>
                <w:p w14:paraId="1765E1B9">
                  <w:pPr>
                    <w:keepNext w:val="0"/>
                    <w:keepLines w:val="0"/>
                    <w:widowControl/>
                    <w:suppressLineNumbers w:val="0"/>
                    <w:jc w:val="center"/>
                    <w:textAlignment w:val="center"/>
                    <w:rPr>
                      <w:rFonts w:hint="eastAsia" w:ascii="Times New Roman" w:hAnsi="Times New Roman" w:eastAsia="宋体" w:cs="Times New Roman"/>
                      <w:i w:val="0"/>
                      <w:iCs w:val="0"/>
                      <w:color w:val="auto"/>
                      <w:spacing w:val="-6"/>
                      <w:kern w:val="0"/>
                      <w:sz w:val="21"/>
                      <w:szCs w:val="21"/>
                      <w:highlight w:val="none"/>
                      <w:u w:val="none"/>
                      <w:lang w:val="en-US" w:eastAsia="zh-CN" w:bidi="ar"/>
                    </w:rPr>
                  </w:pPr>
                  <w:r>
                    <w:rPr>
                      <w:rFonts w:hint="eastAsia" w:ascii="Times New Roman" w:hAnsi="Times New Roman" w:eastAsia="宋体" w:cs="Times New Roman"/>
                      <w:i w:val="0"/>
                      <w:iCs w:val="0"/>
                      <w:color w:val="auto"/>
                      <w:spacing w:val="-6"/>
                      <w:kern w:val="0"/>
                      <w:sz w:val="21"/>
                      <w:szCs w:val="21"/>
                      <w:highlight w:val="none"/>
                      <w:u w:val="none"/>
                      <w:lang w:val="en-US" w:eastAsia="zh-CN" w:bidi="ar"/>
                    </w:rPr>
                    <w:t xml:space="preserve">0.4814 </w:t>
                  </w:r>
                </w:p>
              </w:tc>
              <w:tc>
                <w:tcPr>
                  <w:tcW w:w="752" w:type="pct"/>
                  <w:tcBorders>
                    <w:top w:val="single" w:color="auto" w:sz="4" w:space="0"/>
                    <w:left w:val="single" w:color="auto" w:sz="4" w:space="0"/>
                    <w:bottom w:val="single" w:color="auto" w:sz="4" w:space="0"/>
                    <w:right w:val="single" w:color="auto" w:sz="4" w:space="0"/>
                  </w:tcBorders>
                  <w:vAlign w:val="center"/>
                </w:tcPr>
                <w:p w14:paraId="21D1AEE6">
                  <w:pPr>
                    <w:keepNext w:val="0"/>
                    <w:keepLines w:val="0"/>
                    <w:widowControl/>
                    <w:suppressLineNumbers w:val="0"/>
                    <w:jc w:val="center"/>
                    <w:textAlignment w:val="center"/>
                    <w:rPr>
                      <w:rFonts w:hint="eastAsia" w:ascii="Times New Roman" w:hAnsi="Times New Roman" w:eastAsia="宋体" w:cs="Times New Roman"/>
                      <w:i w:val="0"/>
                      <w:iCs w:val="0"/>
                      <w:color w:val="auto"/>
                      <w:spacing w:val="-6"/>
                      <w:kern w:val="0"/>
                      <w:sz w:val="21"/>
                      <w:szCs w:val="21"/>
                      <w:highlight w:val="none"/>
                      <w:u w:val="none"/>
                      <w:lang w:val="en-US" w:eastAsia="zh-CN" w:bidi="ar"/>
                    </w:rPr>
                  </w:pPr>
                  <w:r>
                    <w:rPr>
                      <w:rFonts w:hint="eastAsia" w:ascii="Times New Roman" w:hAnsi="Times New Roman" w:eastAsia="宋体" w:cs="Times New Roman"/>
                      <w:i w:val="0"/>
                      <w:iCs w:val="0"/>
                      <w:color w:val="auto"/>
                      <w:spacing w:val="-6"/>
                      <w:kern w:val="0"/>
                      <w:sz w:val="21"/>
                      <w:szCs w:val="21"/>
                      <w:highlight w:val="none"/>
                      <w:u w:val="none"/>
                      <w:lang w:val="en-US" w:eastAsia="zh-CN" w:bidi="ar"/>
                    </w:rPr>
                    <w:t xml:space="preserve">0.2264 </w:t>
                  </w:r>
                </w:p>
              </w:tc>
              <w:tc>
                <w:tcPr>
                  <w:tcW w:w="1751" w:type="pct"/>
                  <w:tcBorders>
                    <w:top w:val="single" w:color="auto" w:sz="4" w:space="0"/>
                    <w:left w:val="single" w:color="auto" w:sz="4" w:space="0"/>
                    <w:bottom w:val="single" w:color="auto" w:sz="4" w:space="0"/>
                    <w:right w:val="single" w:color="auto" w:sz="4" w:space="0"/>
                  </w:tcBorders>
                  <w:vAlign w:val="center"/>
                </w:tcPr>
                <w:p w14:paraId="1D8FFEE7">
                  <w:pPr>
                    <w:keepNext w:val="0"/>
                    <w:keepLines w:val="0"/>
                    <w:widowControl/>
                    <w:suppressLineNumbers w:val="0"/>
                    <w:jc w:val="center"/>
                    <w:textAlignment w:val="center"/>
                    <w:rPr>
                      <w:rFonts w:hint="default" w:ascii="Times New Roman" w:hAnsi="Times New Roman" w:eastAsia="宋体" w:cs="Times New Roman"/>
                      <w:i w:val="0"/>
                      <w:iCs w:val="0"/>
                      <w:color w:val="auto"/>
                      <w:spacing w:val="-6"/>
                      <w:kern w:val="0"/>
                      <w:sz w:val="21"/>
                      <w:szCs w:val="21"/>
                      <w:highlight w:val="none"/>
                      <w:u w:val="none"/>
                      <w:lang w:val="en-US" w:eastAsia="zh-CN" w:bidi="ar"/>
                    </w:rPr>
                  </w:pPr>
                  <w:r>
                    <w:rPr>
                      <w:rFonts w:hint="eastAsia" w:cs="Times New Roman"/>
                      <w:i w:val="0"/>
                      <w:iCs w:val="0"/>
                      <w:color w:val="auto"/>
                      <w:spacing w:val="-6"/>
                      <w:kern w:val="0"/>
                      <w:sz w:val="21"/>
                      <w:szCs w:val="21"/>
                      <w:highlight w:val="none"/>
                      <w:u w:val="none"/>
                      <w:lang w:val="en-US" w:eastAsia="zh-CN" w:bidi="ar"/>
                    </w:rPr>
                    <w:t>0.0885</w:t>
                  </w:r>
                </w:p>
              </w:tc>
            </w:tr>
            <w:tr w14:paraId="7D0A33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8" w:type="pct"/>
                  <w:vMerge w:val="continue"/>
                  <w:tcBorders>
                    <w:left w:val="single" w:color="auto" w:sz="4" w:space="0"/>
                    <w:right w:val="single" w:color="auto" w:sz="4" w:space="0"/>
                  </w:tcBorders>
                  <w:shd w:val="clear" w:color="auto" w:fill="auto"/>
                  <w:vAlign w:val="center"/>
                </w:tcPr>
                <w:p w14:paraId="783C9375">
                  <w:pPr>
                    <w:keepNext w:val="0"/>
                    <w:keepLines w:val="0"/>
                    <w:pageBreakBefore w:val="0"/>
                    <w:widowControl/>
                    <w:kinsoku/>
                    <w:wordWrap/>
                    <w:overflowPunct/>
                    <w:topLinePunct w:val="0"/>
                    <w:autoSpaceDE/>
                    <w:autoSpaceDN/>
                    <w:bidi w:val="0"/>
                    <w:adjustRightInd w:val="0"/>
                    <w:snapToGrid/>
                    <w:spacing w:line="240" w:lineRule="auto"/>
                    <w:jc w:val="center"/>
                    <w:textAlignment w:val="auto"/>
                    <w:rPr>
                      <w:rFonts w:hint="eastAsia" w:ascii="Times New Roman" w:hAnsi="Times New Roman" w:cs="Times New Roman"/>
                      <w:color w:val="auto"/>
                      <w:spacing w:val="-6"/>
                      <w:kern w:val="2"/>
                      <w:sz w:val="21"/>
                      <w:szCs w:val="21"/>
                      <w:vertAlign w:val="baseline"/>
                      <w:lang w:val="en-US" w:eastAsia="zh-CN" w:bidi="ar-SA"/>
                    </w:rPr>
                  </w:pPr>
                </w:p>
              </w:tc>
              <w:tc>
                <w:tcPr>
                  <w:tcW w:w="1105" w:type="pct"/>
                  <w:tcBorders>
                    <w:top w:val="single" w:color="auto" w:sz="4" w:space="0"/>
                    <w:left w:val="single" w:color="auto" w:sz="4" w:space="0"/>
                    <w:bottom w:val="single" w:color="auto" w:sz="4" w:space="0"/>
                    <w:right w:val="single" w:color="auto" w:sz="4" w:space="0"/>
                  </w:tcBorders>
                  <w:shd w:val="clear" w:color="auto" w:fill="auto"/>
                  <w:vAlign w:val="center"/>
                </w:tcPr>
                <w:p w14:paraId="7BAA92EA">
                  <w:pPr>
                    <w:keepNext w:val="0"/>
                    <w:keepLines w:val="0"/>
                    <w:pageBreakBefore w:val="0"/>
                    <w:widowControl/>
                    <w:kinsoku/>
                    <w:wordWrap/>
                    <w:overflowPunct/>
                    <w:topLinePunct w:val="0"/>
                    <w:autoSpaceDE/>
                    <w:autoSpaceDN/>
                    <w:bidi w:val="0"/>
                    <w:adjustRightInd w:val="0"/>
                    <w:snapToGrid/>
                    <w:spacing w:line="240" w:lineRule="auto"/>
                    <w:jc w:val="center"/>
                    <w:textAlignment w:val="auto"/>
                    <w:rPr>
                      <w:rFonts w:hint="eastAsia" w:ascii="Times New Roman" w:hAnsi="Times New Roman" w:cs="Times New Roman"/>
                      <w:color w:val="auto"/>
                      <w:spacing w:val="-6"/>
                      <w:sz w:val="21"/>
                      <w:szCs w:val="21"/>
                      <w:vertAlign w:val="baseline"/>
                      <w:lang w:val="en-US" w:eastAsia="zh-CN"/>
                    </w:rPr>
                  </w:pPr>
                  <w:r>
                    <w:rPr>
                      <w:rFonts w:hint="default" w:ascii="Times New Roman" w:hAnsi="Times New Roman" w:cs="Times New Roman"/>
                      <w:color w:val="auto"/>
                      <w:spacing w:val="-6"/>
                      <w:sz w:val="21"/>
                      <w:szCs w:val="21"/>
                      <w:vertAlign w:val="baseline"/>
                      <w:lang w:val="en-US" w:eastAsia="zh-CN"/>
                    </w:rPr>
                    <w:t>速率（kg/h）</w:t>
                  </w:r>
                </w:p>
              </w:tc>
              <w:tc>
                <w:tcPr>
                  <w:tcW w:w="752" w:type="pct"/>
                  <w:tcBorders>
                    <w:top w:val="single" w:color="auto" w:sz="4" w:space="0"/>
                    <w:left w:val="single" w:color="auto" w:sz="4" w:space="0"/>
                    <w:bottom w:val="single" w:color="auto" w:sz="4" w:space="0"/>
                    <w:right w:val="single" w:color="auto" w:sz="4" w:space="0"/>
                  </w:tcBorders>
                  <w:vAlign w:val="center"/>
                </w:tcPr>
                <w:p w14:paraId="74D7624C">
                  <w:pPr>
                    <w:keepNext w:val="0"/>
                    <w:keepLines w:val="0"/>
                    <w:widowControl/>
                    <w:suppressLineNumbers w:val="0"/>
                    <w:jc w:val="center"/>
                    <w:textAlignment w:val="center"/>
                    <w:rPr>
                      <w:rFonts w:hint="eastAsia" w:ascii="Times New Roman" w:hAnsi="Times New Roman" w:eastAsia="宋体" w:cs="Times New Roman"/>
                      <w:i w:val="0"/>
                      <w:iCs w:val="0"/>
                      <w:color w:val="auto"/>
                      <w:spacing w:val="-6"/>
                      <w:kern w:val="0"/>
                      <w:sz w:val="21"/>
                      <w:szCs w:val="21"/>
                      <w:highlight w:val="none"/>
                      <w:u w:val="none"/>
                      <w:lang w:val="en-US" w:eastAsia="zh-CN" w:bidi="ar"/>
                    </w:rPr>
                  </w:pPr>
                  <w:r>
                    <w:rPr>
                      <w:rFonts w:hint="eastAsia" w:ascii="Times New Roman" w:hAnsi="Times New Roman" w:eastAsia="宋体" w:cs="Times New Roman"/>
                      <w:i w:val="0"/>
                      <w:iCs w:val="0"/>
                      <w:color w:val="auto"/>
                      <w:spacing w:val="-6"/>
                      <w:kern w:val="0"/>
                      <w:sz w:val="21"/>
                      <w:szCs w:val="21"/>
                      <w:highlight w:val="none"/>
                      <w:u w:val="none"/>
                      <w:lang w:val="en-US" w:eastAsia="zh-CN" w:bidi="ar"/>
                    </w:rPr>
                    <w:t xml:space="preserve">0.0550 </w:t>
                  </w:r>
                </w:p>
              </w:tc>
              <w:tc>
                <w:tcPr>
                  <w:tcW w:w="752" w:type="pct"/>
                  <w:tcBorders>
                    <w:top w:val="single" w:color="auto" w:sz="4" w:space="0"/>
                    <w:left w:val="single" w:color="auto" w:sz="4" w:space="0"/>
                    <w:bottom w:val="single" w:color="auto" w:sz="4" w:space="0"/>
                    <w:right w:val="single" w:color="auto" w:sz="4" w:space="0"/>
                  </w:tcBorders>
                  <w:vAlign w:val="center"/>
                </w:tcPr>
                <w:p w14:paraId="51408776">
                  <w:pPr>
                    <w:keepNext w:val="0"/>
                    <w:keepLines w:val="0"/>
                    <w:widowControl/>
                    <w:suppressLineNumbers w:val="0"/>
                    <w:jc w:val="center"/>
                    <w:textAlignment w:val="center"/>
                    <w:rPr>
                      <w:rFonts w:hint="eastAsia" w:ascii="Times New Roman" w:hAnsi="Times New Roman" w:eastAsia="宋体" w:cs="Times New Roman"/>
                      <w:i w:val="0"/>
                      <w:iCs w:val="0"/>
                      <w:color w:val="auto"/>
                      <w:spacing w:val="-6"/>
                      <w:kern w:val="0"/>
                      <w:sz w:val="21"/>
                      <w:szCs w:val="21"/>
                      <w:highlight w:val="none"/>
                      <w:u w:val="none"/>
                      <w:lang w:val="en-US" w:eastAsia="zh-CN" w:bidi="ar"/>
                    </w:rPr>
                  </w:pPr>
                  <w:r>
                    <w:rPr>
                      <w:rFonts w:hint="eastAsia" w:ascii="Times New Roman" w:hAnsi="Times New Roman" w:eastAsia="宋体" w:cs="Times New Roman"/>
                      <w:i w:val="0"/>
                      <w:iCs w:val="0"/>
                      <w:color w:val="auto"/>
                      <w:spacing w:val="-6"/>
                      <w:kern w:val="0"/>
                      <w:sz w:val="21"/>
                      <w:szCs w:val="21"/>
                      <w:highlight w:val="none"/>
                      <w:u w:val="none"/>
                      <w:lang w:val="en-US" w:eastAsia="zh-CN" w:bidi="ar"/>
                    </w:rPr>
                    <w:t xml:space="preserve">0.0258 </w:t>
                  </w:r>
                </w:p>
              </w:tc>
              <w:tc>
                <w:tcPr>
                  <w:tcW w:w="1751" w:type="pct"/>
                  <w:tcBorders>
                    <w:top w:val="single" w:color="auto" w:sz="4" w:space="0"/>
                    <w:left w:val="single" w:color="auto" w:sz="4" w:space="0"/>
                    <w:bottom w:val="single" w:color="auto" w:sz="4" w:space="0"/>
                    <w:right w:val="single" w:color="auto" w:sz="4" w:space="0"/>
                  </w:tcBorders>
                  <w:vAlign w:val="center"/>
                </w:tcPr>
                <w:p w14:paraId="0F39192A">
                  <w:pPr>
                    <w:keepNext w:val="0"/>
                    <w:keepLines w:val="0"/>
                    <w:widowControl/>
                    <w:suppressLineNumbers w:val="0"/>
                    <w:jc w:val="center"/>
                    <w:textAlignment w:val="center"/>
                    <w:rPr>
                      <w:rFonts w:hint="default" w:ascii="Times New Roman" w:hAnsi="Times New Roman" w:eastAsia="宋体" w:cs="Times New Roman"/>
                      <w:i w:val="0"/>
                      <w:iCs w:val="0"/>
                      <w:color w:val="auto"/>
                      <w:spacing w:val="-6"/>
                      <w:kern w:val="0"/>
                      <w:sz w:val="21"/>
                      <w:szCs w:val="21"/>
                      <w:highlight w:val="none"/>
                      <w:u w:val="none"/>
                      <w:lang w:val="en-US" w:eastAsia="zh-CN" w:bidi="ar"/>
                    </w:rPr>
                  </w:pPr>
                  <w:r>
                    <w:rPr>
                      <w:rFonts w:hint="eastAsia" w:cs="Times New Roman"/>
                      <w:i w:val="0"/>
                      <w:iCs w:val="0"/>
                      <w:color w:val="auto"/>
                      <w:spacing w:val="-6"/>
                      <w:kern w:val="0"/>
                      <w:sz w:val="21"/>
                      <w:szCs w:val="21"/>
                      <w:highlight w:val="none"/>
                      <w:u w:val="none"/>
                      <w:lang w:val="en-US" w:eastAsia="zh-CN" w:bidi="ar"/>
                    </w:rPr>
                    <w:t>0.0101</w:t>
                  </w:r>
                </w:p>
              </w:tc>
            </w:tr>
            <w:tr w14:paraId="7839A6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8" w:type="pct"/>
                  <w:vMerge w:val="continue"/>
                  <w:tcBorders>
                    <w:left w:val="single" w:color="auto" w:sz="4" w:space="0"/>
                    <w:bottom w:val="single" w:color="auto" w:sz="4" w:space="0"/>
                    <w:right w:val="single" w:color="auto" w:sz="4" w:space="0"/>
                  </w:tcBorders>
                  <w:shd w:val="clear" w:color="auto" w:fill="auto"/>
                  <w:vAlign w:val="center"/>
                </w:tcPr>
                <w:p w14:paraId="4D1E6A5C">
                  <w:pPr>
                    <w:keepNext w:val="0"/>
                    <w:keepLines w:val="0"/>
                    <w:pageBreakBefore w:val="0"/>
                    <w:widowControl/>
                    <w:kinsoku/>
                    <w:wordWrap/>
                    <w:overflowPunct/>
                    <w:topLinePunct w:val="0"/>
                    <w:autoSpaceDE/>
                    <w:autoSpaceDN/>
                    <w:bidi w:val="0"/>
                    <w:adjustRightInd w:val="0"/>
                    <w:snapToGrid/>
                    <w:spacing w:line="240" w:lineRule="auto"/>
                    <w:jc w:val="center"/>
                    <w:textAlignment w:val="auto"/>
                    <w:rPr>
                      <w:rFonts w:hint="eastAsia" w:ascii="Times New Roman" w:hAnsi="Times New Roman" w:cs="Times New Roman"/>
                      <w:color w:val="auto"/>
                      <w:spacing w:val="-6"/>
                      <w:kern w:val="2"/>
                      <w:sz w:val="21"/>
                      <w:szCs w:val="21"/>
                      <w:vertAlign w:val="baseline"/>
                      <w:lang w:val="en-US" w:eastAsia="zh-CN" w:bidi="ar-SA"/>
                    </w:rPr>
                  </w:pPr>
                </w:p>
              </w:tc>
              <w:tc>
                <w:tcPr>
                  <w:tcW w:w="1105" w:type="pct"/>
                  <w:tcBorders>
                    <w:top w:val="single" w:color="auto" w:sz="4" w:space="0"/>
                    <w:left w:val="single" w:color="auto" w:sz="4" w:space="0"/>
                    <w:bottom w:val="single" w:color="auto" w:sz="4" w:space="0"/>
                    <w:right w:val="single" w:color="auto" w:sz="4" w:space="0"/>
                  </w:tcBorders>
                  <w:shd w:val="clear" w:color="auto" w:fill="auto"/>
                  <w:vAlign w:val="center"/>
                </w:tcPr>
                <w:p w14:paraId="0F1FEB97">
                  <w:pPr>
                    <w:keepNext w:val="0"/>
                    <w:keepLines w:val="0"/>
                    <w:pageBreakBefore w:val="0"/>
                    <w:widowControl/>
                    <w:kinsoku/>
                    <w:wordWrap/>
                    <w:overflowPunct/>
                    <w:topLinePunct w:val="0"/>
                    <w:autoSpaceDE/>
                    <w:autoSpaceDN/>
                    <w:bidi w:val="0"/>
                    <w:adjustRightInd w:val="0"/>
                    <w:snapToGrid/>
                    <w:spacing w:line="240" w:lineRule="auto"/>
                    <w:jc w:val="center"/>
                    <w:textAlignment w:val="auto"/>
                    <w:rPr>
                      <w:rFonts w:hint="eastAsia" w:ascii="Times New Roman" w:hAnsi="Times New Roman" w:cs="Times New Roman"/>
                      <w:color w:val="auto"/>
                      <w:spacing w:val="-6"/>
                      <w:sz w:val="21"/>
                      <w:szCs w:val="21"/>
                      <w:vertAlign w:val="baseline"/>
                      <w:lang w:val="en-US" w:eastAsia="zh-CN"/>
                    </w:rPr>
                  </w:pPr>
                  <w:r>
                    <w:rPr>
                      <w:rFonts w:hint="default" w:ascii="Times New Roman" w:hAnsi="Times New Roman" w:cs="Times New Roman"/>
                      <w:color w:val="auto"/>
                      <w:spacing w:val="-6"/>
                      <w:sz w:val="21"/>
                      <w:szCs w:val="21"/>
                      <w:vertAlign w:val="baseline"/>
                      <w:lang w:val="en-US" w:eastAsia="zh-CN"/>
                    </w:rPr>
                    <w:t>浓度（mg/m</w:t>
                  </w:r>
                  <w:r>
                    <w:rPr>
                      <w:rFonts w:hint="default" w:ascii="Times New Roman" w:hAnsi="Times New Roman" w:cs="Times New Roman"/>
                      <w:color w:val="auto"/>
                      <w:spacing w:val="-6"/>
                      <w:sz w:val="21"/>
                      <w:szCs w:val="21"/>
                      <w:vertAlign w:val="superscript"/>
                      <w:lang w:val="en-US" w:eastAsia="zh-CN"/>
                    </w:rPr>
                    <w:t>3</w:t>
                  </w:r>
                  <w:r>
                    <w:rPr>
                      <w:rFonts w:hint="default" w:ascii="Times New Roman" w:hAnsi="Times New Roman" w:cs="Times New Roman"/>
                      <w:color w:val="auto"/>
                      <w:spacing w:val="-6"/>
                      <w:sz w:val="21"/>
                      <w:szCs w:val="21"/>
                      <w:vertAlign w:val="baseline"/>
                      <w:lang w:val="en-US" w:eastAsia="zh-CN"/>
                    </w:rPr>
                    <w:t>）</w:t>
                  </w:r>
                </w:p>
              </w:tc>
              <w:tc>
                <w:tcPr>
                  <w:tcW w:w="752" w:type="pct"/>
                  <w:tcBorders>
                    <w:top w:val="single" w:color="auto" w:sz="4" w:space="0"/>
                    <w:left w:val="single" w:color="auto" w:sz="4" w:space="0"/>
                    <w:bottom w:val="single" w:color="auto" w:sz="4" w:space="0"/>
                    <w:right w:val="single" w:color="auto" w:sz="4" w:space="0"/>
                  </w:tcBorders>
                  <w:vAlign w:val="center"/>
                </w:tcPr>
                <w:p w14:paraId="711DE76E">
                  <w:pPr>
                    <w:keepNext w:val="0"/>
                    <w:keepLines w:val="0"/>
                    <w:widowControl/>
                    <w:suppressLineNumbers w:val="0"/>
                    <w:jc w:val="center"/>
                    <w:textAlignment w:val="center"/>
                    <w:rPr>
                      <w:rFonts w:hint="eastAsia" w:ascii="Times New Roman" w:hAnsi="Times New Roman" w:eastAsia="宋体" w:cs="Times New Roman"/>
                      <w:i w:val="0"/>
                      <w:iCs w:val="0"/>
                      <w:color w:val="auto"/>
                      <w:spacing w:val="-6"/>
                      <w:kern w:val="0"/>
                      <w:sz w:val="21"/>
                      <w:szCs w:val="21"/>
                      <w:highlight w:val="none"/>
                      <w:u w:val="none"/>
                      <w:lang w:val="en-US" w:eastAsia="zh-CN" w:bidi="ar"/>
                    </w:rPr>
                  </w:pPr>
                  <w:r>
                    <w:rPr>
                      <w:rFonts w:hint="eastAsia" w:ascii="Times New Roman" w:hAnsi="Times New Roman" w:eastAsia="宋体" w:cs="Times New Roman"/>
                      <w:i w:val="0"/>
                      <w:iCs w:val="0"/>
                      <w:color w:val="auto"/>
                      <w:spacing w:val="-6"/>
                      <w:kern w:val="0"/>
                      <w:sz w:val="21"/>
                      <w:szCs w:val="21"/>
                      <w:highlight w:val="none"/>
                      <w:u w:val="none"/>
                      <w:lang w:val="en-US" w:eastAsia="zh-CN" w:bidi="ar"/>
                    </w:rPr>
                    <w:t xml:space="preserve">27.035 </w:t>
                  </w:r>
                </w:p>
              </w:tc>
              <w:tc>
                <w:tcPr>
                  <w:tcW w:w="752" w:type="pct"/>
                  <w:tcBorders>
                    <w:top w:val="single" w:color="auto" w:sz="4" w:space="0"/>
                    <w:left w:val="single" w:color="auto" w:sz="4" w:space="0"/>
                    <w:bottom w:val="single" w:color="auto" w:sz="4" w:space="0"/>
                    <w:right w:val="single" w:color="auto" w:sz="4" w:space="0"/>
                  </w:tcBorders>
                  <w:vAlign w:val="center"/>
                </w:tcPr>
                <w:p w14:paraId="475ED793">
                  <w:pPr>
                    <w:keepNext w:val="0"/>
                    <w:keepLines w:val="0"/>
                    <w:widowControl/>
                    <w:suppressLineNumbers w:val="0"/>
                    <w:jc w:val="center"/>
                    <w:textAlignment w:val="center"/>
                    <w:rPr>
                      <w:rFonts w:hint="eastAsia" w:ascii="Times New Roman" w:hAnsi="Times New Roman" w:eastAsia="宋体" w:cs="Times New Roman"/>
                      <w:i w:val="0"/>
                      <w:iCs w:val="0"/>
                      <w:color w:val="auto"/>
                      <w:spacing w:val="-6"/>
                      <w:kern w:val="0"/>
                      <w:sz w:val="21"/>
                      <w:szCs w:val="21"/>
                      <w:highlight w:val="none"/>
                      <w:u w:val="none"/>
                      <w:lang w:val="en-US" w:eastAsia="zh-CN" w:bidi="ar"/>
                    </w:rPr>
                  </w:pPr>
                  <w:r>
                    <w:rPr>
                      <w:rFonts w:hint="eastAsia" w:ascii="Times New Roman" w:hAnsi="Times New Roman" w:eastAsia="宋体" w:cs="Times New Roman"/>
                      <w:i w:val="0"/>
                      <w:iCs w:val="0"/>
                      <w:color w:val="auto"/>
                      <w:spacing w:val="-6"/>
                      <w:kern w:val="0"/>
                      <w:sz w:val="21"/>
                      <w:szCs w:val="21"/>
                      <w:highlight w:val="none"/>
                      <w:u w:val="none"/>
                      <w:lang w:val="en-US" w:eastAsia="zh-CN" w:bidi="ar"/>
                    </w:rPr>
                    <w:t xml:space="preserve">1.793 </w:t>
                  </w:r>
                </w:p>
              </w:tc>
              <w:tc>
                <w:tcPr>
                  <w:tcW w:w="1751" w:type="pct"/>
                  <w:tcBorders>
                    <w:top w:val="single" w:color="auto" w:sz="4" w:space="0"/>
                    <w:left w:val="single" w:color="auto" w:sz="4" w:space="0"/>
                    <w:bottom w:val="single" w:color="auto" w:sz="4" w:space="0"/>
                    <w:right w:val="single" w:color="auto" w:sz="4" w:space="0"/>
                  </w:tcBorders>
                  <w:vAlign w:val="center"/>
                </w:tcPr>
                <w:p w14:paraId="15A8363F">
                  <w:pPr>
                    <w:keepNext w:val="0"/>
                    <w:keepLines w:val="0"/>
                    <w:widowControl/>
                    <w:suppressLineNumbers w:val="0"/>
                    <w:jc w:val="center"/>
                    <w:textAlignment w:val="center"/>
                    <w:rPr>
                      <w:rFonts w:hint="default" w:ascii="Times New Roman" w:hAnsi="Times New Roman" w:eastAsia="宋体" w:cs="Times New Roman"/>
                      <w:i w:val="0"/>
                      <w:iCs w:val="0"/>
                      <w:color w:val="auto"/>
                      <w:spacing w:val="-6"/>
                      <w:kern w:val="0"/>
                      <w:sz w:val="21"/>
                      <w:szCs w:val="21"/>
                      <w:highlight w:val="none"/>
                      <w:u w:val="none"/>
                      <w:lang w:val="en-US" w:eastAsia="zh-CN" w:bidi="ar"/>
                    </w:rPr>
                  </w:pPr>
                  <w:r>
                    <w:rPr>
                      <w:rFonts w:hint="eastAsia" w:cs="Times New Roman"/>
                      <w:i w:val="0"/>
                      <w:iCs w:val="0"/>
                      <w:color w:val="auto"/>
                      <w:spacing w:val="-6"/>
                      <w:kern w:val="0"/>
                      <w:sz w:val="21"/>
                      <w:szCs w:val="21"/>
                      <w:highlight w:val="none"/>
                      <w:u w:val="none"/>
                      <w:lang w:val="en-US" w:eastAsia="zh-CN" w:bidi="ar"/>
                    </w:rPr>
                    <w:t>8.92</w:t>
                  </w:r>
                </w:p>
              </w:tc>
            </w:tr>
            <w:tr w14:paraId="17F105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3" w:type="pct"/>
                  <w:gridSpan w:val="2"/>
                  <w:tcBorders>
                    <w:top w:val="single" w:color="auto" w:sz="4" w:space="0"/>
                    <w:left w:val="single" w:color="auto" w:sz="4" w:space="0"/>
                    <w:bottom w:val="single" w:color="auto" w:sz="4" w:space="0"/>
                    <w:right w:val="single" w:color="auto" w:sz="4" w:space="0"/>
                  </w:tcBorders>
                  <w:shd w:val="clear" w:color="auto" w:fill="auto"/>
                  <w:vAlign w:val="center"/>
                </w:tcPr>
                <w:p w14:paraId="794055F8">
                  <w:pPr>
                    <w:keepNext w:val="0"/>
                    <w:keepLines w:val="0"/>
                    <w:pageBreakBefore w:val="0"/>
                    <w:widowControl/>
                    <w:kinsoku/>
                    <w:wordWrap/>
                    <w:overflowPunct/>
                    <w:topLinePunct w:val="0"/>
                    <w:autoSpaceDE/>
                    <w:autoSpaceDN/>
                    <w:bidi w:val="0"/>
                    <w:adjustRightInd w:val="0"/>
                    <w:snapToGrid/>
                    <w:spacing w:line="240" w:lineRule="auto"/>
                    <w:jc w:val="center"/>
                    <w:textAlignment w:val="auto"/>
                    <w:rPr>
                      <w:rFonts w:hint="eastAsia" w:ascii="Times New Roman" w:hAnsi="Times New Roman" w:eastAsia="宋体" w:cs="Times New Roman"/>
                      <w:color w:val="auto"/>
                      <w:spacing w:val="-6"/>
                      <w:kern w:val="2"/>
                      <w:sz w:val="21"/>
                      <w:szCs w:val="21"/>
                      <w:vertAlign w:val="baseline"/>
                      <w:lang w:val="en-US" w:eastAsia="zh-CN" w:bidi="ar-SA"/>
                    </w:rPr>
                  </w:pPr>
                  <w:r>
                    <w:rPr>
                      <w:rFonts w:hint="default" w:ascii="Times New Roman" w:hAnsi="Times New Roman" w:cs="Times New Roman"/>
                      <w:color w:val="auto"/>
                      <w:spacing w:val="-6"/>
                      <w:sz w:val="21"/>
                      <w:szCs w:val="21"/>
                      <w:vertAlign w:val="baseline"/>
                      <w:lang w:val="en-US" w:eastAsia="zh-CN"/>
                    </w:rPr>
                    <w:t>治理措施</w:t>
                  </w:r>
                </w:p>
              </w:tc>
              <w:tc>
                <w:tcPr>
                  <w:tcW w:w="1505" w:type="pct"/>
                  <w:gridSpan w:val="2"/>
                  <w:tcBorders>
                    <w:top w:val="single" w:color="auto" w:sz="4" w:space="0"/>
                    <w:left w:val="single" w:color="auto" w:sz="4" w:space="0"/>
                    <w:bottom w:val="single" w:color="auto" w:sz="4" w:space="0"/>
                    <w:right w:val="single" w:color="auto" w:sz="4" w:space="0"/>
                  </w:tcBorders>
                  <w:shd w:val="clear" w:color="auto" w:fill="auto"/>
                  <w:vAlign w:val="center"/>
                </w:tcPr>
                <w:p w14:paraId="0335E496">
                  <w:pPr>
                    <w:keepNext w:val="0"/>
                    <w:keepLines w:val="0"/>
                    <w:pageBreakBefore w:val="0"/>
                    <w:widowControl/>
                    <w:kinsoku/>
                    <w:wordWrap/>
                    <w:overflowPunct/>
                    <w:topLinePunct w:val="0"/>
                    <w:autoSpaceDE/>
                    <w:autoSpaceDN/>
                    <w:bidi w:val="0"/>
                    <w:adjustRightInd w:val="0"/>
                    <w:snapToGrid/>
                    <w:spacing w:line="240" w:lineRule="auto"/>
                    <w:jc w:val="center"/>
                    <w:textAlignment w:val="auto"/>
                    <w:rPr>
                      <w:rFonts w:hint="eastAsia" w:ascii="Times New Roman" w:hAnsi="Times New Roman" w:cs="Times New Roman"/>
                      <w:color w:val="auto"/>
                      <w:spacing w:val="-6"/>
                      <w:sz w:val="21"/>
                      <w:szCs w:val="21"/>
                      <w:vertAlign w:val="baseline"/>
                      <w:lang w:val="en-US" w:eastAsia="zh-CN"/>
                    </w:rPr>
                  </w:pPr>
                  <w:r>
                    <w:rPr>
                      <w:rFonts w:hint="default" w:ascii="Times New Roman" w:hAnsi="Times New Roman" w:eastAsia="宋体" w:cs="Times New Roman"/>
                      <w:color w:val="auto"/>
                      <w:spacing w:val="-6"/>
                      <w:sz w:val="21"/>
                      <w:szCs w:val="21"/>
                      <w:vertAlign w:val="baseline"/>
                      <w:lang w:val="en-US" w:eastAsia="zh-CN"/>
                    </w:rPr>
                    <w:t>车间整体密闭</w:t>
                  </w:r>
                  <w:r>
                    <w:rPr>
                      <w:rFonts w:hint="default" w:ascii="Times New Roman" w:hAnsi="Times New Roman" w:eastAsia="宋体" w:cs="Times New Roman"/>
                      <w:color w:val="auto"/>
                      <w:spacing w:val="-6"/>
                      <w:sz w:val="21"/>
                      <w:szCs w:val="21"/>
                      <w:highlight w:val="none"/>
                      <w:vertAlign w:val="baseline"/>
                      <w:lang w:val="en-US" w:eastAsia="zh-CN"/>
                    </w:rPr>
                    <w:t>+</w:t>
                  </w:r>
                  <w:r>
                    <w:rPr>
                      <w:rFonts w:hint="default" w:ascii="Times New Roman" w:hAnsi="Times New Roman" w:cs="Times New Roman"/>
                      <w:color w:val="auto"/>
                      <w:spacing w:val="-6"/>
                      <w:sz w:val="21"/>
                      <w:szCs w:val="21"/>
                      <w:highlight w:val="none"/>
                      <w:vertAlign w:val="baseline"/>
                      <w:lang w:val="en-US" w:eastAsia="zh-CN"/>
                    </w:rPr>
                    <w:t>碱喷淋</w:t>
                  </w:r>
                </w:p>
              </w:tc>
              <w:tc>
                <w:tcPr>
                  <w:tcW w:w="1751" w:type="pct"/>
                  <w:tcBorders>
                    <w:top w:val="single" w:color="auto" w:sz="4" w:space="0"/>
                    <w:left w:val="single" w:color="auto" w:sz="4" w:space="0"/>
                    <w:bottom w:val="single" w:color="auto" w:sz="4" w:space="0"/>
                    <w:right w:val="single" w:color="auto" w:sz="4" w:space="0"/>
                  </w:tcBorders>
                  <w:shd w:val="clear" w:color="auto" w:fill="auto"/>
                  <w:vAlign w:val="center"/>
                </w:tcPr>
                <w:p w14:paraId="0083E9C9">
                  <w:pPr>
                    <w:keepNext w:val="0"/>
                    <w:keepLines w:val="0"/>
                    <w:pageBreakBefore w:val="0"/>
                    <w:widowControl/>
                    <w:kinsoku/>
                    <w:wordWrap/>
                    <w:overflowPunct/>
                    <w:topLinePunct w:val="0"/>
                    <w:autoSpaceDE/>
                    <w:autoSpaceDN/>
                    <w:bidi w:val="0"/>
                    <w:adjustRightInd w:val="0"/>
                    <w:snapToGrid/>
                    <w:spacing w:line="240" w:lineRule="auto"/>
                    <w:jc w:val="center"/>
                    <w:textAlignment w:val="auto"/>
                    <w:rPr>
                      <w:rFonts w:hint="eastAsia" w:ascii="Times New Roman" w:hAnsi="Times New Roman" w:cs="Times New Roman"/>
                      <w:color w:val="auto"/>
                      <w:spacing w:val="-6"/>
                      <w:sz w:val="21"/>
                      <w:szCs w:val="21"/>
                      <w:highlight w:val="none"/>
                      <w:vertAlign w:val="baseline"/>
                      <w:lang w:val="en-US" w:eastAsia="zh-CN"/>
                    </w:rPr>
                  </w:pPr>
                  <w:r>
                    <w:rPr>
                      <w:rFonts w:hint="default" w:ascii="Times New Roman" w:hAnsi="Times New Roman" w:eastAsia="宋体" w:cs="Times New Roman"/>
                      <w:color w:val="auto"/>
                      <w:spacing w:val="-6"/>
                      <w:sz w:val="21"/>
                      <w:szCs w:val="21"/>
                      <w:highlight w:val="none"/>
                      <w:vertAlign w:val="baseline"/>
                      <w:lang w:val="en-US" w:eastAsia="zh-CN"/>
                    </w:rPr>
                    <w:t>车间整体密闭</w:t>
                  </w:r>
                  <w:r>
                    <w:rPr>
                      <w:rFonts w:hint="eastAsia" w:ascii="Times New Roman" w:hAnsi="Times New Roman" w:eastAsia="宋体" w:cs="Times New Roman"/>
                      <w:color w:val="auto"/>
                      <w:spacing w:val="-6"/>
                      <w:sz w:val="21"/>
                      <w:szCs w:val="21"/>
                      <w:highlight w:val="none"/>
                      <w:vertAlign w:val="baseline"/>
                      <w:lang w:val="en-US" w:eastAsia="zh-CN"/>
                    </w:rPr>
                    <w:t>+</w:t>
                  </w:r>
                  <w:r>
                    <w:rPr>
                      <w:rFonts w:hint="eastAsia" w:cs="Times New Roman"/>
                      <w:color w:val="auto"/>
                      <w:spacing w:val="-6"/>
                      <w:sz w:val="21"/>
                      <w:szCs w:val="21"/>
                      <w:highlight w:val="none"/>
                      <w:vertAlign w:val="baseline"/>
                      <w:lang w:val="en-US" w:eastAsia="zh-CN"/>
                    </w:rPr>
                    <w:t>二级</w:t>
                  </w:r>
                  <w:r>
                    <w:rPr>
                      <w:rFonts w:hint="default" w:ascii="Times New Roman" w:hAnsi="Times New Roman" w:cs="Times New Roman"/>
                      <w:color w:val="auto"/>
                      <w:spacing w:val="-6"/>
                      <w:sz w:val="21"/>
                      <w:szCs w:val="21"/>
                      <w:highlight w:val="none"/>
                      <w:vertAlign w:val="baseline"/>
                      <w:lang w:val="en-US" w:eastAsia="zh-CN"/>
                    </w:rPr>
                    <w:t>活性炭吸附</w:t>
                  </w:r>
                </w:p>
              </w:tc>
            </w:tr>
            <w:tr w14:paraId="031D64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8" w:type="pct"/>
                  <w:vMerge w:val="restart"/>
                  <w:tcBorders>
                    <w:top w:val="single" w:color="auto" w:sz="4" w:space="0"/>
                    <w:left w:val="single" w:color="auto" w:sz="4" w:space="0"/>
                    <w:right w:val="single" w:color="auto" w:sz="4" w:space="0"/>
                  </w:tcBorders>
                  <w:shd w:val="clear" w:color="auto" w:fill="auto"/>
                  <w:vAlign w:val="center"/>
                </w:tcPr>
                <w:p w14:paraId="7F392844">
                  <w:pPr>
                    <w:keepNext w:val="0"/>
                    <w:keepLines w:val="0"/>
                    <w:pageBreakBefore w:val="0"/>
                    <w:widowControl/>
                    <w:kinsoku/>
                    <w:wordWrap/>
                    <w:overflowPunct/>
                    <w:topLinePunct w:val="0"/>
                    <w:autoSpaceDE/>
                    <w:autoSpaceDN/>
                    <w:bidi w:val="0"/>
                    <w:adjustRightInd w:val="0"/>
                    <w:snapToGrid/>
                    <w:spacing w:line="240" w:lineRule="auto"/>
                    <w:jc w:val="center"/>
                    <w:textAlignment w:val="auto"/>
                    <w:rPr>
                      <w:rFonts w:hint="eastAsia" w:ascii="Times New Roman" w:hAnsi="Times New Roman" w:cs="Times New Roman"/>
                      <w:color w:val="auto"/>
                      <w:spacing w:val="-6"/>
                      <w:kern w:val="2"/>
                      <w:sz w:val="21"/>
                      <w:szCs w:val="21"/>
                      <w:vertAlign w:val="baseline"/>
                      <w:lang w:val="en-US" w:eastAsia="zh-CN" w:bidi="ar-SA"/>
                    </w:rPr>
                  </w:pPr>
                  <w:r>
                    <w:rPr>
                      <w:rFonts w:hint="default" w:ascii="Times New Roman" w:hAnsi="Times New Roman" w:cs="Times New Roman"/>
                      <w:color w:val="auto"/>
                      <w:spacing w:val="-6"/>
                      <w:kern w:val="2"/>
                      <w:sz w:val="21"/>
                      <w:szCs w:val="21"/>
                      <w:vertAlign w:val="baseline"/>
                      <w:lang w:val="en-US" w:eastAsia="zh-CN" w:bidi="ar-SA"/>
                    </w:rPr>
                    <w:t>排放情况</w:t>
                  </w:r>
                </w:p>
              </w:tc>
              <w:tc>
                <w:tcPr>
                  <w:tcW w:w="1105" w:type="pct"/>
                  <w:tcBorders>
                    <w:top w:val="single" w:color="auto" w:sz="4" w:space="0"/>
                    <w:left w:val="single" w:color="auto" w:sz="4" w:space="0"/>
                    <w:bottom w:val="single" w:color="auto" w:sz="4" w:space="0"/>
                    <w:right w:val="single" w:color="auto" w:sz="4" w:space="0"/>
                  </w:tcBorders>
                  <w:shd w:val="clear" w:color="auto" w:fill="auto"/>
                  <w:vAlign w:val="center"/>
                </w:tcPr>
                <w:p w14:paraId="4B71C235">
                  <w:pPr>
                    <w:keepNext w:val="0"/>
                    <w:keepLines w:val="0"/>
                    <w:pageBreakBefore w:val="0"/>
                    <w:widowControl/>
                    <w:kinsoku/>
                    <w:wordWrap/>
                    <w:overflowPunct/>
                    <w:topLinePunct w:val="0"/>
                    <w:autoSpaceDE/>
                    <w:autoSpaceDN/>
                    <w:bidi w:val="0"/>
                    <w:adjustRightInd w:val="0"/>
                    <w:snapToGrid/>
                    <w:spacing w:line="240" w:lineRule="auto"/>
                    <w:jc w:val="center"/>
                    <w:textAlignment w:val="auto"/>
                    <w:rPr>
                      <w:rFonts w:hint="eastAsia" w:ascii="Times New Roman" w:hAnsi="Times New Roman" w:cs="Times New Roman"/>
                      <w:color w:val="auto"/>
                      <w:spacing w:val="-6"/>
                      <w:sz w:val="21"/>
                      <w:szCs w:val="21"/>
                      <w:vertAlign w:val="baseline"/>
                      <w:lang w:val="en-US" w:eastAsia="zh-CN"/>
                    </w:rPr>
                  </w:pPr>
                  <w:r>
                    <w:rPr>
                      <w:rFonts w:hint="default" w:ascii="Times New Roman" w:hAnsi="Times New Roman" w:cs="Times New Roman"/>
                      <w:color w:val="auto"/>
                      <w:spacing w:val="-6"/>
                      <w:sz w:val="21"/>
                      <w:szCs w:val="21"/>
                      <w:vertAlign w:val="baseline"/>
                      <w:lang w:val="en-US" w:eastAsia="zh-CN"/>
                    </w:rPr>
                    <w:t>排放量（t/a）</w:t>
                  </w:r>
                </w:p>
              </w:tc>
              <w:tc>
                <w:tcPr>
                  <w:tcW w:w="752" w:type="pct"/>
                  <w:tcBorders>
                    <w:top w:val="single" w:color="auto" w:sz="4" w:space="0"/>
                    <w:left w:val="single" w:color="auto" w:sz="4" w:space="0"/>
                    <w:bottom w:val="single" w:color="auto" w:sz="4" w:space="0"/>
                    <w:right w:val="single" w:color="auto" w:sz="4" w:space="0"/>
                  </w:tcBorders>
                  <w:shd w:val="clear" w:color="auto" w:fill="auto"/>
                  <w:vAlign w:val="center"/>
                </w:tcPr>
                <w:p w14:paraId="7FFD1A50">
                  <w:pPr>
                    <w:keepNext w:val="0"/>
                    <w:keepLines w:val="0"/>
                    <w:widowControl/>
                    <w:suppressLineNumbers w:val="0"/>
                    <w:jc w:val="center"/>
                    <w:textAlignment w:val="center"/>
                    <w:rPr>
                      <w:rFonts w:hint="eastAsia" w:cs="Times New Roman"/>
                      <w:i w:val="0"/>
                      <w:iCs w:val="0"/>
                      <w:color w:val="auto"/>
                      <w:spacing w:val="-6"/>
                      <w:kern w:val="0"/>
                      <w:sz w:val="21"/>
                      <w:szCs w:val="21"/>
                      <w:highlight w:val="none"/>
                      <w:u w:val="none"/>
                      <w:lang w:val="en-US" w:eastAsia="zh-CN" w:bidi="ar"/>
                    </w:rPr>
                  </w:pPr>
                  <w:r>
                    <w:rPr>
                      <w:rFonts w:hint="eastAsia" w:cs="Times New Roman"/>
                      <w:i w:val="0"/>
                      <w:iCs w:val="0"/>
                      <w:color w:val="auto"/>
                      <w:spacing w:val="-6"/>
                      <w:kern w:val="0"/>
                      <w:sz w:val="21"/>
                      <w:szCs w:val="21"/>
                      <w:highlight w:val="none"/>
                      <w:u w:val="none"/>
                      <w:lang w:val="en-US" w:eastAsia="zh-CN" w:bidi="ar"/>
                    </w:rPr>
                    <w:t xml:space="preserve">0.1638 </w:t>
                  </w:r>
                </w:p>
              </w:tc>
              <w:tc>
                <w:tcPr>
                  <w:tcW w:w="752" w:type="pct"/>
                  <w:tcBorders>
                    <w:top w:val="single" w:color="auto" w:sz="4" w:space="0"/>
                    <w:left w:val="single" w:color="auto" w:sz="4" w:space="0"/>
                    <w:bottom w:val="single" w:color="auto" w:sz="4" w:space="0"/>
                    <w:right w:val="single" w:color="auto" w:sz="4" w:space="0"/>
                  </w:tcBorders>
                  <w:shd w:val="clear" w:color="auto" w:fill="auto"/>
                  <w:vAlign w:val="center"/>
                </w:tcPr>
                <w:p w14:paraId="23AFB380">
                  <w:pPr>
                    <w:keepNext w:val="0"/>
                    <w:keepLines w:val="0"/>
                    <w:widowControl/>
                    <w:suppressLineNumbers w:val="0"/>
                    <w:jc w:val="center"/>
                    <w:textAlignment w:val="center"/>
                    <w:rPr>
                      <w:rFonts w:hint="eastAsia" w:cs="Times New Roman"/>
                      <w:i w:val="0"/>
                      <w:iCs w:val="0"/>
                      <w:color w:val="auto"/>
                      <w:spacing w:val="-6"/>
                      <w:kern w:val="0"/>
                      <w:sz w:val="21"/>
                      <w:szCs w:val="21"/>
                      <w:highlight w:val="none"/>
                      <w:u w:val="none"/>
                      <w:lang w:val="en-US" w:eastAsia="zh-CN" w:bidi="ar"/>
                    </w:rPr>
                  </w:pPr>
                  <w:r>
                    <w:rPr>
                      <w:rFonts w:hint="eastAsia" w:cs="Times New Roman"/>
                      <w:i w:val="0"/>
                      <w:iCs w:val="0"/>
                      <w:color w:val="auto"/>
                      <w:spacing w:val="-6"/>
                      <w:kern w:val="0"/>
                      <w:sz w:val="21"/>
                      <w:szCs w:val="21"/>
                      <w:highlight w:val="none"/>
                      <w:u w:val="none"/>
                      <w:lang w:val="en-US" w:eastAsia="zh-CN" w:bidi="ar"/>
                    </w:rPr>
                    <w:t xml:space="preserve">0.0823 </w:t>
                  </w:r>
                </w:p>
              </w:tc>
              <w:tc>
                <w:tcPr>
                  <w:tcW w:w="1751" w:type="pct"/>
                  <w:tcBorders>
                    <w:top w:val="single" w:color="auto" w:sz="4" w:space="0"/>
                    <w:left w:val="single" w:color="auto" w:sz="4" w:space="0"/>
                    <w:bottom w:val="single" w:color="auto" w:sz="4" w:space="0"/>
                    <w:right w:val="single" w:color="auto" w:sz="4" w:space="0"/>
                  </w:tcBorders>
                  <w:shd w:val="clear" w:color="auto" w:fill="auto"/>
                  <w:vAlign w:val="center"/>
                </w:tcPr>
                <w:p w14:paraId="22475285">
                  <w:pPr>
                    <w:keepNext w:val="0"/>
                    <w:keepLines w:val="0"/>
                    <w:widowControl/>
                    <w:suppressLineNumbers w:val="0"/>
                    <w:jc w:val="center"/>
                    <w:textAlignment w:val="center"/>
                    <w:rPr>
                      <w:rFonts w:hint="default" w:ascii="Times New Roman" w:hAnsi="Times New Roman" w:eastAsia="宋体" w:cs="Times New Roman"/>
                      <w:i w:val="0"/>
                      <w:iCs w:val="0"/>
                      <w:color w:val="auto"/>
                      <w:spacing w:val="-6"/>
                      <w:kern w:val="0"/>
                      <w:sz w:val="21"/>
                      <w:szCs w:val="21"/>
                      <w:highlight w:val="none"/>
                      <w:u w:val="none"/>
                      <w:lang w:val="en-US" w:eastAsia="zh-CN" w:bidi="ar"/>
                    </w:rPr>
                  </w:pPr>
                  <w:r>
                    <w:rPr>
                      <w:rFonts w:hint="eastAsia" w:cs="Times New Roman"/>
                      <w:i w:val="0"/>
                      <w:iCs w:val="0"/>
                      <w:color w:val="auto"/>
                      <w:spacing w:val="-6"/>
                      <w:kern w:val="0"/>
                      <w:sz w:val="21"/>
                      <w:szCs w:val="21"/>
                      <w:highlight w:val="none"/>
                      <w:u w:val="none"/>
                      <w:lang w:val="en-US" w:eastAsia="zh-CN" w:bidi="ar"/>
                    </w:rPr>
                    <w:t>0.0586</w:t>
                  </w:r>
                </w:p>
              </w:tc>
            </w:tr>
            <w:tr w14:paraId="6EB7ED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8" w:type="pct"/>
                  <w:vMerge w:val="continue"/>
                  <w:tcBorders>
                    <w:left w:val="single" w:color="auto" w:sz="4" w:space="0"/>
                    <w:right w:val="single" w:color="auto" w:sz="4" w:space="0"/>
                  </w:tcBorders>
                  <w:shd w:val="clear" w:color="auto" w:fill="auto"/>
                  <w:vAlign w:val="center"/>
                </w:tcPr>
                <w:p w14:paraId="68321F6A">
                  <w:pPr>
                    <w:keepNext w:val="0"/>
                    <w:keepLines w:val="0"/>
                    <w:pageBreakBefore w:val="0"/>
                    <w:widowControl/>
                    <w:kinsoku/>
                    <w:wordWrap/>
                    <w:overflowPunct/>
                    <w:topLinePunct w:val="0"/>
                    <w:autoSpaceDE/>
                    <w:autoSpaceDN/>
                    <w:bidi w:val="0"/>
                    <w:adjustRightInd w:val="0"/>
                    <w:snapToGrid/>
                    <w:spacing w:line="240" w:lineRule="auto"/>
                    <w:jc w:val="center"/>
                    <w:textAlignment w:val="auto"/>
                    <w:rPr>
                      <w:rFonts w:hint="eastAsia" w:ascii="Times New Roman" w:hAnsi="Times New Roman" w:cs="Times New Roman"/>
                      <w:color w:val="auto"/>
                      <w:spacing w:val="-6"/>
                      <w:kern w:val="2"/>
                      <w:sz w:val="21"/>
                      <w:szCs w:val="21"/>
                      <w:vertAlign w:val="baseline"/>
                      <w:lang w:val="en-US" w:eastAsia="zh-CN" w:bidi="ar-SA"/>
                    </w:rPr>
                  </w:pPr>
                </w:p>
              </w:tc>
              <w:tc>
                <w:tcPr>
                  <w:tcW w:w="1105" w:type="pct"/>
                  <w:tcBorders>
                    <w:top w:val="single" w:color="auto" w:sz="4" w:space="0"/>
                    <w:left w:val="single" w:color="auto" w:sz="4" w:space="0"/>
                    <w:bottom w:val="single" w:color="auto" w:sz="4" w:space="0"/>
                    <w:right w:val="single" w:color="auto" w:sz="4" w:space="0"/>
                  </w:tcBorders>
                  <w:shd w:val="clear" w:color="auto" w:fill="auto"/>
                  <w:vAlign w:val="center"/>
                </w:tcPr>
                <w:p w14:paraId="160736C9">
                  <w:pPr>
                    <w:keepNext w:val="0"/>
                    <w:keepLines w:val="0"/>
                    <w:pageBreakBefore w:val="0"/>
                    <w:widowControl/>
                    <w:kinsoku/>
                    <w:wordWrap/>
                    <w:overflowPunct/>
                    <w:topLinePunct w:val="0"/>
                    <w:autoSpaceDE/>
                    <w:autoSpaceDN/>
                    <w:bidi w:val="0"/>
                    <w:adjustRightInd w:val="0"/>
                    <w:snapToGrid/>
                    <w:spacing w:line="240" w:lineRule="auto"/>
                    <w:jc w:val="center"/>
                    <w:textAlignment w:val="auto"/>
                    <w:rPr>
                      <w:rFonts w:hint="eastAsia" w:ascii="Times New Roman" w:hAnsi="Times New Roman" w:cs="Times New Roman"/>
                      <w:color w:val="auto"/>
                      <w:spacing w:val="-6"/>
                      <w:sz w:val="21"/>
                      <w:szCs w:val="21"/>
                      <w:vertAlign w:val="baseline"/>
                      <w:lang w:val="en-US" w:eastAsia="zh-CN"/>
                    </w:rPr>
                  </w:pPr>
                  <w:r>
                    <w:rPr>
                      <w:rFonts w:hint="default" w:ascii="Times New Roman" w:hAnsi="Times New Roman" w:cs="Times New Roman"/>
                      <w:color w:val="auto"/>
                      <w:spacing w:val="-6"/>
                      <w:sz w:val="21"/>
                      <w:szCs w:val="21"/>
                      <w:vertAlign w:val="baseline"/>
                      <w:lang w:val="en-US" w:eastAsia="zh-CN"/>
                    </w:rPr>
                    <w:t>速率（kg/h）</w:t>
                  </w:r>
                </w:p>
              </w:tc>
              <w:tc>
                <w:tcPr>
                  <w:tcW w:w="752" w:type="pct"/>
                  <w:tcBorders>
                    <w:top w:val="single" w:color="auto" w:sz="4" w:space="0"/>
                    <w:left w:val="single" w:color="auto" w:sz="4" w:space="0"/>
                    <w:bottom w:val="single" w:color="auto" w:sz="4" w:space="0"/>
                    <w:right w:val="single" w:color="auto" w:sz="4" w:space="0"/>
                  </w:tcBorders>
                  <w:shd w:val="clear" w:color="auto" w:fill="auto"/>
                  <w:vAlign w:val="center"/>
                </w:tcPr>
                <w:p w14:paraId="5EC2A2A0">
                  <w:pPr>
                    <w:keepNext w:val="0"/>
                    <w:keepLines w:val="0"/>
                    <w:widowControl/>
                    <w:suppressLineNumbers w:val="0"/>
                    <w:jc w:val="center"/>
                    <w:textAlignment w:val="center"/>
                    <w:rPr>
                      <w:rFonts w:hint="eastAsia" w:cs="Times New Roman"/>
                      <w:i w:val="0"/>
                      <w:iCs w:val="0"/>
                      <w:color w:val="auto"/>
                      <w:spacing w:val="-6"/>
                      <w:kern w:val="0"/>
                      <w:sz w:val="21"/>
                      <w:szCs w:val="21"/>
                      <w:highlight w:val="none"/>
                      <w:u w:val="none"/>
                      <w:lang w:val="en-US" w:eastAsia="zh-CN" w:bidi="ar"/>
                    </w:rPr>
                  </w:pPr>
                  <w:r>
                    <w:rPr>
                      <w:rFonts w:hint="eastAsia" w:cs="Times New Roman"/>
                      <w:i w:val="0"/>
                      <w:iCs w:val="0"/>
                      <w:color w:val="auto"/>
                      <w:spacing w:val="-6"/>
                      <w:kern w:val="0"/>
                      <w:sz w:val="21"/>
                      <w:szCs w:val="21"/>
                      <w:highlight w:val="none"/>
                      <w:u w:val="none"/>
                      <w:lang w:val="en-US" w:eastAsia="zh-CN" w:bidi="ar"/>
                    </w:rPr>
                    <w:t>0.0187</w:t>
                  </w:r>
                </w:p>
              </w:tc>
              <w:tc>
                <w:tcPr>
                  <w:tcW w:w="752" w:type="pct"/>
                  <w:tcBorders>
                    <w:top w:val="single" w:color="auto" w:sz="4" w:space="0"/>
                    <w:left w:val="single" w:color="auto" w:sz="4" w:space="0"/>
                    <w:bottom w:val="single" w:color="auto" w:sz="4" w:space="0"/>
                    <w:right w:val="single" w:color="auto" w:sz="4" w:space="0"/>
                  </w:tcBorders>
                  <w:shd w:val="clear" w:color="auto" w:fill="auto"/>
                  <w:vAlign w:val="center"/>
                </w:tcPr>
                <w:p w14:paraId="161332D8">
                  <w:pPr>
                    <w:keepNext w:val="0"/>
                    <w:keepLines w:val="0"/>
                    <w:widowControl/>
                    <w:suppressLineNumbers w:val="0"/>
                    <w:jc w:val="center"/>
                    <w:textAlignment w:val="center"/>
                    <w:rPr>
                      <w:rFonts w:hint="eastAsia" w:cs="Times New Roman"/>
                      <w:i w:val="0"/>
                      <w:iCs w:val="0"/>
                      <w:color w:val="auto"/>
                      <w:spacing w:val="-6"/>
                      <w:kern w:val="0"/>
                      <w:sz w:val="21"/>
                      <w:szCs w:val="21"/>
                      <w:highlight w:val="none"/>
                      <w:u w:val="none"/>
                      <w:lang w:val="en-US" w:eastAsia="zh-CN" w:bidi="ar"/>
                    </w:rPr>
                  </w:pPr>
                  <w:r>
                    <w:rPr>
                      <w:rFonts w:hint="eastAsia" w:cs="Times New Roman"/>
                      <w:i w:val="0"/>
                      <w:iCs w:val="0"/>
                      <w:color w:val="auto"/>
                      <w:spacing w:val="-6"/>
                      <w:kern w:val="0"/>
                      <w:sz w:val="21"/>
                      <w:szCs w:val="21"/>
                      <w:highlight w:val="none"/>
                      <w:u w:val="none"/>
                      <w:lang w:val="en-US" w:eastAsia="zh-CN" w:bidi="ar"/>
                    </w:rPr>
                    <w:t>0.0094</w:t>
                  </w:r>
                </w:p>
              </w:tc>
              <w:tc>
                <w:tcPr>
                  <w:tcW w:w="1751" w:type="pct"/>
                  <w:tcBorders>
                    <w:top w:val="single" w:color="auto" w:sz="4" w:space="0"/>
                    <w:left w:val="single" w:color="auto" w:sz="4" w:space="0"/>
                    <w:bottom w:val="single" w:color="auto" w:sz="4" w:space="0"/>
                    <w:right w:val="single" w:color="auto" w:sz="4" w:space="0"/>
                  </w:tcBorders>
                  <w:shd w:val="clear" w:color="auto" w:fill="auto"/>
                  <w:vAlign w:val="center"/>
                </w:tcPr>
                <w:p w14:paraId="0C9136AF">
                  <w:pPr>
                    <w:keepNext w:val="0"/>
                    <w:keepLines w:val="0"/>
                    <w:widowControl/>
                    <w:suppressLineNumbers w:val="0"/>
                    <w:jc w:val="center"/>
                    <w:textAlignment w:val="center"/>
                    <w:rPr>
                      <w:rFonts w:hint="default" w:ascii="Times New Roman" w:hAnsi="Times New Roman" w:cs="Times New Roman"/>
                      <w:color w:val="auto"/>
                      <w:spacing w:val="-6"/>
                      <w:kern w:val="2"/>
                      <w:sz w:val="21"/>
                      <w:szCs w:val="21"/>
                      <w:highlight w:val="none"/>
                      <w:vertAlign w:val="baseline"/>
                      <w:lang w:val="en-US" w:eastAsia="zh-CN" w:bidi="ar-SA"/>
                    </w:rPr>
                  </w:pPr>
                  <w:r>
                    <w:rPr>
                      <w:rFonts w:hint="eastAsia" w:cs="Times New Roman"/>
                      <w:color w:val="auto"/>
                      <w:spacing w:val="-6"/>
                      <w:kern w:val="2"/>
                      <w:sz w:val="21"/>
                      <w:szCs w:val="21"/>
                      <w:highlight w:val="none"/>
                      <w:vertAlign w:val="baseline"/>
                      <w:lang w:val="en-US" w:eastAsia="zh-CN" w:bidi="ar-SA"/>
                    </w:rPr>
                    <w:t>0.00669</w:t>
                  </w:r>
                </w:p>
              </w:tc>
            </w:tr>
            <w:tr w14:paraId="785C76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38" w:type="pct"/>
                  <w:vMerge w:val="continue"/>
                  <w:tcBorders>
                    <w:left w:val="single" w:color="auto" w:sz="4" w:space="0"/>
                    <w:bottom w:val="single" w:color="auto" w:sz="4" w:space="0"/>
                    <w:right w:val="single" w:color="auto" w:sz="4" w:space="0"/>
                  </w:tcBorders>
                  <w:shd w:val="clear" w:color="auto" w:fill="auto"/>
                  <w:vAlign w:val="center"/>
                </w:tcPr>
                <w:p w14:paraId="124C29D0">
                  <w:pPr>
                    <w:keepNext w:val="0"/>
                    <w:keepLines w:val="0"/>
                    <w:pageBreakBefore w:val="0"/>
                    <w:widowControl/>
                    <w:kinsoku/>
                    <w:wordWrap/>
                    <w:overflowPunct/>
                    <w:topLinePunct w:val="0"/>
                    <w:autoSpaceDE/>
                    <w:autoSpaceDN/>
                    <w:bidi w:val="0"/>
                    <w:adjustRightInd w:val="0"/>
                    <w:snapToGrid/>
                    <w:spacing w:line="240" w:lineRule="auto"/>
                    <w:jc w:val="center"/>
                    <w:textAlignment w:val="auto"/>
                    <w:rPr>
                      <w:rFonts w:hint="eastAsia" w:ascii="Times New Roman" w:hAnsi="Times New Roman" w:cs="Times New Roman"/>
                      <w:color w:val="auto"/>
                      <w:spacing w:val="-6"/>
                      <w:kern w:val="2"/>
                      <w:sz w:val="21"/>
                      <w:szCs w:val="21"/>
                      <w:vertAlign w:val="baseline"/>
                      <w:lang w:val="en-US" w:eastAsia="zh-CN" w:bidi="ar-SA"/>
                    </w:rPr>
                  </w:pPr>
                </w:p>
              </w:tc>
              <w:tc>
                <w:tcPr>
                  <w:tcW w:w="1105" w:type="pct"/>
                  <w:tcBorders>
                    <w:top w:val="single" w:color="auto" w:sz="4" w:space="0"/>
                    <w:left w:val="single" w:color="auto" w:sz="4" w:space="0"/>
                    <w:bottom w:val="single" w:color="auto" w:sz="4" w:space="0"/>
                    <w:right w:val="single" w:color="auto" w:sz="4" w:space="0"/>
                  </w:tcBorders>
                  <w:shd w:val="clear" w:color="auto" w:fill="auto"/>
                  <w:vAlign w:val="center"/>
                </w:tcPr>
                <w:p w14:paraId="067F0446">
                  <w:pPr>
                    <w:keepNext w:val="0"/>
                    <w:keepLines w:val="0"/>
                    <w:pageBreakBefore w:val="0"/>
                    <w:widowControl/>
                    <w:kinsoku/>
                    <w:wordWrap/>
                    <w:overflowPunct/>
                    <w:topLinePunct w:val="0"/>
                    <w:autoSpaceDE/>
                    <w:autoSpaceDN/>
                    <w:bidi w:val="0"/>
                    <w:adjustRightInd w:val="0"/>
                    <w:snapToGrid/>
                    <w:spacing w:line="240" w:lineRule="auto"/>
                    <w:jc w:val="center"/>
                    <w:textAlignment w:val="auto"/>
                    <w:rPr>
                      <w:rFonts w:hint="eastAsia" w:ascii="Times New Roman" w:hAnsi="Times New Roman" w:cs="Times New Roman"/>
                      <w:color w:val="auto"/>
                      <w:spacing w:val="-6"/>
                      <w:sz w:val="21"/>
                      <w:szCs w:val="21"/>
                      <w:vertAlign w:val="baseline"/>
                      <w:lang w:val="en-US" w:eastAsia="zh-CN"/>
                    </w:rPr>
                  </w:pPr>
                  <w:r>
                    <w:rPr>
                      <w:rFonts w:hint="default" w:ascii="Times New Roman" w:hAnsi="Times New Roman" w:cs="Times New Roman"/>
                      <w:color w:val="auto"/>
                      <w:spacing w:val="-6"/>
                      <w:sz w:val="21"/>
                      <w:szCs w:val="21"/>
                      <w:vertAlign w:val="baseline"/>
                      <w:lang w:val="en-US" w:eastAsia="zh-CN"/>
                    </w:rPr>
                    <w:t>浓度（mg/m</w:t>
                  </w:r>
                  <w:r>
                    <w:rPr>
                      <w:rFonts w:hint="default" w:ascii="Times New Roman" w:hAnsi="Times New Roman" w:cs="Times New Roman"/>
                      <w:color w:val="auto"/>
                      <w:spacing w:val="-6"/>
                      <w:sz w:val="21"/>
                      <w:szCs w:val="21"/>
                      <w:vertAlign w:val="superscript"/>
                      <w:lang w:val="en-US" w:eastAsia="zh-CN"/>
                    </w:rPr>
                    <w:t>3</w:t>
                  </w:r>
                  <w:r>
                    <w:rPr>
                      <w:rFonts w:hint="default" w:ascii="Times New Roman" w:hAnsi="Times New Roman" w:cs="Times New Roman"/>
                      <w:color w:val="auto"/>
                      <w:spacing w:val="-6"/>
                      <w:sz w:val="21"/>
                      <w:szCs w:val="21"/>
                      <w:vertAlign w:val="baseline"/>
                      <w:lang w:val="en-US" w:eastAsia="zh-CN"/>
                    </w:rPr>
                    <w:t>）</w:t>
                  </w:r>
                </w:p>
              </w:tc>
              <w:tc>
                <w:tcPr>
                  <w:tcW w:w="752" w:type="pct"/>
                  <w:tcBorders>
                    <w:top w:val="single" w:color="auto" w:sz="4" w:space="0"/>
                    <w:left w:val="single" w:color="auto" w:sz="4" w:space="0"/>
                    <w:bottom w:val="single" w:color="auto" w:sz="4" w:space="0"/>
                    <w:right w:val="single" w:color="auto" w:sz="4" w:space="0"/>
                  </w:tcBorders>
                  <w:shd w:val="clear" w:color="auto" w:fill="auto"/>
                  <w:vAlign w:val="center"/>
                </w:tcPr>
                <w:p w14:paraId="08181122">
                  <w:pPr>
                    <w:keepNext w:val="0"/>
                    <w:keepLines w:val="0"/>
                    <w:widowControl/>
                    <w:suppressLineNumbers w:val="0"/>
                    <w:jc w:val="center"/>
                    <w:textAlignment w:val="center"/>
                    <w:rPr>
                      <w:rFonts w:hint="eastAsia" w:cs="Times New Roman"/>
                      <w:i w:val="0"/>
                      <w:iCs w:val="0"/>
                      <w:color w:val="auto"/>
                      <w:spacing w:val="-6"/>
                      <w:kern w:val="0"/>
                      <w:sz w:val="21"/>
                      <w:szCs w:val="21"/>
                      <w:highlight w:val="none"/>
                      <w:u w:val="none"/>
                      <w:lang w:val="en-US" w:eastAsia="zh-CN" w:bidi="ar"/>
                    </w:rPr>
                  </w:pPr>
                  <w:r>
                    <w:rPr>
                      <w:rFonts w:hint="eastAsia" w:cs="Times New Roman"/>
                      <w:i w:val="0"/>
                      <w:iCs w:val="0"/>
                      <w:color w:val="auto"/>
                      <w:spacing w:val="-6"/>
                      <w:kern w:val="0"/>
                      <w:sz w:val="21"/>
                      <w:szCs w:val="21"/>
                      <w:highlight w:val="none"/>
                      <w:u w:val="none"/>
                      <w:lang w:val="en-US" w:eastAsia="zh-CN" w:bidi="ar"/>
                    </w:rPr>
                    <w:t>9.2</w:t>
                  </w:r>
                </w:p>
              </w:tc>
              <w:tc>
                <w:tcPr>
                  <w:tcW w:w="752" w:type="pct"/>
                  <w:tcBorders>
                    <w:top w:val="single" w:color="auto" w:sz="4" w:space="0"/>
                    <w:left w:val="single" w:color="auto" w:sz="4" w:space="0"/>
                    <w:bottom w:val="single" w:color="auto" w:sz="4" w:space="0"/>
                    <w:right w:val="single" w:color="auto" w:sz="4" w:space="0"/>
                  </w:tcBorders>
                  <w:shd w:val="clear" w:color="auto" w:fill="auto"/>
                  <w:vAlign w:val="center"/>
                </w:tcPr>
                <w:p w14:paraId="6080BC45">
                  <w:pPr>
                    <w:keepNext w:val="0"/>
                    <w:keepLines w:val="0"/>
                    <w:widowControl/>
                    <w:suppressLineNumbers w:val="0"/>
                    <w:jc w:val="center"/>
                    <w:textAlignment w:val="center"/>
                    <w:rPr>
                      <w:rFonts w:hint="eastAsia" w:cs="Times New Roman"/>
                      <w:i w:val="0"/>
                      <w:iCs w:val="0"/>
                      <w:color w:val="auto"/>
                      <w:spacing w:val="-6"/>
                      <w:kern w:val="0"/>
                      <w:sz w:val="21"/>
                      <w:szCs w:val="21"/>
                      <w:highlight w:val="none"/>
                      <w:u w:val="none"/>
                      <w:lang w:val="en-US" w:eastAsia="zh-CN" w:bidi="ar"/>
                    </w:rPr>
                  </w:pPr>
                  <w:r>
                    <w:rPr>
                      <w:rFonts w:hint="eastAsia" w:cs="Times New Roman"/>
                      <w:i w:val="0"/>
                      <w:iCs w:val="0"/>
                      <w:color w:val="auto"/>
                      <w:spacing w:val="-6"/>
                      <w:kern w:val="0"/>
                      <w:sz w:val="21"/>
                      <w:szCs w:val="21"/>
                      <w:highlight w:val="none"/>
                      <w:u w:val="none"/>
                      <w:lang w:val="en-US" w:eastAsia="zh-CN" w:bidi="ar"/>
                    </w:rPr>
                    <w:t>0.61</w:t>
                  </w:r>
                </w:p>
              </w:tc>
              <w:tc>
                <w:tcPr>
                  <w:tcW w:w="1751" w:type="pct"/>
                  <w:tcBorders>
                    <w:top w:val="single" w:color="auto" w:sz="4" w:space="0"/>
                    <w:left w:val="single" w:color="auto" w:sz="4" w:space="0"/>
                    <w:bottom w:val="single" w:color="auto" w:sz="4" w:space="0"/>
                    <w:right w:val="single" w:color="auto" w:sz="4" w:space="0"/>
                  </w:tcBorders>
                  <w:shd w:val="clear" w:color="auto" w:fill="auto"/>
                  <w:vAlign w:val="center"/>
                </w:tcPr>
                <w:p w14:paraId="68A88807">
                  <w:pPr>
                    <w:keepNext w:val="0"/>
                    <w:keepLines w:val="0"/>
                    <w:widowControl/>
                    <w:suppressLineNumbers w:val="0"/>
                    <w:jc w:val="center"/>
                    <w:textAlignment w:val="center"/>
                    <w:rPr>
                      <w:rFonts w:hint="default" w:ascii="Times New Roman" w:hAnsi="Times New Roman" w:cs="Times New Roman"/>
                      <w:i w:val="0"/>
                      <w:iCs w:val="0"/>
                      <w:color w:val="auto"/>
                      <w:spacing w:val="-6"/>
                      <w:kern w:val="0"/>
                      <w:sz w:val="21"/>
                      <w:szCs w:val="21"/>
                      <w:highlight w:val="none"/>
                      <w:u w:val="none"/>
                      <w:lang w:val="en-US" w:eastAsia="zh-CN" w:bidi="ar"/>
                    </w:rPr>
                  </w:pPr>
                  <w:r>
                    <w:rPr>
                      <w:rFonts w:hint="eastAsia" w:cs="Times New Roman"/>
                      <w:i w:val="0"/>
                      <w:iCs w:val="0"/>
                      <w:color w:val="auto"/>
                      <w:spacing w:val="-6"/>
                      <w:kern w:val="0"/>
                      <w:sz w:val="21"/>
                      <w:szCs w:val="21"/>
                      <w:highlight w:val="none"/>
                      <w:u w:val="none"/>
                      <w:lang w:val="en-US" w:eastAsia="zh-CN" w:bidi="ar"/>
                    </w:rPr>
                    <w:t>4.62</w:t>
                  </w:r>
                </w:p>
              </w:tc>
            </w:tr>
            <w:tr w14:paraId="0466D8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5"/>
                  <w:tcBorders>
                    <w:top w:val="single" w:color="auto" w:sz="4" w:space="0"/>
                    <w:left w:val="single" w:color="auto" w:sz="4" w:space="0"/>
                    <w:bottom w:val="single" w:color="auto" w:sz="4" w:space="0"/>
                    <w:right w:val="single" w:color="auto" w:sz="4" w:space="0"/>
                  </w:tcBorders>
                  <w:shd w:val="clear" w:color="auto" w:fill="auto"/>
                  <w:vAlign w:val="center"/>
                </w:tcPr>
                <w:p w14:paraId="23D9B044">
                  <w:pPr>
                    <w:keepNext w:val="0"/>
                    <w:keepLines w:val="0"/>
                    <w:pageBreakBefore w:val="0"/>
                    <w:widowControl/>
                    <w:suppressLineNumbers w:val="0"/>
                    <w:kinsoku/>
                    <w:wordWrap/>
                    <w:overflowPunct/>
                    <w:topLinePunct w:val="0"/>
                    <w:autoSpaceDE/>
                    <w:autoSpaceDN/>
                    <w:bidi w:val="0"/>
                    <w:adjustRightInd/>
                    <w:snapToGrid/>
                    <w:ind w:firstLine="396" w:firstLineChars="200"/>
                    <w:jc w:val="left"/>
                    <w:textAlignment w:val="center"/>
                    <w:rPr>
                      <w:rFonts w:hint="default" w:ascii="Times New Roman" w:hAnsi="Times New Roman" w:eastAsia="宋体" w:cs="Times New Roman"/>
                      <w:color w:val="auto"/>
                      <w:spacing w:val="-6"/>
                      <w:sz w:val="21"/>
                      <w:szCs w:val="21"/>
                      <w:vertAlign w:val="baseline"/>
                      <w:lang w:val="en-US" w:eastAsia="zh-CN"/>
                    </w:rPr>
                  </w:pPr>
                  <w:r>
                    <w:rPr>
                      <w:rFonts w:hint="default" w:ascii="Times New Roman" w:hAnsi="Times New Roman" w:cs="Times New Roman"/>
                      <w:color w:val="auto"/>
                      <w:spacing w:val="-6"/>
                      <w:sz w:val="21"/>
                      <w:szCs w:val="21"/>
                      <w:vertAlign w:val="baseline"/>
                      <w:lang w:val="en-US" w:eastAsia="zh-CN"/>
                    </w:rPr>
                    <w:t>根据企业验收</w:t>
                  </w:r>
                  <w:r>
                    <w:rPr>
                      <w:rFonts w:hint="eastAsia" w:cs="Times New Roman"/>
                      <w:color w:val="auto"/>
                      <w:spacing w:val="-6"/>
                      <w:sz w:val="21"/>
                      <w:szCs w:val="21"/>
                      <w:vertAlign w:val="baseline"/>
                      <w:lang w:val="en-US" w:eastAsia="zh-CN"/>
                    </w:rPr>
                    <w:t>检测</w:t>
                  </w:r>
                  <w:r>
                    <w:rPr>
                      <w:rFonts w:hint="default" w:ascii="Times New Roman" w:hAnsi="Times New Roman" w:cs="Times New Roman"/>
                      <w:color w:val="auto"/>
                      <w:spacing w:val="-6"/>
                      <w:sz w:val="21"/>
                      <w:szCs w:val="21"/>
                      <w:vertAlign w:val="baseline"/>
                      <w:lang w:val="en-US" w:eastAsia="zh-CN"/>
                    </w:rPr>
                    <w:t>报告</w:t>
                  </w:r>
                  <w:r>
                    <w:rPr>
                      <w:rFonts w:hint="default" w:ascii="Times New Roman" w:hAnsi="Times New Roman" w:eastAsia="宋体" w:cs="Times New Roman"/>
                      <w:color w:val="auto"/>
                      <w:spacing w:val="-6"/>
                      <w:sz w:val="21"/>
                      <w:szCs w:val="21"/>
                      <w:vertAlign w:val="baseline"/>
                      <w:lang w:val="en-US" w:eastAsia="zh-CN"/>
                    </w:rPr>
                    <w:t>，碱洗塔对氯化氢的平均去除率为65.97%，对硫酸雾的平均去除率为63.63%，</w:t>
                  </w:r>
                  <w:r>
                    <w:rPr>
                      <w:rFonts w:hint="eastAsia" w:cs="Times New Roman"/>
                      <w:color w:val="auto"/>
                      <w:spacing w:val="-6"/>
                      <w:sz w:val="21"/>
                      <w:szCs w:val="21"/>
                      <w:vertAlign w:val="baseline"/>
                      <w:lang w:val="en-US" w:eastAsia="zh-CN"/>
                    </w:rPr>
                    <w:t>以此</w:t>
                  </w:r>
                  <w:r>
                    <w:rPr>
                      <w:rFonts w:hint="default" w:ascii="Times New Roman" w:hAnsi="Times New Roman" w:eastAsia="宋体" w:cs="Times New Roman"/>
                      <w:color w:val="auto"/>
                      <w:spacing w:val="-6"/>
                      <w:sz w:val="21"/>
                      <w:szCs w:val="21"/>
                      <w:vertAlign w:val="baseline"/>
                      <w:lang w:val="en-US" w:eastAsia="zh-CN"/>
                    </w:rPr>
                    <w:t>倒推现有项目污染物产生情况。</w:t>
                  </w:r>
                </w:p>
                <w:p w14:paraId="35FA209F">
                  <w:pPr>
                    <w:keepNext w:val="0"/>
                    <w:keepLines w:val="0"/>
                    <w:pageBreakBefore w:val="0"/>
                    <w:widowControl/>
                    <w:suppressLineNumbers w:val="0"/>
                    <w:kinsoku/>
                    <w:wordWrap/>
                    <w:overflowPunct/>
                    <w:topLinePunct w:val="0"/>
                    <w:autoSpaceDE/>
                    <w:autoSpaceDN/>
                    <w:bidi w:val="0"/>
                    <w:adjustRightInd/>
                    <w:snapToGrid/>
                    <w:ind w:firstLine="396" w:firstLineChars="200"/>
                    <w:jc w:val="left"/>
                    <w:textAlignment w:val="center"/>
                    <w:rPr>
                      <w:rFonts w:hint="default" w:ascii="Times New Roman" w:hAnsi="Times New Roman" w:eastAsia="宋体" w:cs="Times New Roman"/>
                      <w:color w:val="auto"/>
                      <w:spacing w:val="-6"/>
                      <w:sz w:val="21"/>
                      <w:szCs w:val="21"/>
                      <w:vertAlign w:val="baseline"/>
                      <w:lang w:val="en-US" w:eastAsia="zh-CN"/>
                    </w:rPr>
                  </w:pPr>
                  <w:r>
                    <w:rPr>
                      <w:rFonts w:hint="eastAsia" w:cs="Times New Roman"/>
                      <w:color w:val="auto"/>
                      <w:spacing w:val="-6"/>
                      <w:sz w:val="21"/>
                      <w:szCs w:val="21"/>
                      <w:vertAlign w:val="baseline"/>
                      <w:lang w:val="en-US" w:eastAsia="zh-CN"/>
                    </w:rPr>
                    <w:t>氯化氢、硫酸雾排放情况，VOCs的产生情况及排放情况均为2025年例行监测数据。</w:t>
                  </w:r>
                </w:p>
              </w:tc>
            </w:tr>
          </w:tbl>
          <w:p w14:paraId="40C4561B">
            <w:pPr>
              <w:keepNext w:val="0"/>
              <w:keepLines w:val="0"/>
              <w:pageBreakBefore w:val="0"/>
              <w:kinsoku/>
              <w:wordWrap/>
              <w:overflowPunct/>
              <w:topLinePunct w:val="0"/>
              <w:bidi w:val="0"/>
              <w:snapToGrid/>
              <w:spacing w:line="360" w:lineRule="auto"/>
              <w:ind w:firstLine="480"/>
              <w:jc w:val="left"/>
              <w:textAlignment w:val="auto"/>
              <w:rPr>
                <w:rFonts w:hint="eastAsia" w:cs="Times New Roman"/>
                <w:color w:val="auto"/>
                <w:kern w:val="0"/>
                <w:sz w:val="24"/>
                <w:szCs w:val="24"/>
                <w:highlight w:val="none"/>
                <w:lang w:val="en-US" w:eastAsia="zh-CN" w:bidi="ar"/>
              </w:rPr>
            </w:pPr>
            <w:r>
              <w:rPr>
                <w:rFonts w:hint="eastAsia" w:cs="Times New Roman"/>
                <w:color w:val="auto"/>
                <w:sz w:val="24"/>
                <w:szCs w:val="24"/>
                <w:highlight w:val="none"/>
                <w:lang w:val="en-US" w:eastAsia="zh-CN"/>
              </w:rPr>
              <w:t>从上表可以看出，搬迁后，项目废气经车间整体密闭+二级活性炭吸附后，DA001排气筒15m排空，VOCs排放浓度为4.62</w:t>
            </w:r>
            <w:r>
              <w:rPr>
                <w:rFonts w:hint="default" w:ascii="Times New Roman" w:hAnsi="Times New Roman" w:cs="Times New Roman"/>
                <w:color w:val="auto"/>
                <w:sz w:val="24"/>
                <w:szCs w:val="24"/>
                <w:lang w:val="en-US" w:eastAsia="zh-CN"/>
              </w:rPr>
              <w:t>mg/m</w:t>
            </w:r>
            <w:r>
              <w:rPr>
                <w:rFonts w:hint="default" w:ascii="Times New Roman" w:hAnsi="Times New Roman" w:cs="Times New Roman"/>
                <w:color w:val="auto"/>
                <w:sz w:val="24"/>
                <w:szCs w:val="24"/>
                <w:vertAlign w:val="superscript"/>
                <w:lang w:val="en-US" w:eastAsia="zh-CN"/>
              </w:rPr>
              <w:t>3</w:t>
            </w:r>
            <w:r>
              <w:rPr>
                <w:rFonts w:hint="default" w:ascii="Times New Roman" w:hAnsi="Times New Roman" w:cs="Times New Roman"/>
                <w:color w:val="auto"/>
                <w:sz w:val="24"/>
                <w:szCs w:val="24"/>
                <w:lang w:val="en-US" w:eastAsia="zh-CN"/>
              </w:rPr>
              <w:t>，</w:t>
            </w:r>
            <w:r>
              <w:rPr>
                <w:rFonts w:hint="eastAsia" w:cs="Times New Roman"/>
                <w:color w:val="auto"/>
                <w:sz w:val="24"/>
                <w:szCs w:val="24"/>
                <w:lang w:val="en-US" w:eastAsia="zh-CN"/>
              </w:rPr>
              <w:t>排放速率0.00669</w:t>
            </w:r>
            <w:r>
              <w:rPr>
                <w:rFonts w:hint="eastAsia" w:ascii="Times New Roman" w:hAnsi="Times New Roman" w:cs="Times New Roman"/>
                <w:color w:val="auto"/>
                <w:sz w:val="24"/>
                <w:szCs w:val="24"/>
                <w:lang w:val="en-US" w:eastAsia="zh-CN"/>
              </w:rPr>
              <w:t>kg/h</w:t>
            </w:r>
            <w:r>
              <w:rPr>
                <w:rFonts w:hint="eastAsia" w:cs="Times New Roman"/>
                <w:color w:val="auto"/>
                <w:sz w:val="24"/>
                <w:szCs w:val="24"/>
                <w:lang w:val="en-US" w:eastAsia="zh-CN"/>
              </w:rPr>
              <w:t>，满足</w:t>
            </w:r>
            <w:r>
              <w:rPr>
                <w:rFonts w:hint="default" w:ascii="Times New Roman" w:hAnsi="Times New Roman" w:cs="Times New Roman"/>
                <w:color w:val="auto"/>
                <w:sz w:val="24"/>
                <w:szCs w:val="24"/>
                <w:lang w:val="en-US" w:eastAsia="zh-CN"/>
              </w:rPr>
              <w:t>《挥发性有机物排放标准 第7部分：其他行业》</w:t>
            </w:r>
            <w:r>
              <w:rPr>
                <w:rFonts w:hint="default" w:ascii="Times New Roman" w:hAnsi="Times New Roman" w:eastAsia="宋体" w:cs="Times New Roman"/>
                <w:color w:val="auto"/>
                <w:kern w:val="0"/>
                <w:sz w:val="24"/>
                <w:szCs w:val="24"/>
                <w:lang w:val="en-US" w:eastAsia="zh-CN" w:bidi="ar"/>
              </w:rPr>
              <w:t>（DB37/2801.7-2019）表1中非重点行业Ⅱ时段的排</w:t>
            </w:r>
            <w:r>
              <w:rPr>
                <w:rFonts w:hint="default" w:ascii="Times New Roman" w:hAnsi="Times New Roman" w:eastAsia="宋体" w:cs="Times New Roman"/>
                <w:color w:val="auto"/>
                <w:kern w:val="0"/>
                <w:sz w:val="24"/>
                <w:szCs w:val="24"/>
                <w:highlight w:val="none"/>
                <w:lang w:val="en-US" w:eastAsia="zh-CN" w:bidi="ar"/>
              </w:rPr>
              <w:t>放限值</w:t>
            </w:r>
            <w:r>
              <w:rPr>
                <w:rFonts w:hint="eastAsia" w:ascii="Times New Roman" w:hAnsi="Times New Roman" w:cs="Times New Roman"/>
                <w:color w:val="auto"/>
                <w:kern w:val="0"/>
                <w:sz w:val="24"/>
                <w:szCs w:val="24"/>
                <w:highlight w:val="none"/>
                <w:lang w:val="en-US" w:eastAsia="zh-CN" w:bidi="ar"/>
              </w:rPr>
              <w:t>要求（即排放浓度＜</w:t>
            </w:r>
            <w:r>
              <w:rPr>
                <w:rFonts w:hint="eastAsia" w:ascii="Times New Roman" w:hAnsi="Times New Roman" w:cs="Times New Roman"/>
                <w:color w:val="auto"/>
                <w:sz w:val="24"/>
                <w:szCs w:val="24"/>
                <w:highlight w:val="none"/>
                <w:lang w:val="en-US" w:eastAsia="zh-CN"/>
              </w:rPr>
              <w:t>6</w:t>
            </w:r>
            <w:r>
              <w:rPr>
                <w:rFonts w:hint="default" w:ascii="Times New Roman" w:hAnsi="Times New Roman" w:cs="Times New Roman"/>
                <w:color w:val="auto"/>
                <w:sz w:val="24"/>
                <w:szCs w:val="24"/>
                <w:highlight w:val="none"/>
                <w:lang w:val="en-US" w:eastAsia="zh-CN"/>
              </w:rPr>
              <w:t>0mg/m</w:t>
            </w:r>
            <w:r>
              <w:rPr>
                <w:rFonts w:hint="default" w:ascii="Times New Roman" w:hAnsi="Times New Roman" w:cs="Times New Roman"/>
                <w:color w:val="auto"/>
                <w:sz w:val="24"/>
                <w:szCs w:val="24"/>
                <w:highlight w:val="none"/>
                <w:vertAlign w:val="superscript"/>
                <w:lang w:val="en-US" w:eastAsia="zh-CN"/>
              </w:rPr>
              <w:t>3</w:t>
            </w:r>
            <w:r>
              <w:rPr>
                <w:rFonts w:hint="default" w:ascii="Times New Roman" w:hAnsi="Times New Roman" w:cs="Times New Roman"/>
                <w:color w:val="auto"/>
                <w:sz w:val="24"/>
                <w:szCs w:val="24"/>
                <w:highlight w:val="none"/>
                <w:lang w:val="en-US" w:eastAsia="zh-CN"/>
              </w:rPr>
              <w:t>，</w:t>
            </w:r>
            <w:r>
              <w:rPr>
                <w:rFonts w:hint="eastAsia" w:cs="Times New Roman"/>
                <w:color w:val="auto"/>
                <w:sz w:val="24"/>
                <w:szCs w:val="24"/>
                <w:highlight w:val="none"/>
                <w:lang w:val="en-US" w:eastAsia="zh-CN"/>
              </w:rPr>
              <w:t>排放速率＜</w:t>
            </w:r>
            <w:r>
              <w:rPr>
                <w:rFonts w:hint="eastAsia" w:ascii="Times New Roman" w:hAnsi="Times New Roman" w:cs="Times New Roman"/>
                <w:color w:val="auto"/>
                <w:sz w:val="24"/>
                <w:szCs w:val="24"/>
                <w:highlight w:val="none"/>
                <w:lang w:val="en-US" w:eastAsia="zh-CN"/>
              </w:rPr>
              <w:t>3.0kg/h</w:t>
            </w:r>
            <w:r>
              <w:rPr>
                <w:rFonts w:hint="eastAsia" w:ascii="Times New Roman" w:hAnsi="Times New Roman" w:cs="Times New Roman"/>
                <w:color w:val="auto"/>
                <w:kern w:val="0"/>
                <w:sz w:val="24"/>
                <w:szCs w:val="24"/>
                <w:highlight w:val="none"/>
                <w:lang w:val="en-US" w:eastAsia="zh-CN" w:bidi="ar"/>
              </w:rPr>
              <w:t>）</w:t>
            </w:r>
            <w:r>
              <w:rPr>
                <w:rFonts w:hint="eastAsia" w:cs="Times New Roman"/>
                <w:color w:val="auto"/>
                <w:kern w:val="0"/>
                <w:sz w:val="24"/>
                <w:szCs w:val="24"/>
                <w:highlight w:val="none"/>
                <w:lang w:val="en-US" w:eastAsia="zh-CN" w:bidi="ar"/>
              </w:rPr>
              <w:t>；</w:t>
            </w:r>
          </w:p>
          <w:p w14:paraId="201FDC88">
            <w:pPr>
              <w:keepNext w:val="0"/>
              <w:keepLines w:val="0"/>
              <w:pageBreakBefore w:val="0"/>
              <w:kinsoku/>
              <w:wordWrap/>
              <w:overflowPunct/>
              <w:topLinePunct w:val="0"/>
              <w:bidi w:val="0"/>
              <w:snapToGrid/>
              <w:spacing w:line="360" w:lineRule="auto"/>
              <w:ind w:firstLine="480"/>
              <w:jc w:val="left"/>
              <w:textAlignment w:val="auto"/>
              <w:rPr>
                <w:rFonts w:hint="default" w:cs="Times New Roman"/>
                <w:color w:val="auto"/>
                <w:kern w:val="0"/>
                <w:sz w:val="24"/>
                <w:szCs w:val="24"/>
                <w:lang w:val="en-US" w:eastAsia="zh-CN" w:bidi="ar"/>
              </w:rPr>
            </w:pPr>
            <w:r>
              <w:rPr>
                <w:rFonts w:hint="eastAsia" w:cs="Times New Roman"/>
                <w:color w:val="auto"/>
                <w:kern w:val="0"/>
                <w:sz w:val="24"/>
                <w:szCs w:val="24"/>
                <w:highlight w:val="none"/>
                <w:lang w:val="en-US" w:eastAsia="zh-CN" w:bidi="ar"/>
              </w:rPr>
              <w:t>酸性废气经车间整体密闭+碱喷淋处理后，DA002排气筒15m排空。氯化氢排放浓度为9.2</w:t>
            </w:r>
            <w:r>
              <w:rPr>
                <w:rFonts w:hint="default" w:ascii="Times New Roman" w:hAnsi="Times New Roman" w:cs="Times New Roman"/>
                <w:color w:val="auto"/>
                <w:sz w:val="24"/>
                <w:szCs w:val="24"/>
                <w:highlight w:val="none"/>
                <w:lang w:val="en-US" w:eastAsia="zh-CN"/>
              </w:rPr>
              <w:t>mg/m</w:t>
            </w:r>
            <w:r>
              <w:rPr>
                <w:rFonts w:hint="default" w:ascii="Times New Roman" w:hAnsi="Times New Roman" w:cs="Times New Roman"/>
                <w:color w:val="auto"/>
                <w:sz w:val="24"/>
                <w:szCs w:val="24"/>
                <w:highlight w:val="none"/>
                <w:vertAlign w:val="superscript"/>
                <w:lang w:val="en-US" w:eastAsia="zh-CN"/>
              </w:rPr>
              <w:t>3</w:t>
            </w:r>
            <w:r>
              <w:rPr>
                <w:rFonts w:hint="default" w:ascii="Times New Roman" w:hAnsi="Times New Roman" w:cs="Times New Roman"/>
                <w:color w:val="auto"/>
                <w:sz w:val="24"/>
                <w:szCs w:val="24"/>
                <w:highlight w:val="none"/>
                <w:lang w:val="en-US" w:eastAsia="zh-CN"/>
              </w:rPr>
              <w:t>，</w:t>
            </w:r>
            <w:r>
              <w:rPr>
                <w:rFonts w:hint="eastAsia" w:cs="Times New Roman"/>
                <w:color w:val="auto"/>
                <w:sz w:val="24"/>
                <w:szCs w:val="24"/>
                <w:highlight w:val="none"/>
                <w:lang w:val="en-US" w:eastAsia="zh-CN"/>
              </w:rPr>
              <w:t>排放速率0.0187</w:t>
            </w:r>
            <w:r>
              <w:rPr>
                <w:rFonts w:hint="eastAsia" w:ascii="Times New Roman" w:hAnsi="Times New Roman" w:cs="Times New Roman"/>
                <w:color w:val="auto"/>
                <w:sz w:val="24"/>
                <w:szCs w:val="24"/>
                <w:highlight w:val="none"/>
                <w:lang w:val="en-US" w:eastAsia="zh-CN"/>
              </w:rPr>
              <w:t>kg/h</w:t>
            </w:r>
            <w:r>
              <w:rPr>
                <w:rFonts w:hint="eastAsia" w:cs="Times New Roman"/>
                <w:color w:val="auto"/>
                <w:sz w:val="24"/>
                <w:szCs w:val="24"/>
                <w:highlight w:val="none"/>
                <w:lang w:val="en-US" w:eastAsia="zh-CN"/>
              </w:rPr>
              <w:t>，满足《大气污染物综合排放标准》（GB16297-1996）表2中氯化氢排放限值（即</w:t>
            </w:r>
            <w:r>
              <w:rPr>
                <w:rFonts w:hint="eastAsia" w:ascii="Times New Roman" w:hAnsi="Times New Roman" w:cs="Times New Roman"/>
                <w:color w:val="auto"/>
                <w:kern w:val="0"/>
                <w:sz w:val="24"/>
                <w:szCs w:val="24"/>
                <w:highlight w:val="none"/>
                <w:lang w:val="en-US" w:eastAsia="zh-CN" w:bidi="ar"/>
              </w:rPr>
              <w:t>排放浓度＜</w:t>
            </w:r>
            <w:r>
              <w:rPr>
                <w:rFonts w:hint="eastAsia" w:cs="Times New Roman"/>
                <w:color w:val="auto"/>
                <w:sz w:val="24"/>
                <w:szCs w:val="24"/>
                <w:highlight w:val="none"/>
                <w:lang w:val="en-US" w:eastAsia="zh-CN"/>
              </w:rPr>
              <w:t>100</w:t>
            </w:r>
            <w:r>
              <w:rPr>
                <w:rFonts w:hint="default" w:ascii="Times New Roman" w:hAnsi="Times New Roman" w:cs="Times New Roman"/>
                <w:color w:val="auto"/>
                <w:sz w:val="24"/>
                <w:szCs w:val="24"/>
                <w:highlight w:val="none"/>
                <w:lang w:val="en-US" w:eastAsia="zh-CN"/>
              </w:rPr>
              <w:t>mg/m</w:t>
            </w:r>
            <w:r>
              <w:rPr>
                <w:rFonts w:hint="default" w:ascii="Times New Roman" w:hAnsi="Times New Roman" w:cs="Times New Roman"/>
                <w:color w:val="auto"/>
                <w:sz w:val="24"/>
                <w:szCs w:val="24"/>
                <w:highlight w:val="none"/>
                <w:vertAlign w:val="superscript"/>
                <w:lang w:val="en-US" w:eastAsia="zh-CN"/>
              </w:rPr>
              <w:t>3</w:t>
            </w:r>
            <w:r>
              <w:rPr>
                <w:rFonts w:hint="default" w:ascii="Times New Roman" w:hAnsi="Times New Roman" w:cs="Times New Roman"/>
                <w:color w:val="auto"/>
                <w:sz w:val="24"/>
                <w:szCs w:val="24"/>
                <w:highlight w:val="none"/>
                <w:lang w:val="en-US" w:eastAsia="zh-CN"/>
              </w:rPr>
              <w:t>，</w:t>
            </w:r>
            <w:r>
              <w:rPr>
                <w:rFonts w:hint="eastAsia" w:cs="Times New Roman"/>
                <w:color w:val="auto"/>
                <w:sz w:val="24"/>
                <w:szCs w:val="24"/>
                <w:highlight w:val="none"/>
                <w:lang w:val="en-US" w:eastAsia="zh-CN"/>
              </w:rPr>
              <w:t>排放速率＜0.26</w:t>
            </w:r>
            <w:r>
              <w:rPr>
                <w:rFonts w:hint="eastAsia" w:ascii="Times New Roman" w:hAnsi="Times New Roman" w:cs="Times New Roman"/>
                <w:color w:val="auto"/>
                <w:sz w:val="24"/>
                <w:szCs w:val="24"/>
                <w:highlight w:val="none"/>
                <w:lang w:val="en-US" w:eastAsia="zh-CN"/>
              </w:rPr>
              <w:t>kg/h</w:t>
            </w:r>
            <w:r>
              <w:rPr>
                <w:rFonts w:hint="eastAsia" w:cs="Times New Roman"/>
                <w:color w:val="auto"/>
                <w:sz w:val="24"/>
                <w:szCs w:val="24"/>
                <w:highlight w:val="none"/>
                <w:lang w:val="en-US" w:eastAsia="zh-CN"/>
              </w:rPr>
              <w:t>）；硫酸雾</w:t>
            </w:r>
            <w:r>
              <w:rPr>
                <w:rFonts w:hint="eastAsia" w:cs="Times New Roman"/>
                <w:color w:val="auto"/>
                <w:kern w:val="0"/>
                <w:sz w:val="24"/>
                <w:szCs w:val="24"/>
                <w:highlight w:val="none"/>
                <w:lang w:val="en-US" w:eastAsia="zh-CN" w:bidi="ar"/>
              </w:rPr>
              <w:t>排放浓度为</w:t>
            </w:r>
            <w:r>
              <w:rPr>
                <w:rFonts w:hint="eastAsia" w:cs="Times New Roman"/>
                <w:color w:val="auto"/>
                <w:sz w:val="24"/>
                <w:szCs w:val="24"/>
                <w:highlight w:val="none"/>
                <w:lang w:val="en-US" w:eastAsia="zh-CN"/>
              </w:rPr>
              <w:t>0.61</w:t>
            </w:r>
            <w:r>
              <w:rPr>
                <w:rFonts w:hint="default" w:ascii="Times New Roman" w:hAnsi="Times New Roman" w:cs="Times New Roman"/>
                <w:color w:val="auto"/>
                <w:sz w:val="24"/>
                <w:szCs w:val="24"/>
                <w:highlight w:val="none"/>
                <w:lang w:val="en-US" w:eastAsia="zh-CN"/>
              </w:rPr>
              <w:t>mg/m</w:t>
            </w:r>
            <w:r>
              <w:rPr>
                <w:rFonts w:hint="default" w:ascii="Times New Roman" w:hAnsi="Times New Roman" w:cs="Times New Roman"/>
                <w:color w:val="auto"/>
                <w:sz w:val="24"/>
                <w:szCs w:val="24"/>
                <w:highlight w:val="none"/>
                <w:vertAlign w:val="superscript"/>
                <w:lang w:val="en-US" w:eastAsia="zh-CN"/>
              </w:rPr>
              <w:t>3</w:t>
            </w:r>
            <w:r>
              <w:rPr>
                <w:rFonts w:hint="default" w:ascii="Times New Roman" w:hAnsi="Times New Roman" w:cs="Times New Roman"/>
                <w:color w:val="auto"/>
                <w:sz w:val="24"/>
                <w:szCs w:val="24"/>
                <w:highlight w:val="none"/>
                <w:lang w:val="en-US" w:eastAsia="zh-CN"/>
              </w:rPr>
              <w:t>，</w:t>
            </w:r>
            <w:r>
              <w:rPr>
                <w:rFonts w:hint="eastAsia" w:cs="Times New Roman"/>
                <w:color w:val="auto"/>
                <w:sz w:val="24"/>
                <w:szCs w:val="24"/>
                <w:highlight w:val="none"/>
                <w:lang w:val="en-US" w:eastAsia="zh-CN"/>
              </w:rPr>
              <w:t>排放速率0.0094</w:t>
            </w:r>
            <w:r>
              <w:rPr>
                <w:rFonts w:hint="eastAsia" w:ascii="Times New Roman" w:hAnsi="Times New Roman" w:cs="Times New Roman"/>
                <w:color w:val="auto"/>
                <w:sz w:val="24"/>
                <w:szCs w:val="24"/>
                <w:highlight w:val="none"/>
                <w:lang w:val="en-US" w:eastAsia="zh-CN"/>
              </w:rPr>
              <w:t>kg/h</w:t>
            </w:r>
            <w:r>
              <w:rPr>
                <w:rFonts w:hint="eastAsia" w:cs="Times New Roman"/>
                <w:color w:val="auto"/>
                <w:sz w:val="24"/>
                <w:szCs w:val="24"/>
                <w:highlight w:val="none"/>
                <w:lang w:val="en-US" w:eastAsia="zh-CN"/>
              </w:rPr>
              <w:t>，满足《大气污染物综合排放标准》（GB16297-1996）表2中硫酸雾排放限值（即</w:t>
            </w:r>
            <w:r>
              <w:rPr>
                <w:rFonts w:hint="eastAsia" w:ascii="Times New Roman" w:hAnsi="Times New Roman" w:cs="Times New Roman"/>
                <w:color w:val="auto"/>
                <w:kern w:val="0"/>
                <w:sz w:val="24"/>
                <w:szCs w:val="24"/>
                <w:highlight w:val="none"/>
                <w:lang w:val="en-US" w:eastAsia="zh-CN" w:bidi="ar"/>
              </w:rPr>
              <w:t>排放浓度＜</w:t>
            </w:r>
            <w:r>
              <w:rPr>
                <w:rFonts w:hint="eastAsia" w:cs="Times New Roman"/>
                <w:color w:val="auto"/>
                <w:sz w:val="24"/>
                <w:szCs w:val="24"/>
                <w:highlight w:val="none"/>
                <w:lang w:val="en-US" w:eastAsia="zh-CN"/>
              </w:rPr>
              <w:t>45</w:t>
            </w:r>
            <w:r>
              <w:rPr>
                <w:rFonts w:hint="default" w:ascii="Times New Roman" w:hAnsi="Times New Roman" w:cs="Times New Roman"/>
                <w:color w:val="auto"/>
                <w:sz w:val="24"/>
                <w:szCs w:val="24"/>
                <w:highlight w:val="none"/>
                <w:lang w:val="en-US" w:eastAsia="zh-CN"/>
              </w:rPr>
              <w:t>mg/m</w:t>
            </w:r>
            <w:r>
              <w:rPr>
                <w:rFonts w:hint="default" w:ascii="Times New Roman" w:hAnsi="Times New Roman" w:cs="Times New Roman"/>
                <w:color w:val="auto"/>
                <w:sz w:val="24"/>
                <w:szCs w:val="24"/>
                <w:highlight w:val="none"/>
                <w:vertAlign w:val="superscript"/>
                <w:lang w:val="en-US" w:eastAsia="zh-CN"/>
              </w:rPr>
              <w:t>3</w:t>
            </w:r>
            <w:r>
              <w:rPr>
                <w:rFonts w:hint="default" w:ascii="Times New Roman" w:hAnsi="Times New Roman" w:cs="Times New Roman"/>
                <w:color w:val="auto"/>
                <w:sz w:val="24"/>
                <w:szCs w:val="24"/>
                <w:highlight w:val="none"/>
                <w:lang w:val="en-US" w:eastAsia="zh-CN"/>
              </w:rPr>
              <w:t>，</w:t>
            </w:r>
            <w:r>
              <w:rPr>
                <w:rFonts w:hint="eastAsia" w:cs="Times New Roman"/>
                <w:color w:val="auto"/>
                <w:sz w:val="24"/>
                <w:szCs w:val="24"/>
                <w:highlight w:val="none"/>
                <w:lang w:val="en-US" w:eastAsia="zh-CN"/>
              </w:rPr>
              <w:t>排放速率＜1.5</w:t>
            </w:r>
            <w:r>
              <w:rPr>
                <w:rFonts w:hint="eastAsia" w:ascii="Times New Roman" w:hAnsi="Times New Roman" w:cs="Times New Roman"/>
                <w:color w:val="auto"/>
                <w:sz w:val="24"/>
                <w:szCs w:val="24"/>
                <w:highlight w:val="none"/>
                <w:lang w:val="en-US" w:eastAsia="zh-CN"/>
              </w:rPr>
              <w:t>kg/h</w:t>
            </w:r>
            <w:r>
              <w:rPr>
                <w:rFonts w:hint="eastAsia" w:cs="Times New Roman"/>
                <w:color w:val="auto"/>
                <w:sz w:val="24"/>
                <w:szCs w:val="24"/>
                <w:highlight w:val="none"/>
                <w:lang w:val="en-US" w:eastAsia="zh-CN"/>
              </w:rPr>
              <w:t>）。</w:t>
            </w:r>
          </w:p>
          <w:p w14:paraId="000F08D7">
            <w:pPr>
              <w:keepNext w:val="0"/>
              <w:keepLines w:val="0"/>
              <w:pageBreakBefore w:val="0"/>
              <w:kinsoku/>
              <w:wordWrap/>
              <w:overflowPunct/>
              <w:topLinePunct w:val="0"/>
              <w:bidi w:val="0"/>
              <w:snapToGrid/>
              <w:spacing w:line="360" w:lineRule="auto"/>
              <w:ind w:firstLine="480"/>
              <w:jc w:val="left"/>
              <w:textAlignment w:val="auto"/>
              <w:rPr>
                <w:rFonts w:hint="default" w:cs="Times New Roman"/>
                <w:color w:val="auto"/>
                <w:sz w:val="24"/>
                <w:szCs w:val="24"/>
                <w:highlight w:val="none"/>
                <w:lang w:val="en-US" w:eastAsia="zh-CN"/>
              </w:rPr>
            </w:pPr>
            <w:r>
              <w:rPr>
                <w:rFonts w:hint="eastAsia" w:cs="Times New Roman"/>
                <w:color w:val="auto"/>
                <w:sz w:val="24"/>
                <w:szCs w:val="24"/>
                <w:highlight w:val="none"/>
                <w:lang w:val="en-US" w:eastAsia="zh-CN"/>
              </w:rPr>
              <w:t>（2）无组织废气</w:t>
            </w:r>
          </w:p>
          <w:p w14:paraId="51AA2F8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cs="Times New Roman"/>
                <w:color w:val="auto"/>
                <w:sz w:val="24"/>
                <w:szCs w:val="24"/>
                <w:highlight w:val="none"/>
                <w:lang w:val="en-US" w:eastAsia="zh-CN"/>
              </w:rPr>
            </w:pPr>
            <w:r>
              <w:rPr>
                <w:rFonts w:hint="eastAsia" w:cs="Times New Roman"/>
                <w:color w:val="auto"/>
                <w:sz w:val="24"/>
                <w:szCs w:val="24"/>
                <w:highlight w:val="none"/>
                <w:lang w:val="en-US" w:eastAsia="zh-CN"/>
              </w:rPr>
              <w:t>项目采用车间整体密闭+二级活性炭吸附工艺处理产生的有机废气，少量未被收集的废气以无组织形式排放；酸性废气采用车间整体密闭+碱喷淋工艺处理。收集效率均按85%计，则无组织废气产生量为氯化氢0.085t/a，硫酸雾为0.04t/a，VOCs为0.016t/a。类比现有项目无组织排放浓度，</w:t>
            </w:r>
            <w:r>
              <w:rPr>
                <w:rFonts w:hint="eastAsia" w:cs="Times New Roman"/>
                <w:color w:val="auto"/>
                <w:sz w:val="24"/>
                <w:highlight w:val="none"/>
                <w:lang w:val="en-US" w:eastAsia="zh-CN"/>
              </w:rPr>
              <w:t>无组织排放的VOCs（以非甲烷总烃计）厂界浓度</w:t>
            </w:r>
            <w:r>
              <w:rPr>
                <w:rFonts w:hint="eastAsia" w:ascii="Times New Roman" w:hAnsi="Times New Roman" w:cs="Times New Roman"/>
                <w:color w:val="auto"/>
                <w:kern w:val="0"/>
                <w:sz w:val="24"/>
                <w:szCs w:val="24"/>
                <w:highlight w:val="none"/>
                <w:lang w:val="en-US" w:eastAsia="zh-CN" w:bidi="ar"/>
              </w:rPr>
              <w:t>＜</w:t>
            </w:r>
            <w:r>
              <w:rPr>
                <w:rFonts w:hint="eastAsia" w:cs="Times New Roman"/>
                <w:color w:val="auto"/>
                <w:sz w:val="24"/>
                <w:szCs w:val="24"/>
                <w:highlight w:val="none"/>
                <w:lang w:val="en-US" w:eastAsia="zh-CN"/>
              </w:rPr>
              <w:t>2.0</w:t>
            </w:r>
            <w:r>
              <w:rPr>
                <w:rFonts w:hint="default" w:ascii="Times New Roman" w:hAnsi="Times New Roman" w:cs="Times New Roman"/>
                <w:color w:val="auto"/>
                <w:sz w:val="24"/>
                <w:szCs w:val="24"/>
                <w:highlight w:val="none"/>
                <w:lang w:val="en-US" w:eastAsia="zh-CN"/>
              </w:rPr>
              <w:t>mg/m</w:t>
            </w:r>
            <w:r>
              <w:rPr>
                <w:rFonts w:hint="default" w:ascii="Times New Roman" w:hAnsi="Times New Roman" w:cs="Times New Roman"/>
                <w:color w:val="auto"/>
                <w:sz w:val="24"/>
                <w:szCs w:val="24"/>
                <w:highlight w:val="none"/>
                <w:vertAlign w:val="superscript"/>
                <w:lang w:val="en-US" w:eastAsia="zh-CN"/>
              </w:rPr>
              <w:t>3</w:t>
            </w:r>
            <w:r>
              <w:rPr>
                <w:rFonts w:hint="default" w:ascii="Times New Roman" w:hAnsi="Times New Roman" w:cs="Times New Roman"/>
                <w:color w:val="auto"/>
                <w:sz w:val="24"/>
                <w:szCs w:val="24"/>
                <w:highlight w:val="none"/>
                <w:lang w:val="en-US" w:eastAsia="zh-CN"/>
              </w:rPr>
              <w:t>，满足《挥发性有机物排放标准 第7部分：其他行业》</w:t>
            </w:r>
            <w:r>
              <w:rPr>
                <w:rFonts w:hint="default" w:ascii="Times New Roman" w:hAnsi="Times New Roman" w:eastAsia="宋体" w:cs="Times New Roman"/>
                <w:color w:val="auto"/>
                <w:kern w:val="0"/>
                <w:sz w:val="24"/>
                <w:szCs w:val="24"/>
                <w:highlight w:val="none"/>
                <w:lang w:val="en-US" w:eastAsia="zh-CN" w:bidi="ar"/>
              </w:rPr>
              <w:t>（DB37/2801.7-2019）表</w:t>
            </w:r>
            <w:r>
              <w:rPr>
                <w:rFonts w:hint="eastAsia" w:cs="Times New Roman"/>
                <w:color w:val="auto"/>
                <w:kern w:val="0"/>
                <w:sz w:val="24"/>
                <w:szCs w:val="24"/>
                <w:highlight w:val="none"/>
                <w:lang w:val="en-US" w:eastAsia="zh-CN" w:bidi="ar"/>
              </w:rPr>
              <w:t>2</w:t>
            </w:r>
            <w:r>
              <w:rPr>
                <w:rFonts w:hint="default" w:ascii="Times New Roman" w:hAnsi="Times New Roman" w:eastAsia="宋体" w:cs="Times New Roman"/>
                <w:color w:val="auto"/>
                <w:kern w:val="0"/>
                <w:sz w:val="24"/>
                <w:szCs w:val="24"/>
                <w:highlight w:val="none"/>
                <w:lang w:val="en-US" w:eastAsia="zh-CN" w:bidi="ar"/>
              </w:rPr>
              <w:t>中</w:t>
            </w:r>
            <w:r>
              <w:rPr>
                <w:rFonts w:hint="eastAsia" w:cs="Times New Roman"/>
                <w:color w:val="auto"/>
                <w:kern w:val="0"/>
                <w:sz w:val="24"/>
                <w:szCs w:val="24"/>
                <w:highlight w:val="none"/>
                <w:lang w:val="en-US" w:eastAsia="zh-CN" w:bidi="ar"/>
              </w:rPr>
              <w:t>厂界监控点浓度限值</w:t>
            </w:r>
            <w:r>
              <w:rPr>
                <w:rFonts w:hint="eastAsia" w:cs="Times New Roman"/>
                <w:color w:val="auto"/>
                <w:sz w:val="24"/>
                <w:szCs w:val="24"/>
                <w:highlight w:val="none"/>
                <w:lang w:val="en-US" w:eastAsia="zh-CN"/>
              </w:rPr>
              <w:t>；</w:t>
            </w:r>
            <w:r>
              <w:rPr>
                <w:rFonts w:hint="eastAsia" w:cs="Times New Roman"/>
                <w:color w:val="auto"/>
                <w:sz w:val="24"/>
                <w:highlight w:val="none"/>
                <w:lang w:val="en-US" w:eastAsia="zh-CN"/>
              </w:rPr>
              <w:t>无组织排放的氯化氢厂界浓度</w:t>
            </w:r>
            <w:r>
              <w:rPr>
                <w:rFonts w:hint="eastAsia" w:ascii="Times New Roman" w:hAnsi="Times New Roman" w:cs="Times New Roman"/>
                <w:color w:val="auto"/>
                <w:kern w:val="0"/>
                <w:sz w:val="24"/>
                <w:szCs w:val="24"/>
                <w:highlight w:val="none"/>
                <w:lang w:val="en-US" w:eastAsia="zh-CN" w:bidi="ar"/>
              </w:rPr>
              <w:t>＜</w:t>
            </w:r>
            <w:r>
              <w:rPr>
                <w:rFonts w:hint="eastAsia" w:cs="Times New Roman"/>
                <w:color w:val="auto"/>
                <w:sz w:val="24"/>
                <w:szCs w:val="24"/>
                <w:highlight w:val="none"/>
                <w:lang w:val="en-US" w:eastAsia="zh-CN"/>
              </w:rPr>
              <w:t>0.2</w:t>
            </w:r>
            <w:r>
              <w:rPr>
                <w:rFonts w:hint="default" w:ascii="Times New Roman" w:hAnsi="Times New Roman" w:cs="Times New Roman"/>
                <w:color w:val="auto"/>
                <w:sz w:val="24"/>
                <w:szCs w:val="24"/>
                <w:highlight w:val="none"/>
                <w:lang w:val="en-US" w:eastAsia="zh-CN"/>
              </w:rPr>
              <w:t>mg/m</w:t>
            </w:r>
            <w:r>
              <w:rPr>
                <w:rFonts w:hint="default" w:ascii="Times New Roman" w:hAnsi="Times New Roman" w:cs="Times New Roman"/>
                <w:color w:val="auto"/>
                <w:sz w:val="24"/>
                <w:szCs w:val="24"/>
                <w:highlight w:val="none"/>
                <w:vertAlign w:val="superscript"/>
                <w:lang w:val="en-US" w:eastAsia="zh-CN"/>
              </w:rPr>
              <w:t>3</w:t>
            </w:r>
            <w:r>
              <w:rPr>
                <w:rFonts w:hint="default" w:ascii="Times New Roman" w:hAnsi="Times New Roman" w:cs="Times New Roman"/>
                <w:color w:val="auto"/>
                <w:sz w:val="24"/>
                <w:szCs w:val="24"/>
                <w:highlight w:val="none"/>
                <w:lang w:val="en-US" w:eastAsia="zh-CN"/>
              </w:rPr>
              <w:t>，</w:t>
            </w:r>
            <w:r>
              <w:rPr>
                <w:rFonts w:hint="eastAsia" w:cs="Times New Roman"/>
                <w:color w:val="auto"/>
                <w:sz w:val="24"/>
                <w:szCs w:val="24"/>
                <w:highlight w:val="none"/>
                <w:lang w:val="en-US" w:eastAsia="zh-CN"/>
              </w:rPr>
              <w:t>满足《大气污染物综合排放标准》（GB16297-1996）表2中氯化氢周界外浓度排放限值；</w:t>
            </w:r>
            <w:r>
              <w:rPr>
                <w:rFonts w:hint="eastAsia" w:cs="Times New Roman"/>
                <w:color w:val="auto"/>
                <w:sz w:val="24"/>
                <w:highlight w:val="none"/>
                <w:lang w:val="en-US" w:eastAsia="zh-CN"/>
              </w:rPr>
              <w:t>无组织排放的硫酸雾厂界浓度</w:t>
            </w:r>
            <w:r>
              <w:rPr>
                <w:rFonts w:hint="eastAsia" w:ascii="Times New Roman" w:hAnsi="Times New Roman" w:cs="Times New Roman"/>
                <w:color w:val="auto"/>
                <w:kern w:val="0"/>
                <w:sz w:val="24"/>
                <w:szCs w:val="24"/>
                <w:highlight w:val="none"/>
                <w:lang w:val="en-US" w:eastAsia="zh-CN" w:bidi="ar"/>
              </w:rPr>
              <w:t>＜</w:t>
            </w:r>
            <w:r>
              <w:rPr>
                <w:rFonts w:hint="eastAsia" w:cs="Times New Roman"/>
                <w:color w:val="auto"/>
                <w:sz w:val="24"/>
                <w:szCs w:val="24"/>
                <w:highlight w:val="none"/>
                <w:lang w:val="en-US" w:eastAsia="zh-CN"/>
              </w:rPr>
              <w:t>1.2</w:t>
            </w:r>
            <w:r>
              <w:rPr>
                <w:rFonts w:hint="default" w:ascii="Times New Roman" w:hAnsi="Times New Roman" w:cs="Times New Roman"/>
                <w:color w:val="auto"/>
                <w:sz w:val="24"/>
                <w:szCs w:val="24"/>
                <w:highlight w:val="none"/>
                <w:lang w:val="en-US" w:eastAsia="zh-CN"/>
              </w:rPr>
              <w:t>mg/m</w:t>
            </w:r>
            <w:r>
              <w:rPr>
                <w:rFonts w:hint="default" w:ascii="Times New Roman" w:hAnsi="Times New Roman" w:cs="Times New Roman"/>
                <w:color w:val="auto"/>
                <w:sz w:val="24"/>
                <w:szCs w:val="24"/>
                <w:highlight w:val="none"/>
                <w:vertAlign w:val="superscript"/>
                <w:lang w:val="en-US" w:eastAsia="zh-CN"/>
              </w:rPr>
              <w:t>3</w:t>
            </w:r>
            <w:r>
              <w:rPr>
                <w:rFonts w:hint="default" w:ascii="Times New Roman" w:hAnsi="Times New Roman" w:cs="Times New Roman"/>
                <w:color w:val="auto"/>
                <w:sz w:val="24"/>
                <w:szCs w:val="24"/>
                <w:highlight w:val="none"/>
                <w:lang w:val="en-US" w:eastAsia="zh-CN"/>
              </w:rPr>
              <w:t>，</w:t>
            </w:r>
            <w:r>
              <w:rPr>
                <w:rFonts w:hint="eastAsia" w:cs="Times New Roman"/>
                <w:color w:val="auto"/>
                <w:sz w:val="24"/>
                <w:szCs w:val="24"/>
                <w:highlight w:val="none"/>
                <w:lang w:val="en-US" w:eastAsia="zh-CN"/>
              </w:rPr>
              <w:t>满足《大气污染物综合排放标准》（GB16297-1996）表2中硫酸</w:t>
            </w:r>
            <w:r>
              <w:rPr>
                <w:rFonts w:hint="eastAsia" w:cs="Times New Roman"/>
                <w:color w:val="auto"/>
                <w:sz w:val="24"/>
                <w:highlight w:val="none"/>
                <w:lang w:val="en-US" w:eastAsia="zh-CN"/>
              </w:rPr>
              <w:t>雾周界外浓度排放限值</w:t>
            </w:r>
            <w:r>
              <w:rPr>
                <w:rFonts w:hint="eastAsia" w:cs="Times New Roman"/>
                <w:color w:val="auto"/>
                <w:sz w:val="24"/>
                <w:szCs w:val="24"/>
                <w:highlight w:val="none"/>
                <w:lang w:val="en-US" w:eastAsia="zh-CN"/>
              </w:rPr>
              <w:t>。</w:t>
            </w:r>
          </w:p>
          <w:p w14:paraId="16AFE839">
            <w:pPr>
              <w:pStyle w:val="36"/>
              <w:keepNext w:val="0"/>
              <w:keepLines w:val="0"/>
              <w:pageBreakBefore w:val="0"/>
              <w:widowControl w:val="0"/>
              <w:numPr>
                <w:ilvl w:val="0"/>
                <w:numId w:val="30"/>
              </w:numPr>
              <w:kinsoku/>
              <w:wordWrap/>
              <w:overflowPunct/>
              <w:topLinePunct w:val="0"/>
              <w:bidi w:val="0"/>
              <w:adjustRightInd w:val="0"/>
              <w:snapToGrid/>
              <w:spacing w:before="0" w:beforeLines="0" w:line="360" w:lineRule="auto"/>
              <w:ind w:left="0" w:leftChars="0" w:firstLine="482" w:firstLineChars="200"/>
              <w:jc w:val="left"/>
              <w:textAlignment w:val="auto"/>
              <w:rPr>
                <w:rFonts w:hint="default" w:ascii="Times New Roman" w:hAnsi="Times New Roman" w:eastAsia="宋体" w:cs="Times New Roman"/>
                <w:b/>
                <w:bCs/>
                <w:color w:val="auto"/>
                <w:sz w:val="24"/>
                <w:szCs w:val="24"/>
                <w:highlight w:val="none"/>
                <w:lang w:val="en-US" w:eastAsia="zh-CN"/>
              </w:rPr>
            </w:pPr>
            <w:r>
              <w:rPr>
                <w:rFonts w:hint="eastAsia" w:ascii="Times New Roman" w:hAnsi="Times New Roman" w:eastAsia="宋体" w:cs="Times New Roman"/>
                <w:b/>
                <w:bCs/>
                <w:color w:val="auto"/>
                <w:sz w:val="24"/>
                <w:szCs w:val="24"/>
                <w:highlight w:val="none"/>
                <w:lang w:val="en-US" w:eastAsia="zh-CN"/>
              </w:rPr>
              <w:t>非正常工况</w:t>
            </w:r>
          </w:p>
          <w:p w14:paraId="665E7AAD">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before="0" w:beforeLines="0" w:line="360" w:lineRule="auto"/>
              <w:ind w:firstLine="480" w:firstLineChars="200"/>
              <w:jc w:val="left"/>
              <w:textAlignment w:val="auto"/>
              <w:rPr>
                <w:rFonts w:hint="eastAsia" w:ascii="Times New Roman" w:hAnsi="Times New Roman" w:eastAsia="宋体" w:cs="Times New Roman"/>
                <w:b w:val="0"/>
                <w:bCs w:val="0"/>
                <w:color w:val="auto"/>
                <w:kern w:val="2"/>
                <w:sz w:val="24"/>
                <w:szCs w:val="24"/>
                <w:highlight w:val="none"/>
                <w:lang w:val="en-US" w:eastAsia="zh-CN" w:bidi="ar-SA"/>
              </w:rPr>
            </w:pPr>
            <w:r>
              <w:rPr>
                <w:rFonts w:hint="default" w:ascii="Times New Roman" w:hAnsi="Times New Roman" w:eastAsia="宋体" w:cs="Times New Roman"/>
                <w:b w:val="0"/>
                <w:bCs w:val="0"/>
                <w:color w:val="auto"/>
                <w:kern w:val="2"/>
                <w:sz w:val="24"/>
                <w:szCs w:val="24"/>
                <w:lang w:val="en-US" w:eastAsia="zh-CN" w:bidi="ar-SA"/>
              </w:rPr>
              <w:t>非正常工况是指工艺运行中所有生产运行技术参数未达到设计范围的情况。包括生产运行阶段的开停车、检修，工艺设备的运转异常、污染物排放控制措施达不到应有的效率、一般性事故和泄漏，以及发生严重的环境事故等。通过分析，废气非正常工况主要是废气</w:t>
            </w:r>
            <w:r>
              <w:rPr>
                <w:rFonts w:hint="default" w:ascii="Times New Roman" w:hAnsi="Times New Roman" w:eastAsia="宋体" w:cs="Times New Roman"/>
                <w:b w:val="0"/>
                <w:bCs w:val="0"/>
                <w:color w:val="auto"/>
                <w:kern w:val="2"/>
                <w:sz w:val="24"/>
                <w:szCs w:val="24"/>
                <w:highlight w:val="none"/>
                <w:lang w:val="en-US" w:eastAsia="zh-CN" w:bidi="ar-SA"/>
              </w:rPr>
              <w:t>处理设施出现故障或检修时，此次评价考虑废气治理设施出现故障，处理效率为</w:t>
            </w:r>
            <w:r>
              <w:rPr>
                <w:rFonts w:hint="eastAsia" w:ascii="Times New Roman" w:cs="Times New Roman"/>
                <w:b w:val="0"/>
                <w:bCs w:val="0"/>
                <w:color w:val="auto"/>
                <w:kern w:val="2"/>
                <w:sz w:val="24"/>
                <w:szCs w:val="24"/>
                <w:highlight w:val="none"/>
                <w:lang w:val="en-US" w:eastAsia="zh-CN" w:bidi="ar-SA"/>
              </w:rPr>
              <w:t>50%</w:t>
            </w:r>
            <w:r>
              <w:rPr>
                <w:rFonts w:hint="default" w:ascii="Times New Roman" w:hAnsi="Times New Roman" w:eastAsia="宋体" w:cs="Times New Roman"/>
                <w:b w:val="0"/>
                <w:bCs w:val="0"/>
                <w:color w:val="auto"/>
                <w:kern w:val="2"/>
                <w:sz w:val="24"/>
                <w:szCs w:val="24"/>
                <w:highlight w:val="none"/>
                <w:lang w:val="en-US" w:eastAsia="zh-CN" w:bidi="ar-SA"/>
              </w:rPr>
              <w:t xml:space="preserve">的情况。非正常工况下废气排放情况见下表。 </w:t>
            </w:r>
          </w:p>
          <w:p w14:paraId="6661AAD2">
            <w:pPr>
              <w:keepNext w:val="0"/>
              <w:keepLines w:val="0"/>
              <w:pageBreakBefore w:val="0"/>
              <w:widowControl w:val="0"/>
              <w:numPr>
                <w:ilvl w:val="0"/>
                <w:numId w:val="31"/>
              </w:numPr>
              <w:kinsoku/>
              <w:wordWrap/>
              <w:overflowPunct/>
              <w:topLinePunct w:val="0"/>
              <w:autoSpaceDE w:val="0"/>
              <w:autoSpaceDN w:val="0"/>
              <w:bidi w:val="0"/>
              <w:adjustRightInd w:val="0"/>
              <w:snapToGrid/>
              <w:spacing w:line="360" w:lineRule="auto"/>
              <w:ind w:left="3150" w:leftChars="0" w:hanging="3110" w:firstLineChars="0"/>
              <w:jc w:val="center"/>
              <w:textAlignment w:val="auto"/>
              <w:rPr>
                <w:rFonts w:hint="default" w:ascii="宋体" w:hAnsi="宋体" w:eastAsia="宋体" w:cs="宋体"/>
                <w:b/>
                <w:bCs/>
                <w:color w:val="auto"/>
                <w:kern w:val="0"/>
                <w:sz w:val="24"/>
                <w:szCs w:val="24"/>
                <w:highlight w:val="none"/>
                <w:lang w:val="en-US" w:eastAsia="zh-CN" w:bidi="ar"/>
              </w:rPr>
            </w:pPr>
            <w:r>
              <w:rPr>
                <w:rFonts w:hint="eastAsia" w:ascii="宋体" w:hAnsi="宋体" w:eastAsia="宋体" w:cs="宋体"/>
                <w:b/>
                <w:bCs/>
                <w:color w:val="auto"/>
                <w:kern w:val="0"/>
                <w:sz w:val="24"/>
                <w:szCs w:val="24"/>
                <w:highlight w:val="none"/>
                <w:lang w:val="en-US" w:eastAsia="zh-CN" w:bidi="ar"/>
              </w:rPr>
              <w:t>污染源非正常情况排放一览表</w:t>
            </w:r>
          </w:p>
          <w:tbl>
            <w:tblPr>
              <w:tblStyle w:val="28"/>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86"/>
              <w:gridCol w:w="886"/>
              <w:gridCol w:w="1328"/>
              <w:gridCol w:w="1137"/>
              <w:gridCol w:w="890"/>
              <w:gridCol w:w="1107"/>
              <w:gridCol w:w="1328"/>
              <w:gridCol w:w="1138"/>
            </w:tblGrid>
            <w:tr w14:paraId="08CD5C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09" w:type="pct"/>
                  <w:vMerge w:val="restart"/>
                  <w:noWrap w:val="0"/>
                  <w:vAlign w:val="center"/>
                </w:tcPr>
                <w:p w14:paraId="33153609">
                  <w:pPr>
                    <w:keepNext w:val="0"/>
                    <w:keepLines w:val="0"/>
                    <w:pageBreakBefore w:val="0"/>
                    <w:widowControl/>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b/>
                      <w:bCs/>
                      <w:color w:val="auto"/>
                      <w:sz w:val="21"/>
                      <w:szCs w:val="21"/>
                      <w:highlight w:val="none"/>
                      <w:vertAlign w:val="baseline"/>
                      <w:lang w:eastAsia="zh-CN"/>
                    </w:rPr>
                  </w:pPr>
                  <w:r>
                    <w:rPr>
                      <w:rFonts w:hint="default" w:ascii="Times New Roman" w:hAnsi="Times New Roman" w:eastAsia="宋体" w:cs="Times New Roman"/>
                      <w:b/>
                      <w:bCs/>
                      <w:color w:val="auto"/>
                      <w:sz w:val="21"/>
                      <w:szCs w:val="21"/>
                      <w:highlight w:val="none"/>
                      <w:vertAlign w:val="baseline"/>
                      <w:lang w:eastAsia="zh-CN"/>
                    </w:rPr>
                    <w:t>排放源</w:t>
                  </w:r>
                </w:p>
              </w:tc>
              <w:tc>
                <w:tcPr>
                  <w:tcW w:w="509" w:type="pct"/>
                  <w:vMerge w:val="restart"/>
                  <w:noWrap w:val="0"/>
                  <w:vAlign w:val="center"/>
                </w:tcPr>
                <w:p w14:paraId="6CE02136">
                  <w:pPr>
                    <w:keepNext w:val="0"/>
                    <w:keepLines w:val="0"/>
                    <w:pageBreakBefore w:val="0"/>
                    <w:widowControl/>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污染物</w:t>
                  </w:r>
                </w:p>
              </w:tc>
              <w:tc>
                <w:tcPr>
                  <w:tcW w:w="1416" w:type="pct"/>
                  <w:gridSpan w:val="2"/>
                  <w:noWrap w:val="0"/>
                  <w:vAlign w:val="center"/>
                </w:tcPr>
                <w:p w14:paraId="71E99403">
                  <w:pPr>
                    <w:keepNext w:val="0"/>
                    <w:keepLines w:val="0"/>
                    <w:pageBreakBefore w:val="0"/>
                    <w:widowControl/>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b/>
                      <w:bCs/>
                      <w:color w:val="auto"/>
                      <w:sz w:val="21"/>
                      <w:szCs w:val="21"/>
                      <w:highlight w:val="none"/>
                      <w:vertAlign w:val="baseline"/>
                    </w:rPr>
                  </w:pPr>
                  <w:r>
                    <w:rPr>
                      <w:rFonts w:hint="default" w:ascii="Times New Roman" w:hAnsi="Times New Roman" w:eastAsia="宋体" w:cs="Times New Roman"/>
                      <w:b/>
                      <w:bCs/>
                      <w:color w:val="auto"/>
                      <w:sz w:val="21"/>
                      <w:szCs w:val="21"/>
                      <w:highlight w:val="none"/>
                      <w:vertAlign w:val="baseline"/>
                      <w:lang w:eastAsia="zh-CN"/>
                    </w:rPr>
                    <w:t>故障条件下排放参数</w:t>
                  </w:r>
                </w:p>
              </w:tc>
              <w:tc>
                <w:tcPr>
                  <w:tcW w:w="511" w:type="pct"/>
                  <w:vMerge w:val="restart"/>
                  <w:noWrap w:val="0"/>
                  <w:vAlign w:val="center"/>
                </w:tcPr>
                <w:p w14:paraId="62B5EA04">
                  <w:pPr>
                    <w:keepNext w:val="0"/>
                    <w:keepLines w:val="0"/>
                    <w:pageBreakBefore w:val="0"/>
                    <w:widowControl/>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b/>
                      <w:bCs/>
                      <w:color w:val="auto"/>
                      <w:sz w:val="21"/>
                      <w:szCs w:val="21"/>
                      <w:highlight w:val="none"/>
                      <w:vertAlign w:val="baseline"/>
                      <w:lang w:eastAsia="zh-CN"/>
                    </w:rPr>
                  </w:pPr>
                  <w:r>
                    <w:rPr>
                      <w:rFonts w:hint="default" w:ascii="Times New Roman" w:hAnsi="Times New Roman" w:eastAsia="宋体" w:cs="Times New Roman"/>
                      <w:b/>
                      <w:bCs/>
                      <w:color w:val="auto"/>
                      <w:sz w:val="21"/>
                      <w:szCs w:val="21"/>
                      <w:highlight w:val="none"/>
                      <w:vertAlign w:val="baseline"/>
                      <w:lang w:eastAsia="zh-CN"/>
                    </w:rPr>
                    <w:t>年发生</w:t>
                  </w:r>
                </w:p>
                <w:p w14:paraId="651DFB31">
                  <w:pPr>
                    <w:keepNext w:val="0"/>
                    <w:keepLines w:val="0"/>
                    <w:pageBreakBefore w:val="0"/>
                    <w:widowControl/>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b/>
                      <w:bCs/>
                      <w:color w:val="auto"/>
                      <w:sz w:val="21"/>
                      <w:szCs w:val="21"/>
                      <w:highlight w:val="none"/>
                      <w:vertAlign w:val="baseline"/>
                      <w:lang w:eastAsia="zh-CN"/>
                    </w:rPr>
                  </w:pPr>
                  <w:r>
                    <w:rPr>
                      <w:rFonts w:hint="default" w:ascii="Times New Roman" w:hAnsi="Times New Roman" w:eastAsia="宋体" w:cs="Times New Roman"/>
                      <w:b/>
                      <w:bCs/>
                      <w:color w:val="auto"/>
                      <w:sz w:val="21"/>
                      <w:szCs w:val="21"/>
                      <w:highlight w:val="none"/>
                      <w:vertAlign w:val="baseline"/>
                      <w:lang w:eastAsia="zh-CN"/>
                    </w:rPr>
                    <w:t>频次</w:t>
                  </w:r>
                </w:p>
              </w:tc>
              <w:tc>
                <w:tcPr>
                  <w:tcW w:w="636" w:type="pct"/>
                  <w:vMerge w:val="restart"/>
                  <w:noWrap w:val="0"/>
                  <w:vAlign w:val="center"/>
                </w:tcPr>
                <w:p w14:paraId="238ECA58">
                  <w:pPr>
                    <w:keepNext w:val="0"/>
                    <w:keepLines w:val="0"/>
                    <w:pageBreakBefore w:val="0"/>
                    <w:widowControl/>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b/>
                      <w:bCs/>
                      <w:color w:val="auto"/>
                      <w:sz w:val="21"/>
                      <w:szCs w:val="21"/>
                      <w:highlight w:val="none"/>
                      <w:vertAlign w:val="baseline"/>
                      <w:lang w:eastAsia="zh-CN"/>
                    </w:rPr>
                  </w:pPr>
                  <w:r>
                    <w:rPr>
                      <w:rFonts w:hint="default" w:ascii="Times New Roman" w:hAnsi="Times New Roman" w:eastAsia="宋体" w:cs="Times New Roman"/>
                      <w:b/>
                      <w:bCs/>
                      <w:color w:val="auto"/>
                      <w:sz w:val="21"/>
                      <w:szCs w:val="21"/>
                      <w:highlight w:val="none"/>
                      <w:vertAlign w:val="baseline"/>
                      <w:lang w:eastAsia="zh-CN"/>
                    </w:rPr>
                    <w:t>单次持续</w:t>
                  </w:r>
                </w:p>
                <w:p w14:paraId="7CAEDCF4">
                  <w:pPr>
                    <w:keepNext w:val="0"/>
                    <w:keepLines w:val="0"/>
                    <w:pageBreakBefore w:val="0"/>
                    <w:widowControl/>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eastAsia="zh-CN"/>
                    </w:rPr>
                    <w:t>时间</w:t>
                  </w:r>
                  <w:r>
                    <w:rPr>
                      <w:rFonts w:hint="default" w:ascii="Times New Roman" w:hAnsi="Times New Roman" w:eastAsia="宋体" w:cs="Times New Roman"/>
                      <w:b/>
                      <w:bCs/>
                      <w:color w:val="auto"/>
                      <w:sz w:val="21"/>
                      <w:szCs w:val="21"/>
                      <w:highlight w:val="none"/>
                      <w:vertAlign w:val="baseline"/>
                      <w:lang w:val="en-US" w:eastAsia="zh-CN"/>
                    </w:rPr>
                    <w:t>h</w:t>
                  </w:r>
                </w:p>
              </w:tc>
              <w:tc>
                <w:tcPr>
                  <w:tcW w:w="1416" w:type="pct"/>
                  <w:gridSpan w:val="2"/>
                  <w:noWrap w:val="0"/>
                  <w:vAlign w:val="center"/>
                </w:tcPr>
                <w:p w14:paraId="02378651">
                  <w:pPr>
                    <w:keepNext w:val="0"/>
                    <w:keepLines w:val="0"/>
                    <w:pageBreakBefore w:val="0"/>
                    <w:widowControl/>
                    <w:kinsoku/>
                    <w:wordWrap/>
                    <w:overflowPunct/>
                    <w:topLinePunct w:val="0"/>
                    <w:autoSpaceDE/>
                    <w:autoSpaceDN/>
                    <w:bidi w:val="0"/>
                    <w:adjustRightInd w:val="0"/>
                    <w:snapToGrid/>
                    <w:spacing w:line="240" w:lineRule="auto"/>
                    <w:jc w:val="center"/>
                    <w:textAlignment w:val="auto"/>
                    <w:rPr>
                      <w:rFonts w:hint="eastAsia" w:ascii="Times New Roman" w:hAnsi="Times New Roman" w:eastAsia="宋体" w:cs="Times New Roman"/>
                      <w:b/>
                      <w:bCs/>
                      <w:color w:val="auto"/>
                      <w:sz w:val="21"/>
                      <w:szCs w:val="21"/>
                      <w:highlight w:val="none"/>
                      <w:vertAlign w:val="baseline"/>
                      <w:lang w:eastAsia="zh-CN"/>
                    </w:rPr>
                  </w:pPr>
                  <w:r>
                    <w:rPr>
                      <w:rFonts w:hint="eastAsia" w:ascii="Times New Roman" w:hAnsi="Times New Roman" w:eastAsia="宋体" w:cs="Times New Roman"/>
                      <w:b/>
                      <w:bCs/>
                      <w:color w:val="auto"/>
                      <w:sz w:val="21"/>
                      <w:szCs w:val="21"/>
                      <w:highlight w:val="none"/>
                      <w:vertAlign w:val="baseline"/>
                      <w:lang w:eastAsia="zh-CN"/>
                    </w:rPr>
                    <w:t>执行标准</w:t>
                  </w:r>
                </w:p>
              </w:tc>
            </w:tr>
            <w:tr w14:paraId="115C5C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 w:hRule="atLeast"/>
              </w:trPr>
              <w:tc>
                <w:tcPr>
                  <w:tcW w:w="509" w:type="pct"/>
                  <w:vMerge w:val="continue"/>
                  <w:noWrap w:val="0"/>
                  <w:vAlign w:val="center"/>
                </w:tcPr>
                <w:p w14:paraId="52AD1A41">
                  <w:pPr>
                    <w:keepNext w:val="0"/>
                    <w:keepLines w:val="0"/>
                    <w:pageBreakBefore w:val="0"/>
                    <w:widowControl/>
                    <w:kinsoku/>
                    <w:wordWrap/>
                    <w:overflowPunct/>
                    <w:topLinePunct w:val="0"/>
                    <w:autoSpaceDE/>
                    <w:autoSpaceDN/>
                    <w:bidi w:val="0"/>
                    <w:adjustRightInd w:val="0"/>
                    <w:snapToGrid/>
                    <w:spacing w:line="240" w:lineRule="auto"/>
                    <w:jc w:val="center"/>
                    <w:textAlignment w:val="auto"/>
                    <w:rPr>
                      <w:rFonts w:hint="default" w:ascii="Times New Roman" w:hAnsi="Times New Roman" w:cs="Times New Roman"/>
                      <w:b/>
                      <w:bCs/>
                      <w:color w:val="auto"/>
                      <w:sz w:val="21"/>
                      <w:szCs w:val="21"/>
                      <w:highlight w:val="none"/>
                    </w:rPr>
                  </w:pPr>
                </w:p>
              </w:tc>
              <w:tc>
                <w:tcPr>
                  <w:tcW w:w="509" w:type="pct"/>
                  <w:vMerge w:val="continue"/>
                  <w:noWrap w:val="0"/>
                  <w:vAlign w:val="center"/>
                </w:tcPr>
                <w:p w14:paraId="0F9D946F">
                  <w:pPr>
                    <w:keepNext w:val="0"/>
                    <w:keepLines w:val="0"/>
                    <w:pageBreakBefore w:val="0"/>
                    <w:widowControl/>
                    <w:kinsoku/>
                    <w:wordWrap/>
                    <w:overflowPunct/>
                    <w:topLinePunct w:val="0"/>
                    <w:autoSpaceDE/>
                    <w:autoSpaceDN/>
                    <w:bidi w:val="0"/>
                    <w:adjustRightInd w:val="0"/>
                    <w:snapToGrid/>
                    <w:spacing w:line="240" w:lineRule="auto"/>
                    <w:jc w:val="center"/>
                    <w:textAlignment w:val="auto"/>
                    <w:rPr>
                      <w:rFonts w:hint="default" w:ascii="Times New Roman" w:hAnsi="Times New Roman" w:cs="Times New Roman"/>
                      <w:b/>
                      <w:bCs/>
                      <w:color w:val="auto"/>
                      <w:sz w:val="21"/>
                      <w:szCs w:val="21"/>
                      <w:highlight w:val="none"/>
                    </w:rPr>
                  </w:pPr>
                </w:p>
              </w:tc>
              <w:tc>
                <w:tcPr>
                  <w:tcW w:w="763" w:type="pct"/>
                  <w:noWrap w:val="0"/>
                  <w:vAlign w:val="center"/>
                </w:tcPr>
                <w:p w14:paraId="468CBF6D">
                  <w:pPr>
                    <w:keepNext w:val="0"/>
                    <w:keepLines w:val="0"/>
                    <w:pageBreakBefore w:val="0"/>
                    <w:widowControl/>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eastAsia="zh-CN"/>
                    </w:rPr>
                    <w:t>浓度</w:t>
                  </w:r>
                  <w:r>
                    <w:rPr>
                      <w:rFonts w:hint="default" w:ascii="Times New Roman" w:hAnsi="Times New Roman" w:eastAsia="宋体" w:cs="Times New Roman"/>
                      <w:b/>
                      <w:bCs/>
                      <w:color w:val="auto"/>
                      <w:sz w:val="21"/>
                      <w:szCs w:val="21"/>
                      <w:highlight w:val="none"/>
                      <w:vertAlign w:val="baseline"/>
                      <w:lang w:val="en-US" w:eastAsia="zh-CN"/>
                    </w:rPr>
                    <w:t>mg/m</w:t>
                  </w:r>
                  <w:r>
                    <w:rPr>
                      <w:rFonts w:hint="default" w:ascii="Times New Roman" w:hAnsi="Times New Roman" w:eastAsia="宋体" w:cs="Times New Roman"/>
                      <w:b/>
                      <w:bCs/>
                      <w:color w:val="auto"/>
                      <w:sz w:val="21"/>
                      <w:szCs w:val="21"/>
                      <w:highlight w:val="none"/>
                      <w:vertAlign w:val="superscript"/>
                      <w:lang w:val="en-US" w:eastAsia="zh-CN"/>
                    </w:rPr>
                    <w:t>3</w:t>
                  </w:r>
                </w:p>
              </w:tc>
              <w:tc>
                <w:tcPr>
                  <w:tcW w:w="653" w:type="pct"/>
                  <w:noWrap w:val="0"/>
                  <w:vAlign w:val="center"/>
                </w:tcPr>
                <w:p w14:paraId="39C0A79C">
                  <w:pPr>
                    <w:keepNext w:val="0"/>
                    <w:keepLines w:val="0"/>
                    <w:pageBreakBefore w:val="0"/>
                    <w:widowControl/>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eastAsia="zh-CN"/>
                    </w:rPr>
                    <w:t>速率</w:t>
                  </w:r>
                  <w:r>
                    <w:rPr>
                      <w:rFonts w:hint="default" w:ascii="Times New Roman" w:hAnsi="Times New Roman" w:eastAsia="宋体" w:cs="Times New Roman"/>
                      <w:b/>
                      <w:bCs/>
                      <w:color w:val="auto"/>
                      <w:sz w:val="21"/>
                      <w:szCs w:val="21"/>
                      <w:highlight w:val="none"/>
                      <w:vertAlign w:val="baseline"/>
                      <w:lang w:val="en-US" w:eastAsia="zh-CN"/>
                    </w:rPr>
                    <w:t>kg/h</w:t>
                  </w:r>
                </w:p>
              </w:tc>
              <w:tc>
                <w:tcPr>
                  <w:tcW w:w="511" w:type="pct"/>
                  <w:vMerge w:val="continue"/>
                  <w:noWrap w:val="0"/>
                  <w:vAlign w:val="center"/>
                </w:tcPr>
                <w:p w14:paraId="1B2FCDEB">
                  <w:pPr>
                    <w:keepNext w:val="0"/>
                    <w:keepLines w:val="0"/>
                    <w:pageBreakBefore w:val="0"/>
                    <w:widowControl/>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b/>
                      <w:bCs/>
                      <w:color w:val="auto"/>
                      <w:sz w:val="21"/>
                      <w:szCs w:val="21"/>
                      <w:highlight w:val="none"/>
                      <w:vertAlign w:val="baseline"/>
                    </w:rPr>
                  </w:pPr>
                </w:p>
              </w:tc>
              <w:tc>
                <w:tcPr>
                  <w:tcW w:w="636" w:type="pct"/>
                  <w:vMerge w:val="continue"/>
                  <w:noWrap w:val="0"/>
                  <w:vAlign w:val="center"/>
                </w:tcPr>
                <w:p w14:paraId="05A04C93">
                  <w:pPr>
                    <w:keepNext w:val="0"/>
                    <w:keepLines w:val="0"/>
                    <w:pageBreakBefore w:val="0"/>
                    <w:widowControl/>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b/>
                      <w:bCs/>
                      <w:color w:val="auto"/>
                      <w:sz w:val="21"/>
                      <w:szCs w:val="21"/>
                      <w:highlight w:val="none"/>
                      <w:vertAlign w:val="baseline"/>
                    </w:rPr>
                  </w:pPr>
                </w:p>
              </w:tc>
              <w:tc>
                <w:tcPr>
                  <w:tcW w:w="763" w:type="pct"/>
                  <w:noWrap w:val="0"/>
                  <w:vAlign w:val="center"/>
                </w:tcPr>
                <w:p w14:paraId="08A54D12">
                  <w:pPr>
                    <w:keepNext w:val="0"/>
                    <w:keepLines w:val="0"/>
                    <w:pageBreakBefore w:val="0"/>
                    <w:widowControl/>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eastAsia" w:ascii="Times New Roman" w:hAnsi="Times New Roman" w:eastAsia="宋体" w:cs="Times New Roman"/>
                      <w:b/>
                      <w:bCs/>
                      <w:color w:val="auto"/>
                      <w:sz w:val="21"/>
                      <w:szCs w:val="21"/>
                      <w:highlight w:val="none"/>
                      <w:vertAlign w:val="baseline"/>
                      <w:lang w:eastAsia="zh-CN"/>
                    </w:rPr>
                    <w:t>浓度</w:t>
                  </w:r>
                  <w:r>
                    <w:rPr>
                      <w:rFonts w:hint="eastAsia" w:ascii="Times New Roman" w:hAnsi="Times New Roman" w:eastAsia="宋体" w:cs="Times New Roman"/>
                      <w:b/>
                      <w:bCs/>
                      <w:color w:val="auto"/>
                      <w:sz w:val="21"/>
                      <w:szCs w:val="21"/>
                      <w:highlight w:val="none"/>
                      <w:vertAlign w:val="baseline"/>
                      <w:lang w:val="en-US" w:eastAsia="zh-CN"/>
                    </w:rPr>
                    <w:t>mg/m</w:t>
                  </w:r>
                  <w:r>
                    <w:rPr>
                      <w:rFonts w:hint="eastAsia" w:ascii="Times New Roman" w:hAnsi="Times New Roman" w:eastAsia="宋体" w:cs="Times New Roman"/>
                      <w:b/>
                      <w:bCs/>
                      <w:color w:val="auto"/>
                      <w:sz w:val="21"/>
                      <w:szCs w:val="21"/>
                      <w:highlight w:val="none"/>
                      <w:vertAlign w:val="superscript"/>
                      <w:lang w:val="en-US" w:eastAsia="zh-CN"/>
                    </w:rPr>
                    <w:t>3</w:t>
                  </w:r>
                </w:p>
              </w:tc>
              <w:tc>
                <w:tcPr>
                  <w:tcW w:w="653" w:type="pct"/>
                  <w:noWrap w:val="0"/>
                  <w:vAlign w:val="center"/>
                </w:tcPr>
                <w:p w14:paraId="44B63979">
                  <w:pPr>
                    <w:keepNext w:val="0"/>
                    <w:keepLines w:val="0"/>
                    <w:pageBreakBefore w:val="0"/>
                    <w:widowControl/>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eastAsia="zh-CN"/>
                    </w:rPr>
                    <w:t>速率</w:t>
                  </w:r>
                  <w:r>
                    <w:rPr>
                      <w:rFonts w:hint="default" w:ascii="Times New Roman" w:hAnsi="Times New Roman" w:eastAsia="宋体" w:cs="Times New Roman"/>
                      <w:b/>
                      <w:bCs/>
                      <w:color w:val="auto"/>
                      <w:sz w:val="21"/>
                      <w:szCs w:val="21"/>
                      <w:highlight w:val="none"/>
                      <w:vertAlign w:val="baseline"/>
                      <w:lang w:val="en-US" w:eastAsia="zh-CN"/>
                    </w:rPr>
                    <w:t>kg/h</w:t>
                  </w:r>
                </w:p>
              </w:tc>
            </w:tr>
            <w:tr w14:paraId="185C83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09" w:type="pct"/>
                  <w:vMerge w:val="restart"/>
                  <w:noWrap w:val="0"/>
                  <w:vAlign w:val="center"/>
                </w:tcPr>
                <w:p w14:paraId="252C779F">
                  <w:pPr>
                    <w:keepNext w:val="0"/>
                    <w:keepLines w:val="0"/>
                    <w:pageBreakBefore w:val="0"/>
                    <w:widowControl/>
                    <w:kinsoku/>
                    <w:wordWrap/>
                    <w:overflowPunct/>
                    <w:topLinePunct w:val="0"/>
                    <w:autoSpaceDE/>
                    <w:autoSpaceDN/>
                    <w:bidi w:val="0"/>
                    <w:adjustRightInd w:val="0"/>
                    <w:snapToGrid/>
                    <w:spacing w:line="240" w:lineRule="auto"/>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危废</w:t>
                  </w:r>
                </w:p>
                <w:p w14:paraId="6B4A9BF5">
                  <w:pPr>
                    <w:keepNext w:val="0"/>
                    <w:keepLines w:val="0"/>
                    <w:pageBreakBefore w:val="0"/>
                    <w:widowControl/>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贮存</w:t>
                  </w:r>
                  <w:r>
                    <w:rPr>
                      <w:rFonts w:hint="eastAsia" w:cs="Times New Roman"/>
                      <w:color w:val="auto"/>
                      <w:sz w:val="21"/>
                      <w:szCs w:val="21"/>
                      <w:highlight w:val="none"/>
                      <w:vertAlign w:val="baseline"/>
                      <w:lang w:val="en-US" w:eastAsia="zh-CN"/>
                    </w:rPr>
                    <w:t>库</w:t>
                  </w:r>
                </w:p>
              </w:tc>
              <w:tc>
                <w:tcPr>
                  <w:tcW w:w="509" w:type="pct"/>
                  <w:noWrap w:val="0"/>
                  <w:vAlign w:val="center"/>
                </w:tcPr>
                <w:p w14:paraId="36C39A8D">
                  <w:pPr>
                    <w:keepNext w:val="0"/>
                    <w:keepLines w:val="0"/>
                    <w:pageBreakBefore w:val="0"/>
                    <w:widowControl/>
                    <w:kinsoku/>
                    <w:wordWrap/>
                    <w:overflowPunct/>
                    <w:topLinePunct w:val="0"/>
                    <w:autoSpaceDE/>
                    <w:autoSpaceDN/>
                    <w:bidi w:val="0"/>
                    <w:adjustRightInd w:val="0"/>
                    <w:snapToGrid/>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pacing w:val="-6"/>
                      <w:sz w:val="21"/>
                      <w:szCs w:val="21"/>
                      <w:highlight w:val="none"/>
                      <w:vertAlign w:val="baseline"/>
                      <w:lang w:val="en-US" w:eastAsia="zh-CN"/>
                    </w:rPr>
                    <w:t>氯化氢</w:t>
                  </w:r>
                </w:p>
              </w:tc>
              <w:tc>
                <w:tcPr>
                  <w:tcW w:w="1328" w:type="dxa"/>
                  <w:noWrap w:val="0"/>
                  <w:vAlign w:val="center"/>
                </w:tcPr>
                <w:p w14:paraId="3B43636F">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13.517</w:t>
                  </w:r>
                </w:p>
              </w:tc>
              <w:tc>
                <w:tcPr>
                  <w:tcW w:w="1137" w:type="dxa"/>
                  <w:noWrap w:val="0"/>
                  <w:vAlign w:val="center"/>
                </w:tcPr>
                <w:p w14:paraId="39691B5E">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0.027</w:t>
                  </w:r>
                </w:p>
              </w:tc>
              <w:tc>
                <w:tcPr>
                  <w:tcW w:w="511" w:type="pct"/>
                  <w:vMerge w:val="restart"/>
                  <w:noWrap w:val="0"/>
                  <w:vAlign w:val="center"/>
                </w:tcPr>
                <w:p w14:paraId="07A09C5B">
                  <w:pPr>
                    <w:keepNext w:val="0"/>
                    <w:keepLines w:val="0"/>
                    <w:pageBreakBefore w:val="0"/>
                    <w:widowControl/>
                    <w:kinsoku/>
                    <w:wordWrap/>
                    <w:overflowPunct/>
                    <w:topLinePunct w:val="0"/>
                    <w:autoSpaceDE/>
                    <w:autoSpaceDN/>
                    <w:bidi w:val="0"/>
                    <w:adjustRightInd w:val="0"/>
                    <w:snapToGrid/>
                    <w:spacing w:line="240" w:lineRule="auto"/>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vertAlign w:val="baseline"/>
                      <w:lang w:val="en-US" w:eastAsia="zh-CN"/>
                    </w:rPr>
                    <w:t>1次/年</w:t>
                  </w:r>
                </w:p>
              </w:tc>
              <w:tc>
                <w:tcPr>
                  <w:tcW w:w="636" w:type="pct"/>
                  <w:vMerge w:val="restart"/>
                  <w:noWrap w:val="0"/>
                  <w:vAlign w:val="center"/>
                </w:tcPr>
                <w:p w14:paraId="47855F5B">
                  <w:pPr>
                    <w:keepNext w:val="0"/>
                    <w:keepLines w:val="0"/>
                    <w:pageBreakBefore w:val="0"/>
                    <w:widowControl/>
                    <w:kinsoku/>
                    <w:wordWrap/>
                    <w:overflowPunct/>
                    <w:topLinePunct w:val="0"/>
                    <w:autoSpaceDE/>
                    <w:autoSpaceDN/>
                    <w:bidi w:val="0"/>
                    <w:adjustRightInd w:val="0"/>
                    <w:snapToGrid/>
                    <w:spacing w:line="240" w:lineRule="auto"/>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vertAlign w:val="baseline"/>
                      <w:lang w:val="en-US" w:eastAsia="zh-CN"/>
                    </w:rPr>
                    <w:t>1</w:t>
                  </w:r>
                </w:p>
              </w:tc>
              <w:tc>
                <w:tcPr>
                  <w:tcW w:w="763" w:type="pct"/>
                  <w:noWrap w:val="0"/>
                  <w:vAlign w:val="center"/>
                </w:tcPr>
                <w:p w14:paraId="5088CEFC">
                  <w:pPr>
                    <w:keepNext w:val="0"/>
                    <w:keepLines w:val="0"/>
                    <w:pageBreakBefore w:val="0"/>
                    <w:widowControl/>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color w:val="auto"/>
                      <w:spacing w:val="-6"/>
                      <w:sz w:val="21"/>
                      <w:szCs w:val="21"/>
                      <w:highlight w:val="none"/>
                      <w:vertAlign w:val="baseline"/>
                      <w:lang w:val="en-US" w:eastAsia="zh-CN"/>
                    </w:rPr>
                  </w:pPr>
                  <w:r>
                    <w:rPr>
                      <w:rFonts w:hint="eastAsia" w:ascii="Times New Roman" w:hAnsi="Times New Roman" w:eastAsia="宋体" w:cs="Times New Roman"/>
                      <w:color w:val="auto"/>
                      <w:spacing w:val="-6"/>
                      <w:sz w:val="21"/>
                      <w:szCs w:val="21"/>
                      <w:highlight w:val="none"/>
                      <w:vertAlign w:val="baseline"/>
                      <w:lang w:val="en-US" w:eastAsia="zh-CN"/>
                    </w:rPr>
                    <w:t>100</w:t>
                  </w:r>
                </w:p>
              </w:tc>
              <w:tc>
                <w:tcPr>
                  <w:tcW w:w="653" w:type="pct"/>
                  <w:noWrap w:val="0"/>
                  <w:vAlign w:val="center"/>
                </w:tcPr>
                <w:p w14:paraId="776A225E">
                  <w:pPr>
                    <w:keepNext w:val="0"/>
                    <w:keepLines w:val="0"/>
                    <w:pageBreakBefore w:val="0"/>
                    <w:widowControl/>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color w:val="auto"/>
                      <w:spacing w:val="-6"/>
                      <w:sz w:val="21"/>
                      <w:szCs w:val="21"/>
                      <w:highlight w:val="none"/>
                      <w:vertAlign w:val="baseline"/>
                      <w:lang w:val="en-US" w:eastAsia="zh-CN"/>
                    </w:rPr>
                  </w:pPr>
                  <w:r>
                    <w:rPr>
                      <w:rFonts w:hint="eastAsia" w:ascii="Times New Roman" w:hAnsi="Times New Roman" w:eastAsia="宋体" w:cs="Times New Roman"/>
                      <w:color w:val="auto"/>
                      <w:spacing w:val="-6"/>
                      <w:sz w:val="21"/>
                      <w:szCs w:val="21"/>
                      <w:highlight w:val="none"/>
                      <w:vertAlign w:val="baseline"/>
                      <w:lang w:val="en-US" w:eastAsia="zh-CN"/>
                    </w:rPr>
                    <w:t>0.26</w:t>
                  </w:r>
                </w:p>
              </w:tc>
            </w:tr>
            <w:tr w14:paraId="59EEF7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9" w:type="pct"/>
                  <w:vMerge w:val="continue"/>
                  <w:noWrap w:val="0"/>
                  <w:vAlign w:val="center"/>
                </w:tcPr>
                <w:p w14:paraId="2C68B9D5">
                  <w:pPr>
                    <w:keepNext w:val="0"/>
                    <w:keepLines w:val="0"/>
                    <w:pageBreakBefore w:val="0"/>
                    <w:widowControl/>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eastAsia="zh-CN"/>
                    </w:rPr>
                  </w:pPr>
                </w:p>
              </w:tc>
              <w:tc>
                <w:tcPr>
                  <w:tcW w:w="509" w:type="pct"/>
                  <w:noWrap w:val="0"/>
                  <w:vAlign w:val="center"/>
                </w:tcPr>
                <w:p w14:paraId="0022B5D4">
                  <w:pPr>
                    <w:keepNext w:val="0"/>
                    <w:keepLines w:val="0"/>
                    <w:pageBreakBefore w:val="0"/>
                    <w:widowControl/>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pacing w:val="-6"/>
                      <w:sz w:val="21"/>
                      <w:szCs w:val="21"/>
                      <w:highlight w:val="none"/>
                      <w:vertAlign w:val="baseline"/>
                      <w:lang w:val="en-US" w:eastAsia="zh-CN"/>
                    </w:rPr>
                    <w:t>硫酸雾</w:t>
                  </w:r>
                </w:p>
              </w:tc>
              <w:tc>
                <w:tcPr>
                  <w:tcW w:w="1328" w:type="dxa"/>
                  <w:noWrap w:val="0"/>
                  <w:vAlign w:val="center"/>
                </w:tcPr>
                <w:p w14:paraId="3CF97DBA">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0.896</w:t>
                  </w:r>
                </w:p>
              </w:tc>
              <w:tc>
                <w:tcPr>
                  <w:tcW w:w="1137" w:type="dxa"/>
                  <w:noWrap w:val="0"/>
                  <w:vAlign w:val="center"/>
                </w:tcPr>
                <w:p w14:paraId="70604A69">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0.013</w:t>
                  </w:r>
                </w:p>
              </w:tc>
              <w:tc>
                <w:tcPr>
                  <w:tcW w:w="511" w:type="pct"/>
                  <w:vMerge w:val="continue"/>
                  <w:noWrap w:val="0"/>
                  <w:vAlign w:val="center"/>
                </w:tcPr>
                <w:p w14:paraId="48963DC4">
                  <w:pPr>
                    <w:keepNext w:val="0"/>
                    <w:keepLines w:val="0"/>
                    <w:pageBreakBefore w:val="0"/>
                    <w:widowControl/>
                    <w:kinsoku/>
                    <w:wordWrap/>
                    <w:overflowPunct/>
                    <w:topLinePunct w:val="0"/>
                    <w:autoSpaceDE/>
                    <w:autoSpaceDN/>
                    <w:bidi w:val="0"/>
                    <w:adjustRightInd w:val="0"/>
                    <w:snapToGrid/>
                    <w:spacing w:line="240" w:lineRule="auto"/>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636" w:type="pct"/>
                  <w:vMerge w:val="continue"/>
                  <w:noWrap w:val="0"/>
                  <w:vAlign w:val="center"/>
                </w:tcPr>
                <w:p w14:paraId="542033EB">
                  <w:pPr>
                    <w:keepNext w:val="0"/>
                    <w:keepLines w:val="0"/>
                    <w:pageBreakBefore w:val="0"/>
                    <w:widowControl/>
                    <w:kinsoku/>
                    <w:wordWrap/>
                    <w:overflowPunct/>
                    <w:topLinePunct w:val="0"/>
                    <w:autoSpaceDE/>
                    <w:autoSpaceDN/>
                    <w:bidi w:val="0"/>
                    <w:adjustRightInd w:val="0"/>
                    <w:snapToGrid/>
                    <w:spacing w:line="240" w:lineRule="auto"/>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763" w:type="pct"/>
                  <w:noWrap w:val="0"/>
                  <w:vAlign w:val="center"/>
                </w:tcPr>
                <w:p w14:paraId="124EA2E0">
                  <w:pPr>
                    <w:keepNext w:val="0"/>
                    <w:keepLines w:val="0"/>
                    <w:pageBreakBefore w:val="0"/>
                    <w:widowControl/>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color w:val="auto"/>
                      <w:spacing w:val="-6"/>
                      <w:sz w:val="21"/>
                      <w:szCs w:val="21"/>
                      <w:highlight w:val="none"/>
                      <w:vertAlign w:val="baseline"/>
                      <w:lang w:val="en-US" w:eastAsia="zh-CN"/>
                    </w:rPr>
                  </w:pPr>
                  <w:r>
                    <w:rPr>
                      <w:rFonts w:hint="eastAsia" w:ascii="Times New Roman" w:hAnsi="Times New Roman" w:eastAsia="宋体" w:cs="Times New Roman"/>
                      <w:color w:val="auto"/>
                      <w:spacing w:val="-6"/>
                      <w:sz w:val="21"/>
                      <w:szCs w:val="21"/>
                      <w:highlight w:val="none"/>
                      <w:vertAlign w:val="baseline"/>
                      <w:lang w:val="en-US" w:eastAsia="zh-CN"/>
                    </w:rPr>
                    <w:t>45</w:t>
                  </w:r>
                </w:p>
              </w:tc>
              <w:tc>
                <w:tcPr>
                  <w:tcW w:w="653" w:type="pct"/>
                  <w:noWrap w:val="0"/>
                  <w:vAlign w:val="center"/>
                </w:tcPr>
                <w:p w14:paraId="50AA45FD">
                  <w:pPr>
                    <w:keepNext w:val="0"/>
                    <w:keepLines w:val="0"/>
                    <w:pageBreakBefore w:val="0"/>
                    <w:widowControl/>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color w:val="auto"/>
                      <w:spacing w:val="-6"/>
                      <w:sz w:val="21"/>
                      <w:szCs w:val="21"/>
                      <w:highlight w:val="none"/>
                      <w:vertAlign w:val="baseline"/>
                      <w:lang w:val="en-US" w:eastAsia="zh-CN"/>
                    </w:rPr>
                  </w:pPr>
                  <w:r>
                    <w:rPr>
                      <w:rFonts w:hint="eastAsia" w:ascii="Times New Roman" w:hAnsi="Times New Roman" w:eastAsia="宋体" w:cs="Times New Roman"/>
                      <w:color w:val="auto"/>
                      <w:spacing w:val="-6"/>
                      <w:sz w:val="21"/>
                      <w:szCs w:val="21"/>
                      <w:highlight w:val="none"/>
                      <w:vertAlign w:val="baseline"/>
                      <w:lang w:val="en-US" w:eastAsia="zh-CN"/>
                    </w:rPr>
                    <w:t>1.5</w:t>
                  </w:r>
                </w:p>
              </w:tc>
            </w:tr>
            <w:tr w14:paraId="049038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9" w:type="pct"/>
                  <w:vMerge w:val="continue"/>
                  <w:noWrap w:val="0"/>
                  <w:vAlign w:val="center"/>
                </w:tcPr>
                <w:p w14:paraId="1AD14CB6">
                  <w:pPr>
                    <w:keepNext w:val="0"/>
                    <w:keepLines w:val="0"/>
                    <w:pageBreakBefore w:val="0"/>
                    <w:widowControl/>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eastAsia="zh-CN"/>
                    </w:rPr>
                  </w:pPr>
                </w:p>
              </w:tc>
              <w:tc>
                <w:tcPr>
                  <w:tcW w:w="509" w:type="pct"/>
                  <w:noWrap w:val="0"/>
                  <w:vAlign w:val="center"/>
                </w:tcPr>
                <w:p w14:paraId="6C1CD5A8">
                  <w:pPr>
                    <w:keepNext w:val="0"/>
                    <w:keepLines w:val="0"/>
                    <w:pageBreakBefore w:val="0"/>
                    <w:widowControl/>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pacing w:val="-6"/>
                      <w:sz w:val="21"/>
                      <w:szCs w:val="21"/>
                      <w:highlight w:val="none"/>
                      <w:vertAlign w:val="baseline"/>
                      <w:lang w:val="en-US" w:eastAsia="zh-CN"/>
                    </w:rPr>
                    <w:t>VOCs</w:t>
                  </w:r>
                </w:p>
              </w:tc>
              <w:tc>
                <w:tcPr>
                  <w:tcW w:w="1328" w:type="dxa"/>
                  <w:noWrap w:val="0"/>
                  <w:vAlign w:val="center"/>
                </w:tcPr>
                <w:p w14:paraId="7B831063">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4.46</w:t>
                  </w:r>
                </w:p>
              </w:tc>
              <w:tc>
                <w:tcPr>
                  <w:tcW w:w="1137" w:type="dxa"/>
                  <w:noWrap w:val="0"/>
                  <w:vAlign w:val="center"/>
                </w:tcPr>
                <w:p w14:paraId="55832A53">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0.005</w:t>
                  </w:r>
                </w:p>
              </w:tc>
              <w:tc>
                <w:tcPr>
                  <w:tcW w:w="511" w:type="pct"/>
                  <w:vMerge w:val="continue"/>
                  <w:noWrap w:val="0"/>
                  <w:vAlign w:val="center"/>
                </w:tcPr>
                <w:p w14:paraId="155C980D">
                  <w:pPr>
                    <w:keepNext w:val="0"/>
                    <w:keepLines w:val="0"/>
                    <w:pageBreakBefore w:val="0"/>
                    <w:widowControl/>
                    <w:kinsoku/>
                    <w:wordWrap/>
                    <w:overflowPunct/>
                    <w:topLinePunct w:val="0"/>
                    <w:autoSpaceDE/>
                    <w:autoSpaceDN/>
                    <w:bidi w:val="0"/>
                    <w:adjustRightInd w:val="0"/>
                    <w:snapToGrid/>
                    <w:spacing w:line="240" w:lineRule="auto"/>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636" w:type="pct"/>
                  <w:vMerge w:val="continue"/>
                  <w:noWrap w:val="0"/>
                  <w:vAlign w:val="center"/>
                </w:tcPr>
                <w:p w14:paraId="21F2ECE1">
                  <w:pPr>
                    <w:keepNext w:val="0"/>
                    <w:keepLines w:val="0"/>
                    <w:pageBreakBefore w:val="0"/>
                    <w:widowControl/>
                    <w:kinsoku/>
                    <w:wordWrap/>
                    <w:overflowPunct/>
                    <w:topLinePunct w:val="0"/>
                    <w:autoSpaceDE/>
                    <w:autoSpaceDN/>
                    <w:bidi w:val="0"/>
                    <w:adjustRightInd w:val="0"/>
                    <w:snapToGrid/>
                    <w:spacing w:line="240" w:lineRule="auto"/>
                    <w:jc w:val="center"/>
                    <w:textAlignment w:val="auto"/>
                    <w:rPr>
                      <w:rFonts w:hint="eastAsia" w:ascii="Times New Roman" w:hAnsi="Times New Roman" w:eastAsia="宋体" w:cs="Times New Roman"/>
                      <w:color w:val="auto"/>
                      <w:sz w:val="21"/>
                      <w:szCs w:val="21"/>
                      <w:highlight w:val="none"/>
                      <w:vertAlign w:val="baseline"/>
                      <w:lang w:val="en-US" w:eastAsia="zh-CN"/>
                    </w:rPr>
                  </w:pPr>
                </w:p>
              </w:tc>
              <w:tc>
                <w:tcPr>
                  <w:tcW w:w="763" w:type="pct"/>
                  <w:noWrap w:val="0"/>
                  <w:vAlign w:val="center"/>
                </w:tcPr>
                <w:p w14:paraId="53365087">
                  <w:pPr>
                    <w:keepNext w:val="0"/>
                    <w:keepLines w:val="0"/>
                    <w:pageBreakBefore w:val="0"/>
                    <w:widowControl/>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color w:val="auto"/>
                      <w:spacing w:val="-6"/>
                      <w:sz w:val="21"/>
                      <w:szCs w:val="21"/>
                      <w:highlight w:val="none"/>
                      <w:vertAlign w:val="baseline"/>
                      <w:lang w:val="en-US" w:eastAsia="zh-CN"/>
                    </w:rPr>
                  </w:pPr>
                  <w:r>
                    <w:rPr>
                      <w:rFonts w:hint="eastAsia" w:ascii="Times New Roman" w:hAnsi="Times New Roman" w:eastAsia="宋体" w:cs="Times New Roman"/>
                      <w:color w:val="auto"/>
                      <w:spacing w:val="-6"/>
                      <w:sz w:val="21"/>
                      <w:szCs w:val="21"/>
                      <w:highlight w:val="none"/>
                      <w:vertAlign w:val="baseline"/>
                      <w:lang w:val="en-US" w:eastAsia="zh-CN"/>
                    </w:rPr>
                    <w:t>60</w:t>
                  </w:r>
                </w:p>
              </w:tc>
              <w:tc>
                <w:tcPr>
                  <w:tcW w:w="653" w:type="pct"/>
                  <w:noWrap w:val="0"/>
                  <w:vAlign w:val="center"/>
                </w:tcPr>
                <w:p w14:paraId="52DD3377">
                  <w:pPr>
                    <w:keepNext w:val="0"/>
                    <w:keepLines w:val="0"/>
                    <w:pageBreakBefore w:val="0"/>
                    <w:widowControl/>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color w:val="auto"/>
                      <w:spacing w:val="-6"/>
                      <w:sz w:val="21"/>
                      <w:szCs w:val="21"/>
                      <w:highlight w:val="none"/>
                      <w:vertAlign w:val="baseline"/>
                      <w:lang w:val="en-US" w:eastAsia="zh-CN"/>
                    </w:rPr>
                  </w:pPr>
                  <w:r>
                    <w:rPr>
                      <w:rFonts w:hint="eastAsia" w:ascii="Times New Roman" w:hAnsi="Times New Roman" w:eastAsia="宋体" w:cs="Times New Roman"/>
                      <w:color w:val="auto"/>
                      <w:spacing w:val="-6"/>
                      <w:sz w:val="21"/>
                      <w:szCs w:val="21"/>
                      <w:highlight w:val="none"/>
                      <w:vertAlign w:val="baseline"/>
                      <w:lang w:val="en-US" w:eastAsia="zh-CN"/>
                    </w:rPr>
                    <w:t>3.0</w:t>
                  </w:r>
                </w:p>
              </w:tc>
            </w:tr>
          </w:tbl>
          <w:p w14:paraId="36315A9D">
            <w:pPr>
              <w:keepNext w:val="0"/>
              <w:keepLines w:val="0"/>
              <w:pageBreakBefore w:val="0"/>
              <w:widowControl/>
              <w:kinsoku/>
              <w:wordWrap/>
              <w:overflowPunct/>
              <w:topLinePunct w:val="0"/>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rPr>
              <w:t>企业日常应及时检修设备、按操作规程严格操作，并定期巡视、检修，确保废气治理设施正常运行，避免非正常工况出现。另外，企业应建立废气非正常排放应急预案，一旦废气治理措施出现故障，应立即启动反应机制，避免</w:t>
            </w:r>
            <w:r>
              <w:rPr>
                <w:rFonts w:hint="eastAsia" w:cs="Times New Roman"/>
                <w:color w:val="auto"/>
                <w:sz w:val="24"/>
                <w:szCs w:val="24"/>
                <w:lang w:val="en-US" w:eastAsia="zh-CN"/>
              </w:rPr>
              <w:t>非正常工况的发生</w:t>
            </w:r>
            <w:r>
              <w:rPr>
                <w:rFonts w:hint="default" w:ascii="Times New Roman" w:hAnsi="Times New Roman" w:eastAsia="宋体" w:cs="Times New Roman"/>
                <w:color w:val="auto"/>
                <w:sz w:val="24"/>
                <w:szCs w:val="24"/>
              </w:rPr>
              <w:t>。</w:t>
            </w:r>
          </w:p>
          <w:p w14:paraId="4A3E37A0">
            <w:pPr>
              <w:pStyle w:val="36"/>
              <w:keepNext w:val="0"/>
              <w:keepLines w:val="0"/>
              <w:pageBreakBefore w:val="0"/>
              <w:widowControl w:val="0"/>
              <w:numPr>
                <w:ilvl w:val="0"/>
                <w:numId w:val="30"/>
              </w:numPr>
              <w:kinsoku/>
              <w:wordWrap/>
              <w:overflowPunct/>
              <w:topLinePunct w:val="0"/>
              <w:bidi w:val="0"/>
              <w:adjustRightInd w:val="0"/>
              <w:snapToGrid/>
              <w:spacing w:before="0" w:beforeLines="0" w:line="360" w:lineRule="auto"/>
              <w:ind w:left="0" w:leftChars="0" w:firstLine="482" w:firstLineChars="200"/>
              <w:jc w:val="left"/>
              <w:textAlignment w:val="auto"/>
              <w:rPr>
                <w:rFonts w:hint="eastAsia" w:ascii="Times New Roman" w:hAnsi="Times New Roman" w:eastAsia="宋体" w:cs="Times New Roman"/>
                <w:b/>
                <w:bCs/>
                <w:color w:val="auto"/>
                <w:sz w:val="24"/>
                <w:szCs w:val="24"/>
                <w:highlight w:val="none"/>
                <w:lang w:val="en-US" w:eastAsia="zh-CN"/>
              </w:rPr>
            </w:pPr>
            <w:r>
              <w:rPr>
                <w:rFonts w:hint="eastAsia" w:ascii="Times New Roman" w:hAnsi="Times New Roman" w:eastAsia="宋体" w:cs="Times New Roman"/>
                <w:b/>
                <w:bCs/>
                <w:color w:val="auto"/>
                <w:sz w:val="24"/>
                <w:szCs w:val="24"/>
                <w:highlight w:val="none"/>
                <w:lang w:val="en-US" w:eastAsia="zh-CN"/>
              </w:rPr>
              <w:t xml:space="preserve">废气治理措施合理性分析 </w:t>
            </w:r>
          </w:p>
          <w:p w14:paraId="3C866C95">
            <w:pPr>
              <w:keepNext w:val="0"/>
              <w:keepLines w:val="0"/>
              <w:pageBreakBefore w:val="0"/>
              <w:widowControl/>
              <w:kinsoku/>
              <w:wordWrap/>
              <w:overflowPunct/>
              <w:topLinePunct w:val="0"/>
              <w:bidi w:val="0"/>
              <w:adjustRightInd w:val="0"/>
              <w:snapToGrid w:val="0"/>
              <w:spacing w:line="360" w:lineRule="auto"/>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活性炭又称活性炭黑。吸附剂采用特殊成型的活性炭作为吸附剂，吸附剂具有寿命长，吸附系统阻力低净化效率高的特点。吸附是一个物理过程，活性炭具有疏松多孔的结构特点，比表面积很大，当它与有机气体接触时，产生的强烈的相互作用力，废气中部分有机物被截留，从而净化气体。</w:t>
            </w:r>
          </w:p>
          <w:p w14:paraId="165976EE">
            <w:pPr>
              <w:keepNext w:val="0"/>
              <w:keepLines w:val="0"/>
              <w:pageBreakBefore w:val="0"/>
              <w:widowControl/>
              <w:kinsoku/>
              <w:wordWrap/>
              <w:overflowPunct/>
              <w:topLinePunct w:val="0"/>
              <w:bidi w:val="0"/>
              <w:adjustRightInd w:val="0"/>
              <w:snapToGrid w:val="0"/>
              <w:spacing w:line="360" w:lineRule="auto"/>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活性炭吸附装置是一种高效率经济实用型有机废气的净化与治理装置，也是一种废气过滤吸附异味、恶臭气体(氨、硫化氢)的环保设备产品。活性炭吸附具有吸附效率高、适用面广、维护方便，能同时处理多种混合废气等优点，适用于低浓度大风量或高浓度间歇排放废气的作业环境。</w:t>
            </w:r>
          </w:p>
          <w:p w14:paraId="0185E8CF">
            <w:pPr>
              <w:keepNext w:val="0"/>
              <w:keepLines w:val="0"/>
              <w:pageBreakBefore w:val="0"/>
              <w:widowControl/>
              <w:kinsoku/>
              <w:wordWrap/>
              <w:overflowPunct/>
              <w:topLinePunct w:val="0"/>
              <w:bidi w:val="0"/>
              <w:adjustRightInd w:val="0"/>
              <w:snapToGrid w:val="0"/>
              <w:spacing w:line="360" w:lineRule="auto"/>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根据《排污许可证申请与核发技术规范工业固体废物和危险废物治理》(HJ1033-2019)中对危险废物贮存单元废气治理技术无推荐可行技术，本项目采用活性炭吸附技术为有机废气治理中常用技术，本项目有机废气产生量及产生浓度较低，活性炭吸附对VOCs具有稳定的去除效率，采用活性炭吸附处理工艺，可有效降低废气中的挥发性有机物的含量，根据例行监测，有机废气经处理后可达标排放。活性炭吸附处理设施成熟，经济可行性高，污染物能够稳定达标排放，措施可行。</w:t>
            </w:r>
          </w:p>
          <w:p w14:paraId="124AE207">
            <w:pPr>
              <w:pStyle w:val="36"/>
              <w:keepNext w:val="0"/>
              <w:keepLines w:val="0"/>
              <w:pageBreakBefore w:val="0"/>
              <w:widowControl w:val="0"/>
              <w:numPr>
                <w:ilvl w:val="0"/>
                <w:numId w:val="30"/>
              </w:numPr>
              <w:kinsoku/>
              <w:wordWrap/>
              <w:overflowPunct/>
              <w:topLinePunct w:val="0"/>
              <w:bidi w:val="0"/>
              <w:adjustRightInd w:val="0"/>
              <w:snapToGrid/>
              <w:spacing w:before="0" w:beforeLines="0" w:line="360" w:lineRule="auto"/>
              <w:ind w:left="0" w:leftChars="0" w:firstLine="482" w:firstLineChars="200"/>
              <w:jc w:val="left"/>
              <w:textAlignment w:val="auto"/>
              <w:rPr>
                <w:rFonts w:hint="eastAsia" w:ascii="Times New Roman" w:hAnsi="Times New Roman" w:eastAsia="宋体" w:cs="Times New Roman"/>
                <w:b/>
                <w:bCs/>
                <w:color w:val="auto"/>
                <w:sz w:val="24"/>
                <w:szCs w:val="24"/>
                <w:highlight w:val="none"/>
                <w:lang w:val="en-US" w:eastAsia="zh-CN"/>
              </w:rPr>
            </w:pPr>
            <w:r>
              <w:rPr>
                <w:rFonts w:hint="eastAsia" w:ascii="Times New Roman" w:hAnsi="Times New Roman" w:eastAsia="宋体" w:cs="Times New Roman"/>
                <w:b/>
                <w:bCs/>
                <w:color w:val="auto"/>
                <w:sz w:val="24"/>
                <w:szCs w:val="24"/>
                <w:highlight w:val="none"/>
                <w:lang w:val="en-US" w:eastAsia="zh-CN"/>
              </w:rPr>
              <w:t xml:space="preserve">废气环境影响分析 </w:t>
            </w:r>
          </w:p>
          <w:p w14:paraId="1CBC2C85">
            <w:pPr>
              <w:keepNext w:val="0"/>
              <w:keepLines w:val="0"/>
              <w:widowControl/>
              <w:suppressLineNumbers w:val="0"/>
              <w:spacing w:line="360" w:lineRule="auto"/>
              <w:ind w:firstLine="480" w:firstLineChars="200"/>
              <w:jc w:val="left"/>
              <w:rPr>
                <w:rFonts w:hint="eastAsia" w:cs="Times New Roman"/>
                <w:color w:val="auto"/>
                <w:sz w:val="24"/>
                <w:szCs w:val="24"/>
                <w:lang w:eastAsia="zh-CN"/>
              </w:rPr>
            </w:pPr>
            <w:r>
              <w:rPr>
                <w:rFonts w:hint="default" w:ascii="Times New Roman" w:hAnsi="Times New Roman" w:eastAsia="宋体" w:cs="Times New Roman"/>
                <w:color w:val="auto"/>
                <w:sz w:val="24"/>
                <w:szCs w:val="24"/>
              </w:rPr>
              <w:t>本项目位于环境空气不达标区，涉及的区域超标因子为</w:t>
            </w:r>
            <w:r>
              <w:rPr>
                <w:rFonts w:hint="default" w:ascii="Times New Roman" w:hAnsi="Times New Roman" w:eastAsia="宋体" w:cs="Times New Roman"/>
                <w:color w:val="auto"/>
                <w:sz w:val="24"/>
                <w:szCs w:val="24"/>
                <w:highlight w:val="none"/>
                <w:lang w:eastAsia="zh-CN"/>
              </w:rPr>
              <w:t>细颗粒物（PM</w:t>
            </w:r>
            <w:r>
              <w:rPr>
                <w:rFonts w:hint="default" w:ascii="Times New Roman" w:hAnsi="Times New Roman" w:eastAsia="宋体" w:cs="Times New Roman"/>
                <w:color w:val="auto"/>
                <w:sz w:val="24"/>
                <w:szCs w:val="24"/>
                <w:highlight w:val="none"/>
                <w:vertAlign w:val="subscript"/>
                <w:lang w:eastAsia="zh-CN"/>
              </w:rPr>
              <w:t>2.5</w:t>
            </w:r>
            <w:r>
              <w:rPr>
                <w:rFonts w:hint="default" w:ascii="Times New Roman" w:hAnsi="Times New Roman" w:eastAsia="宋体" w:cs="Times New Roman"/>
                <w:color w:val="auto"/>
                <w:sz w:val="24"/>
                <w:szCs w:val="24"/>
                <w:highlight w:val="none"/>
                <w:lang w:eastAsia="zh-CN"/>
              </w:rPr>
              <w:t>）、臭氧（O</w:t>
            </w:r>
            <w:r>
              <w:rPr>
                <w:rFonts w:hint="default" w:ascii="Times New Roman" w:hAnsi="Times New Roman" w:eastAsia="宋体" w:cs="Times New Roman"/>
                <w:color w:val="auto"/>
                <w:sz w:val="24"/>
                <w:szCs w:val="24"/>
                <w:highlight w:val="none"/>
                <w:vertAlign w:val="subscript"/>
                <w:lang w:eastAsia="zh-CN"/>
              </w:rPr>
              <w:t>3</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rPr>
              <w:t>。针对区域PM</w:t>
            </w:r>
            <w:r>
              <w:rPr>
                <w:rFonts w:hint="default" w:ascii="Times New Roman" w:hAnsi="Times New Roman" w:eastAsia="宋体" w:cs="Times New Roman"/>
                <w:color w:val="auto"/>
                <w:sz w:val="24"/>
                <w:szCs w:val="24"/>
                <w:vertAlign w:val="subscript"/>
              </w:rPr>
              <w:t>2.5</w:t>
            </w:r>
            <w:r>
              <w:rPr>
                <w:rFonts w:hint="eastAsia" w:cs="Times New Roman"/>
                <w:color w:val="auto"/>
                <w:sz w:val="24"/>
                <w:szCs w:val="24"/>
                <w:lang w:eastAsia="zh-CN"/>
              </w:rPr>
              <w:t>、</w:t>
            </w:r>
            <w:r>
              <w:rPr>
                <w:rFonts w:hint="default" w:ascii="Times New Roman" w:hAnsi="Times New Roman" w:eastAsia="宋体" w:cs="Times New Roman"/>
                <w:color w:val="auto"/>
                <w:sz w:val="24"/>
                <w:szCs w:val="24"/>
                <w:highlight w:val="none"/>
                <w:lang w:eastAsia="zh-CN"/>
              </w:rPr>
              <w:t>O</w:t>
            </w:r>
            <w:r>
              <w:rPr>
                <w:rFonts w:hint="default" w:ascii="Times New Roman" w:hAnsi="Times New Roman" w:eastAsia="宋体" w:cs="Times New Roman"/>
                <w:color w:val="auto"/>
                <w:sz w:val="24"/>
                <w:szCs w:val="24"/>
                <w:highlight w:val="none"/>
                <w:vertAlign w:val="subscript"/>
                <w:lang w:eastAsia="zh-CN"/>
              </w:rPr>
              <w:t>3</w:t>
            </w:r>
            <w:r>
              <w:rPr>
                <w:rFonts w:hint="default" w:ascii="Times New Roman" w:hAnsi="Times New Roman" w:eastAsia="宋体" w:cs="Times New Roman"/>
                <w:color w:val="auto"/>
                <w:sz w:val="24"/>
                <w:szCs w:val="24"/>
              </w:rPr>
              <w:t>超标现象，</w:t>
            </w:r>
            <w:r>
              <w:rPr>
                <w:rFonts w:hint="eastAsia" w:cs="Times New Roman"/>
                <w:color w:val="auto"/>
                <w:sz w:val="24"/>
                <w:szCs w:val="24"/>
                <w:lang w:val="en-US" w:eastAsia="zh-CN"/>
              </w:rPr>
              <w:t>淄川区</w:t>
            </w:r>
            <w:r>
              <w:rPr>
                <w:rFonts w:hint="default" w:ascii="Times New Roman" w:hAnsi="Times New Roman" w:eastAsia="宋体" w:cs="Times New Roman"/>
                <w:color w:val="auto"/>
                <w:sz w:val="24"/>
                <w:szCs w:val="24"/>
              </w:rPr>
              <w:t>将认真落实</w:t>
            </w:r>
            <w:r>
              <w:rPr>
                <w:rFonts w:hint="eastAsia" w:cs="Times New Roman"/>
                <w:color w:val="auto"/>
                <w:sz w:val="24"/>
                <w:szCs w:val="24"/>
                <w:lang w:val="en-US" w:eastAsia="zh-CN"/>
              </w:rPr>
              <w:t>各文件中提出的</w:t>
            </w:r>
            <w:r>
              <w:rPr>
                <w:rFonts w:hint="default" w:ascii="Times New Roman" w:hAnsi="Times New Roman" w:eastAsia="宋体" w:cs="Times New Roman"/>
                <w:color w:val="auto"/>
                <w:sz w:val="24"/>
                <w:szCs w:val="24"/>
              </w:rPr>
              <w:t>措施后，环境空气质量会逐步改善。</w:t>
            </w:r>
            <w:r>
              <w:rPr>
                <w:rFonts w:hint="eastAsia" w:cs="Times New Roman"/>
                <w:color w:val="auto"/>
                <w:sz w:val="24"/>
                <w:szCs w:val="24"/>
                <w:lang w:val="en-US" w:eastAsia="zh-CN"/>
              </w:rPr>
              <w:t>本</w:t>
            </w:r>
            <w:r>
              <w:rPr>
                <w:rFonts w:hint="default" w:ascii="Times New Roman" w:hAnsi="Times New Roman" w:eastAsia="宋体" w:cs="Times New Roman"/>
                <w:color w:val="auto"/>
                <w:sz w:val="24"/>
                <w:szCs w:val="24"/>
              </w:rPr>
              <w:t>项目所在区域内无自然保护区、保护文物及风景名胜区等特殊环境敏感目标</w:t>
            </w:r>
            <w:r>
              <w:rPr>
                <w:rFonts w:hint="eastAsia" w:cs="Times New Roman"/>
                <w:color w:val="auto"/>
                <w:sz w:val="24"/>
                <w:szCs w:val="24"/>
                <w:lang w:eastAsia="zh-CN"/>
              </w:rPr>
              <w:t>。</w:t>
            </w:r>
          </w:p>
          <w:p w14:paraId="722A3B96">
            <w:pPr>
              <w:keepNext w:val="0"/>
              <w:keepLines w:val="0"/>
              <w:widowControl/>
              <w:suppressLineNumbers w:val="0"/>
              <w:spacing w:line="360" w:lineRule="auto"/>
              <w:ind w:firstLine="480" w:firstLineChars="200"/>
              <w:jc w:val="left"/>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color w:val="auto"/>
                <w:sz w:val="24"/>
                <w:szCs w:val="24"/>
              </w:rPr>
              <w:t>本</w:t>
            </w:r>
            <w:r>
              <w:rPr>
                <w:rFonts w:hint="default" w:ascii="Times New Roman" w:hAnsi="Times New Roman" w:cs="Times New Roman"/>
                <w:color w:val="auto"/>
                <w:sz w:val="24"/>
                <w:szCs w:val="24"/>
                <w:highlight w:val="none"/>
                <w:lang w:val="en-US" w:eastAsia="zh-CN"/>
              </w:rPr>
              <w:t>项目接收入场贮存的危险废物均已在产废单位包装完好，</w:t>
            </w:r>
            <w:r>
              <w:rPr>
                <w:rFonts w:hint="eastAsia" w:ascii="Times New Roman" w:hAnsi="Times New Roman" w:cs="Times New Roman"/>
                <w:color w:val="auto"/>
                <w:sz w:val="24"/>
                <w:szCs w:val="24"/>
                <w:highlight w:val="none"/>
                <w:lang w:val="en-US" w:eastAsia="zh-CN"/>
              </w:rPr>
              <w:t>满足</w:t>
            </w:r>
            <w:r>
              <w:rPr>
                <w:rFonts w:hint="default" w:ascii="Times New Roman" w:hAnsi="Times New Roman" w:cs="Times New Roman"/>
                <w:color w:val="auto"/>
                <w:sz w:val="24"/>
                <w:szCs w:val="24"/>
                <w:highlight w:val="none"/>
                <w:lang w:val="en-US" w:eastAsia="zh-CN"/>
              </w:rPr>
              <w:t>《危险废物贮存污染控制标准》</w:t>
            </w:r>
            <w:r>
              <w:rPr>
                <w:rFonts w:hint="eastAsia"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GB18597-2023</w:t>
            </w:r>
            <w:r>
              <w:rPr>
                <w:rFonts w:hint="eastAsia" w:cs="Times New Roman"/>
                <w:color w:val="auto"/>
                <w:sz w:val="24"/>
                <w:szCs w:val="24"/>
                <w:highlight w:val="none"/>
                <w:lang w:val="en-US" w:eastAsia="zh-CN"/>
              </w:rPr>
              <w:t>）</w:t>
            </w:r>
            <w:r>
              <w:rPr>
                <w:rFonts w:hint="eastAsia" w:ascii="Times New Roman" w:hAnsi="Times New Roman" w:cs="Times New Roman"/>
                <w:color w:val="auto"/>
                <w:sz w:val="24"/>
                <w:szCs w:val="24"/>
                <w:highlight w:val="none"/>
                <w:lang w:val="en-US" w:eastAsia="zh-CN"/>
              </w:rPr>
              <w:t>、《危险废物收集 贮存 运输技术规范》（HJ 2025-2012）</w:t>
            </w:r>
            <w:r>
              <w:rPr>
                <w:rFonts w:hint="default" w:ascii="Times New Roman" w:hAnsi="Times New Roman" w:cs="Times New Roman"/>
                <w:color w:val="auto"/>
                <w:sz w:val="24"/>
                <w:szCs w:val="24"/>
                <w:highlight w:val="none"/>
                <w:lang w:val="en-US" w:eastAsia="zh-CN"/>
              </w:rPr>
              <w:t>中的有关规定</w:t>
            </w:r>
            <w:r>
              <w:rPr>
                <w:rFonts w:hint="eastAsia" w:ascii="Times New Roman" w:hAnsi="Times New Roman" w:cs="Times New Roman"/>
                <w:color w:val="auto"/>
                <w:sz w:val="24"/>
                <w:szCs w:val="24"/>
                <w:highlight w:val="none"/>
                <w:lang w:val="en-US" w:eastAsia="zh-CN"/>
              </w:rPr>
              <w:t>方可允许入场</w:t>
            </w:r>
            <w:r>
              <w:rPr>
                <w:rFonts w:hint="default" w:ascii="Times New Roman" w:hAnsi="Times New Roman" w:cs="Times New Roman"/>
                <w:color w:val="auto"/>
                <w:sz w:val="24"/>
                <w:szCs w:val="24"/>
                <w:highlight w:val="none"/>
                <w:lang w:val="en-US" w:eastAsia="zh-CN"/>
              </w:rPr>
              <w:t>。收集的各类危险废物入库和转运出库的包装方式不变，不倒罐不分装，均采用密闭包装容器进行贮存</w:t>
            </w:r>
            <w:r>
              <w:rPr>
                <w:rFonts w:hint="eastAsia" w:ascii="Times New Roman" w:hAnsi="Times New Roman" w:eastAsia="宋体" w:cs="Times New Roman"/>
                <w:color w:val="auto"/>
                <w:sz w:val="24"/>
                <w:szCs w:val="24"/>
              </w:rPr>
              <w:t>，</w:t>
            </w:r>
            <w:r>
              <w:rPr>
                <w:rFonts w:hint="eastAsia" w:cs="Times New Roman"/>
                <w:color w:val="auto"/>
                <w:sz w:val="24"/>
                <w:szCs w:val="24"/>
                <w:lang w:val="en-US" w:eastAsia="zh-CN"/>
              </w:rPr>
              <w:t>VOCs（以非甲烷总烃计）、</w:t>
            </w:r>
            <w:r>
              <w:rPr>
                <w:rFonts w:hint="eastAsia" w:ascii="Times New Roman" w:hAnsi="Times New Roman" w:eastAsia="宋体" w:cs="Times New Roman"/>
                <w:color w:val="auto"/>
                <w:sz w:val="24"/>
                <w:szCs w:val="24"/>
              </w:rPr>
              <w:t>硫酸雾</w:t>
            </w:r>
            <w:r>
              <w:rPr>
                <w:rFonts w:hint="eastAsia" w:cs="Times New Roman"/>
                <w:color w:val="auto"/>
                <w:sz w:val="24"/>
                <w:szCs w:val="24"/>
                <w:lang w:eastAsia="zh-CN"/>
              </w:rPr>
              <w:t>、</w:t>
            </w:r>
            <w:r>
              <w:rPr>
                <w:rFonts w:hint="eastAsia" w:cs="Times New Roman"/>
                <w:color w:val="auto"/>
                <w:sz w:val="24"/>
                <w:szCs w:val="24"/>
                <w:lang w:val="en-US" w:eastAsia="zh-CN"/>
              </w:rPr>
              <w:t>氯化氢</w:t>
            </w:r>
            <w:r>
              <w:rPr>
                <w:rFonts w:hint="eastAsia" w:ascii="Times New Roman" w:hAnsi="Times New Roman" w:eastAsia="宋体" w:cs="Times New Roman"/>
                <w:color w:val="auto"/>
                <w:sz w:val="24"/>
                <w:szCs w:val="24"/>
              </w:rPr>
              <w:t>排放量很小</w:t>
            </w:r>
            <w:r>
              <w:rPr>
                <w:rFonts w:hint="default" w:ascii="Times New Roman" w:hAnsi="Times New Roman" w:eastAsia="宋体" w:cs="Times New Roman"/>
                <w:color w:val="auto"/>
                <w:sz w:val="24"/>
                <w:szCs w:val="24"/>
              </w:rPr>
              <w:t>，对周边环境空气质量及保护目标影响小，故</w:t>
            </w:r>
            <w:r>
              <w:rPr>
                <w:rFonts w:hint="eastAsia" w:cs="Times New Roman"/>
                <w:color w:val="auto"/>
                <w:sz w:val="24"/>
                <w:szCs w:val="24"/>
                <w:lang w:val="en-US" w:eastAsia="zh-CN"/>
              </w:rPr>
              <w:t>本</w:t>
            </w:r>
            <w:r>
              <w:rPr>
                <w:rFonts w:hint="default" w:ascii="Times New Roman" w:hAnsi="Times New Roman" w:eastAsia="宋体" w:cs="Times New Roman"/>
                <w:color w:val="auto"/>
                <w:sz w:val="24"/>
                <w:szCs w:val="24"/>
              </w:rPr>
              <w:t>项目建设对大气环境的影响可接受。</w:t>
            </w:r>
          </w:p>
          <w:p w14:paraId="775225A6">
            <w:pPr>
              <w:pStyle w:val="36"/>
              <w:keepNext w:val="0"/>
              <w:keepLines w:val="0"/>
              <w:pageBreakBefore w:val="0"/>
              <w:widowControl w:val="0"/>
              <w:numPr>
                <w:ilvl w:val="0"/>
                <w:numId w:val="30"/>
              </w:numPr>
              <w:kinsoku/>
              <w:wordWrap/>
              <w:overflowPunct/>
              <w:topLinePunct w:val="0"/>
              <w:bidi w:val="0"/>
              <w:adjustRightInd w:val="0"/>
              <w:snapToGrid/>
              <w:spacing w:before="0" w:beforeLines="0" w:line="360" w:lineRule="auto"/>
              <w:ind w:left="0" w:leftChars="0" w:firstLine="482" w:firstLineChars="200"/>
              <w:jc w:val="left"/>
              <w:textAlignment w:val="auto"/>
              <w:rPr>
                <w:rFonts w:hint="default" w:ascii="Times New Roman" w:hAnsi="Times New Roman" w:eastAsia="宋体" w:cs="Times New Roman"/>
                <w:b/>
                <w:bCs/>
                <w:color w:val="auto"/>
                <w:sz w:val="24"/>
                <w:szCs w:val="24"/>
                <w:highlight w:val="none"/>
                <w:lang w:val="en-US" w:eastAsia="zh-CN"/>
              </w:rPr>
            </w:pPr>
            <w:r>
              <w:rPr>
                <w:rFonts w:hint="eastAsia" w:ascii="Times New Roman" w:hAnsi="Times New Roman" w:eastAsia="宋体" w:cs="Times New Roman"/>
                <w:b/>
                <w:bCs/>
                <w:color w:val="auto"/>
                <w:sz w:val="24"/>
                <w:szCs w:val="24"/>
                <w:highlight w:val="none"/>
                <w:lang w:val="en-US" w:eastAsia="zh-CN"/>
              </w:rPr>
              <w:t>监测计划</w:t>
            </w:r>
          </w:p>
          <w:p w14:paraId="3B8FF6DD">
            <w:pPr>
              <w:pStyle w:val="36"/>
              <w:keepNext w:val="0"/>
              <w:keepLines w:val="0"/>
              <w:pageBreakBefore w:val="0"/>
              <w:widowControl w:val="0"/>
              <w:kinsoku/>
              <w:wordWrap/>
              <w:overflowPunct/>
              <w:topLinePunct w:val="0"/>
              <w:autoSpaceDE w:val="0"/>
              <w:autoSpaceDN w:val="0"/>
              <w:bidi w:val="0"/>
              <w:adjustRightInd w:val="0"/>
              <w:snapToGrid w:val="0"/>
              <w:spacing w:before="0" w:beforeLines="0" w:line="360" w:lineRule="auto"/>
              <w:ind w:firstLine="480" w:firstLineChars="200"/>
              <w:jc w:val="left"/>
              <w:textAlignment w:val="auto"/>
              <w:rPr>
                <w:rFonts w:hint="default" w:ascii="宋体" w:hAnsi="宋体" w:eastAsia="宋体" w:cs="宋体"/>
                <w:color w:val="auto"/>
                <w:sz w:val="24"/>
                <w:szCs w:val="24"/>
                <w:lang w:val="en-US" w:eastAsia="zh-CN"/>
              </w:rPr>
            </w:pPr>
            <w:r>
              <w:rPr>
                <w:rFonts w:hint="eastAsia" w:ascii="Times New Roman" w:hAnsi="Times New Roman" w:eastAsia="宋体" w:cs="Times New Roman"/>
                <w:color w:val="auto"/>
                <w:kern w:val="2"/>
                <w:sz w:val="24"/>
                <w:szCs w:val="24"/>
                <w:lang w:val="en-US" w:eastAsia="zh-CN" w:bidi="ar-SA"/>
              </w:rPr>
              <w:t>根</w:t>
            </w:r>
            <w:r>
              <w:rPr>
                <w:rFonts w:hint="default" w:ascii="Times New Roman" w:hAnsi="Times New Roman" w:eastAsia="宋体" w:cs="Times New Roman"/>
                <w:color w:val="auto"/>
                <w:kern w:val="2"/>
                <w:sz w:val="24"/>
                <w:szCs w:val="24"/>
                <w:lang w:val="en-US" w:eastAsia="zh-CN" w:bidi="ar-SA"/>
              </w:rPr>
              <w:t>据</w:t>
            </w:r>
            <w:r>
              <w:rPr>
                <w:rFonts w:hint="eastAsia" w:ascii="Times New Roman" w:hAnsi="Times New Roman" w:eastAsia="宋体" w:cs="Times New Roman"/>
                <w:color w:val="auto"/>
                <w:kern w:val="2"/>
                <w:sz w:val="24"/>
                <w:szCs w:val="24"/>
                <w:lang w:val="en-US" w:eastAsia="zh-CN" w:bidi="ar-SA"/>
              </w:rPr>
              <w:t>《</w:t>
            </w:r>
            <w:r>
              <w:rPr>
                <w:rFonts w:hint="default" w:ascii="Times New Roman" w:hAnsi="Times New Roman" w:eastAsia="宋体" w:cs="Times New Roman"/>
                <w:color w:val="auto"/>
                <w:kern w:val="2"/>
                <w:sz w:val="24"/>
                <w:szCs w:val="24"/>
                <w:lang w:val="en-US" w:eastAsia="zh-CN" w:bidi="ar-SA"/>
              </w:rPr>
              <w:t xml:space="preserve">排污单位自行监测技术指南 </w:t>
            </w:r>
            <w:r>
              <w:rPr>
                <w:rFonts w:hint="eastAsia" w:ascii="Times New Roman" w:cs="Times New Roman"/>
                <w:color w:val="auto"/>
                <w:kern w:val="2"/>
                <w:sz w:val="24"/>
                <w:szCs w:val="24"/>
                <w:lang w:val="en-US" w:eastAsia="zh-CN" w:bidi="ar-SA"/>
              </w:rPr>
              <w:t>总则</w:t>
            </w:r>
            <w:r>
              <w:rPr>
                <w:rFonts w:hint="eastAsia" w:ascii="Times New Roman" w:hAnsi="Times New Roman" w:eastAsia="宋体" w:cs="Times New Roman"/>
                <w:color w:val="auto"/>
                <w:kern w:val="2"/>
                <w:sz w:val="24"/>
                <w:szCs w:val="24"/>
                <w:lang w:val="en-US" w:eastAsia="zh-CN" w:bidi="ar-SA"/>
              </w:rPr>
              <w:t>》（HJ</w:t>
            </w:r>
            <w:r>
              <w:rPr>
                <w:rFonts w:hint="eastAsia" w:ascii="Times New Roman" w:cs="Times New Roman"/>
                <w:color w:val="auto"/>
                <w:kern w:val="2"/>
                <w:sz w:val="24"/>
                <w:szCs w:val="24"/>
                <w:lang w:val="en-US" w:eastAsia="zh-CN" w:bidi="ar-SA"/>
              </w:rPr>
              <w:t>819-2017</w:t>
            </w:r>
            <w:r>
              <w:rPr>
                <w:rFonts w:hint="eastAsia" w:ascii="Times New Roman" w:hAnsi="Times New Roman" w:eastAsia="宋体" w:cs="Times New Roman"/>
                <w:color w:val="auto"/>
                <w:kern w:val="2"/>
                <w:sz w:val="24"/>
                <w:szCs w:val="24"/>
                <w:lang w:val="en-US" w:eastAsia="zh-CN" w:bidi="ar-SA"/>
              </w:rPr>
              <w:t>）</w:t>
            </w:r>
            <w:r>
              <w:rPr>
                <w:rFonts w:hint="eastAsia" w:ascii="Times New Roman" w:cs="Times New Roman"/>
                <w:color w:val="auto"/>
                <w:kern w:val="2"/>
                <w:sz w:val="24"/>
                <w:szCs w:val="24"/>
                <w:lang w:val="en-US" w:eastAsia="zh-CN" w:bidi="ar-SA"/>
              </w:rPr>
              <w:t>、</w:t>
            </w:r>
            <w:r>
              <w:rPr>
                <w:rFonts w:hint="default" w:ascii="Times New Roman" w:hAnsi="Times New Roman" w:eastAsia="宋体" w:cs="Times New Roman"/>
                <w:color w:val="auto"/>
                <w:kern w:val="0"/>
                <w:sz w:val="24"/>
                <w:szCs w:val="24"/>
                <w:lang w:val="en-US" w:eastAsia="zh-CN" w:bidi="ar"/>
              </w:rPr>
              <w:t>《排污许可证申请与核发技术规范</w:t>
            </w:r>
            <w:r>
              <w:rPr>
                <w:rFonts w:hint="eastAsia" w:ascii="Times New Roman" w:cs="Times New Roman"/>
                <w:color w:val="auto"/>
                <w:kern w:val="0"/>
                <w:sz w:val="24"/>
                <w:szCs w:val="24"/>
                <w:lang w:val="en-US" w:eastAsia="zh-CN" w:bidi="ar"/>
              </w:rPr>
              <w:t xml:space="preserve"> </w:t>
            </w:r>
            <w:r>
              <w:rPr>
                <w:rFonts w:hint="default" w:ascii="Times New Roman" w:hAnsi="Times New Roman" w:eastAsia="宋体" w:cs="Times New Roman"/>
                <w:color w:val="auto"/>
                <w:kern w:val="0"/>
                <w:sz w:val="24"/>
                <w:szCs w:val="24"/>
                <w:lang w:val="en-US" w:eastAsia="zh-CN" w:bidi="ar"/>
              </w:rPr>
              <w:t>工业固体废物和危险废物治理》</w:t>
            </w:r>
            <w:r>
              <w:rPr>
                <w:rFonts w:hint="eastAsia" w:ascii="Times New Roman"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HJ1033-2019</w:t>
            </w:r>
            <w:r>
              <w:rPr>
                <w:rFonts w:hint="eastAsia" w:ascii="Times New Roman" w:cs="Times New Roman"/>
                <w:color w:val="auto"/>
                <w:kern w:val="0"/>
                <w:sz w:val="24"/>
                <w:szCs w:val="24"/>
                <w:lang w:val="en-US" w:eastAsia="zh-CN" w:bidi="ar"/>
              </w:rPr>
              <w:t>）、《排污单位自行监测技术指南 工业固体废物和危险废物治理》（HJ 1250-2022）</w:t>
            </w:r>
            <w:r>
              <w:rPr>
                <w:rFonts w:hint="default" w:ascii="Times New Roman" w:hAnsi="Times New Roman" w:eastAsia="宋体" w:cs="Times New Roman"/>
                <w:color w:val="auto"/>
                <w:kern w:val="0"/>
                <w:sz w:val="24"/>
                <w:szCs w:val="24"/>
                <w:lang w:val="en-US" w:eastAsia="zh-CN" w:bidi="ar"/>
              </w:rPr>
              <w:t>要求</w:t>
            </w:r>
            <w:r>
              <w:rPr>
                <w:rFonts w:hint="eastAsia" w:ascii="Times New Roman" w:hAnsi="Times New Roman" w:eastAsia="宋体" w:cs="Times New Roman"/>
                <w:color w:val="auto"/>
                <w:kern w:val="2"/>
                <w:sz w:val="24"/>
                <w:szCs w:val="24"/>
                <w:lang w:val="en-US" w:eastAsia="zh-CN" w:bidi="ar-SA"/>
              </w:rPr>
              <w:t>，</w:t>
            </w:r>
            <w:r>
              <w:rPr>
                <w:rFonts w:hint="eastAsia" w:ascii="Times New Roman" w:cs="Times New Roman"/>
                <w:color w:val="auto"/>
                <w:kern w:val="2"/>
                <w:sz w:val="24"/>
                <w:szCs w:val="24"/>
                <w:lang w:val="en-US" w:eastAsia="zh-CN" w:bidi="ar-SA"/>
              </w:rPr>
              <w:t>结合现有项目排污许可证相关内容，</w:t>
            </w:r>
            <w:r>
              <w:rPr>
                <w:rFonts w:hint="eastAsia" w:ascii="Times New Roman" w:hAnsi="Times New Roman" w:eastAsia="宋体" w:cs="Times New Roman"/>
                <w:color w:val="auto"/>
                <w:kern w:val="2"/>
                <w:sz w:val="24"/>
                <w:szCs w:val="24"/>
                <w:lang w:val="en-US" w:eastAsia="zh-CN" w:bidi="ar-SA"/>
              </w:rPr>
              <w:t>本项目</w:t>
            </w:r>
            <w:r>
              <w:rPr>
                <w:rFonts w:hint="default" w:ascii="Times New Roman" w:hAnsi="Times New Roman" w:eastAsia="宋体" w:cs="Times New Roman"/>
                <w:color w:val="auto"/>
                <w:kern w:val="2"/>
                <w:sz w:val="24"/>
                <w:szCs w:val="24"/>
                <w:lang w:val="en-US" w:eastAsia="zh-CN" w:bidi="ar-SA"/>
              </w:rPr>
              <w:t>废气监测方案见下表</w:t>
            </w:r>
            <w:r>
              <w:rPr>
                <w:rFonts w:hint="eastAsia" w:ascii="Times New Roman" w:hAnsi="Times New Roman" w:eastAsia="宋体" w:cs="Times New Roman"/>
                <w:color w:val="auto"/>
                <w:kern w:val="2"/>
                <w:sz w:val="24"/>
                <w:szCs w:val="24"/>
                <w:lang w:val="en-US" w:eastAsia="zh-CN" w:bidi="ar-SA"/>
              </w:rPr>
              <w:t>。</w:t>
            </w:r>
          </w:p>
          <w:p w14:paraId="614BE3D0">
            <w:pPr>
              <w:keepNext w:val="0"/>
              <w:keepLines w:val="0"/>
              <w:pageBreakBefore w:val="0"/>
              <w:widowControl w:val="0"/>
              <w:numPr>
                <w:ilvl w:val="0"/>
                <w:numId w:val="31"/>
              </w:numPr>
              <w:kinsoku/>
              <w:wordWrap/>
              <w:overflowPunct/>
              <w:topLinePunct w:val="0"/>
              <w:autoSpaceDE w:val="0"/>
              <w:autoSpaceDN w:val="0"/>
              <w:bidi w:val="0"/>
              <w:adjustRightInd w:val="0"/>
              <w:snapToGrid/>
              <w:spacing w:line="360" w:lineRule="auto"/>
              <w:ind w:left="3150" w:leftChars="0" w:hanging="3110" w:firstLineChars="0"/>
              <w:jc w:val="center"/>
              <w:textAlignment w:val="auto"/>
              <w:rPr>
                <w:rFonts w:hint="default" w:ascii="宋体" w:hAnsi="宋体" w:eastAsia="宋体" w:cs="宋体"/>
                <w:b/>
                <w:bCs/>
                <w:color w:val="auto"/>
                <w:kern w:val="0"/>
                <w:sz w:val="24"/>
                <w:szCs w:val="24"/>
                <w:lang w:val="en-US" w:eastAsia="zh-CN" w:bidi="ar"/>
              </w:rPr>
            </w:pPr>
            <w:r>
              <w:rPr>
                <w:rFonts w:hint="default" w:ascii="宋体" w:hAnsi="宋体" w:eastAsia="宋体" w:cs="宋体"/>
                <w:b/>
                <w:bCs/>
                <w:color w:val="auto"/>
                <w:kern w:val="0"/>
                <w:sz w:val="24"/>
                <w:szCs w:val="24"/>
                <w:lang w:val="en-US" w:eastAsia="zh-CN" w:bidi="ar"/>
              </w:rPr>
              <w:t>本项目废气监测方案</w:t>
            </w:r>
          </w:p>
          <w:tbl>
            <w:tblPr>
              <w:tblStyle w:val="28"/>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48"/>
              <w:gridCol w:w="4093"/>
              <w:gridCol w:w="1967"/>
              <w:gridCol w:w="992"/>
            </w:tblGrid>
            <w:tr w14:paraId="6F5C95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7" w:hRule="atLeast"/>
                <w:jc w:val="center"/>
              </w:trPr>
              <w:tc>
                <w:tcPr>
                  <w:tcW w:w="947" w:type="pct"/>
                  <w:noWrap w:val="0"/>
                  <w:vAlign w:val="center"/>
                </w:tcPr>
                <w:p w14:paraId="061FDC5B">
                  <w:pPr>
                    <w:pStyle w:val="36"/>
                    <w:keepNext w:val="0"/>
                    <w:keepLines w:val="0"/>
                    <w:pageBreakBefore w:val="0"/>
                    <w:widowControl w:val="0"/>
                    <w:kinsoku/>
                    <w:wordWrap/>
                    <w:overflowPunct/>
                    <w:topLinePunct w:val="0"/>
                    <w:autoSpaceDE w:val="0"/>
                    <w:autoSpaceDN w:val="0"/>
                    <w:bidi w:val="0"/>
                    <w:adjustRightInd w:val="0"/>
                    <w:snapToGrid w:val="0"/>
                    <w:spacing w:before="0" w:beforeLines="0" w:line="340" w:lineRule="exact"/>
                    <w:ind w:firstLine="0"/>
                    <w:jc w:val="center"/>
                    <w:textAlignment w:val="auto"/>
                    <w:rPr>
                      <w:rFonts w:hint="default" w:ascii="Times New Roman" w:hAnsi="Times New Roman" w:eastAsia="宋体" w:cs="Times New Roman"/>
                      <w:b/>
                      <w:bCs/>
                      <w:color w:val="auto"/>
                      <w:sz w:val="21"/>
                      <w:szCs w:val="21"/>
                      <w:vertAlign w:val="baseline"/>
                      <w:lang w:eastAsia="zh-CN"/>
                    </w:rPr>
                  </w:pPr>
                  <w:r>
                    <w:rPr>
                      <w:rFonts w:hint="default" w:ascii="Times New Roman" w:hAnsi="Times New Roman" w:eastAsia="宋体" w:cs="Times New Roman"/>
                      <w:b/>
                      <w:bCs/>
                      <w:color w:val="auto"/>
                      <w:sz w:val="21"/>
                      <w:szCs w:val="21"/>
                      <w:vertAlign w:val="baseline"/>
                      <w:lang w:eastAsia="zh-CN"/>
                    </w:rPr>
                    <w:t>监测位置</w:t>
                  </w:r>
                </w:p>
              </w:tc>
              <w:tc>
                <w:tcPr>
                  <w:tcW w:w="2352" w:type="pct"/>
                  <w:noWrap w:val="0"/>
                  <w:vAlign w:val="center"/>
                </w:tcPr>
                <w:p w14:paraId="46D200DA">
                  <w:pPr>
                    <w:pStyle w:val="36"/>
                    <w:keepNext w:val="0"/>
                    <w:keepLines w:val="0"/>
                    <w:pageBreakBefore w:val="0"/>
                    <w:widowControl w:val="0"/>
                    <w:kinsoku/>
                    <w:wordWrap/>
                    <w:overflowPunct/>
                    <w:topLinePunct w:val="0"/>
                    <w:autoSpaceDE w:val="0"/>
                    <w:autoSpaceDN w:val="0"/>
                    <w:bidi w:val="0"/>
                    <w:adjustRightInd w:val="0"/>
                    <w:snapToGrid w:val="0"/>
                    <w:spacing w:before="0" w:beforeLines="0" w:line="340" w:lineRule="exact"/>
                    <w:ind w:firstLine="0"/>
                    <w:jc w:val="center"/>
                    <w:textAlignment w:val="auto"/>
                    <w:rPr>
                      <w:rFonts w:hint="default" w:ascii="Times New Roman" w:hAnsi="Times New Roman" w:eastAsia="宋体" w:cs="Times New Roman"/>
                      <w:b/>
                      <w:bCs/>
                      <w:color w:val="auto"/>
                      <w:sz w:val="21"/>
                      <w:szCs w:val="21"/>
                      <w:vertAlign w:val="baseline"/>
                    </w:rPr>
                  </w:pPr>
                  <w:r>
                    <w:rPr>
                      <w:rFonts w:hint="default" w:ascii="Times New Roman" w:hAnsi="Times New Roman" w:eastAsia="宋体" w:cs="Times New Roman"/>
                      <w:b/>
                      <w:bCs/>
                      <w:color w:val="auto"/>
                      <w:sz w:val="21"/>
                      <w:szCs w:val="21"/>
                      <w:vertAlign w:val="baseline"/>
                      <w:lang w:eastAsia="zh-CN"/>
                    </w:rPr>
                    <w:t>监测项目</w:t>
                  </w:r>
                </w:p>
              </w:tc>
              <w:tc>
                <w:tcPr>
                  <w:tcW w:w="1130" w:type="pct"/>
                  <w:noWrap w:val="0"/>
                  <w:vAlign w:val="center"/>
                </w:tcPr>
                <w:p w14:paraId="2BE33F07">
                  <w:pPr>
                    <w:pStyle w:val="36"/>
                    <w:keepNext w:val="0"/>
                    <w:keepLines w:val="0"/>
                    <w:pageBreakBefore w:val="0"/>
                    <w:widowControl w:val="0"/>
                    <w:kinsoku/>
                    <w:wordWrap/>
                    <w:overflowPunct/>
                    <w:topLinePunct w:val="0"/>
                    <w:autoSpaceDE w:val="0"/>
                    <w:autoSpaceDN w:val="0"/>
                    <w:bidi w:val="0"/>
                    <w:adjustRightInd w:val="0"/>
                    <w:snapToGrid w:val="0"/>
                    <w:spacing w:before="0" w:beforeLines="0" w:line="340" w:lineRule="exact"/>
                    <w:ind w:firstLine="0"/>
                    <w:jc w:val="center"/>
                    <w:textAlignment w:val="auto"/>
                    <w:rPr>
                      <w:rFonts w:hint="default" w:ascii="Times New Roman" w:hAnsi="Times New Roman" w:eastAsia="宋体" w:cs="Times New Roman"/>
                      <w:b/>
                      <w:bCs/>
                      <w:color w:val="auto"/>
                      <w:sz w:val="21"/>
                      <w:szCs w:val="21"/>
                      <w:vertAlign w:val="baseline"/>
                      <w:lang w:eastAsia="zh-CN"/>
                    </w:rPr>
                  </w:pPr>
                  <w:r>
                    <w:rPr>
                      <w:rFonts w:hint="default" w:ascii="Times New Roman" w:hAnsi="Times New Roman" w:eastAsia="宋体" w:cs="Times New Roman"/>
                      <w:b/>
                      <w:bCs/>
                      <w:color w:val="auto"/>
                      <w:sz w:val="21"/>
                      <w:szCs w:val="21"/>
                      <w:vertAlign w:val="baseline"/>
                      <w:lang w:eastAsia="zh-CN"/>
                    </w:rPr>
                    <w:t>监测频次</w:t>
                  </w:r>
                </w:p>
              </w:tc>
              <w:tc>
                <w:tcPr>
                  <w:tcW w:w="570" w:type="pct"/>
                  <w:noWrap w:val="0"/>
                  <w:vAlign w:val="center"/>
                </w:tcPr>
                <w:p w14:paraId="4EA44257">
                  <w:pPr>
                    <w:pStyle w:val="36"/>
                    <w:keepNext w:val="0"/>
                    <w:keepLines w:val="0"/>
                    <w:pageBreakBefore w:val="0"/>
                    <w:widowControl w:val="0"/>
                    <w:kinsoku/>
                    <w:wordWrap/>
                    <w:overflowPunct/>
                    <w:topLinePunct w:val="0"/>
                    <w:autoSpaceDE w:val="0"/>
                    <w:autoSpaceDN w:val="0"/>
                    <w:bidi w:val="0"/>
                    <w:adjustRightInd w:val="0"/>
                    <w:snapToGrid w:val="0"/>
                    <w:spacing w:before="0" w:beforeLines="0" w:line="340" w:lineRule="exact"/>
                    <w:ind w:firstLine="0"/>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cs="Times New Roman"/>
                      <w:b/>
                      <w:bCs/>
                      <w:color w:val="auto"/>
                      <w:sz w:val="21"/>
                      <w:szCs w:val="21"/>
                      <w:vertAlign w:val="baseline"/>
                      <w:lang w:val="en-US" w:eastAsia="zh-CN"/>
                    </w:rPr>
                    <w:t>备注</w:t>
                  </w:r>
                </w:p>
              </w:tc>
            </w:tr>
            <w:tr w14:paraId="3E5A00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 w:hRule="atLeast"/>
                <w:jc w:val="center"/>
              </w:trPr>
              <w:tc>
                <w:tcPr>
                  <w:tcW w:w="947" w:type="pct"/>
                  <w:vMerge w:val="restart"/>
                  <w:noWrap w:val="0"/>
                  <w:vAlign w:val="center"/>
                </w:tcPr>
                <w:p w14:paraId="7DBC0B61">
                  <w:pPr>
                    <w:pStyle w:val="36"/>
                    <w:keepNext w:val="0"/>
                    <w:keepLines w:val="0"/>
                    <w:pageBreakBefore w:val="0"/>
                    <w:widowControl w:val="0"/>
                    <w:kinsoku/>
                    <w:wordWrap/>
                    <w:overflowPunct/>
                    <w:topLinePunct w:val="0"/>
                    <w:autoSpaceDE w:val="0"/>
                    <w:autoSpaceDN w:val="0"/>
                    <w:bidi w:val="0"/>
                    <w:adjustRightInd w:val="0"/>
                    <w:snapToGrid w:val="0"/>
                    <w:spacing w:before="0" w:beforeLines="0" w:line="340" w:lineRule="exact"/>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cs="Times New Roman"/>
                      <w:b w:val="0"/>
                      <w:bCs w:val="0"/>
                      <w:color w:val="auto"/>
                      <w:sz w:val="21"/>
                      <w:szCs w:val="21"/>
                      <w:vertAlign w:val="baseline"/>
                      <w:lang w:val="en-US" w:eastAsia="zh-CN"/>
                    </w:rPr>
                    <w:t>DA001</w:t>
                  </w:r>
                </w:p>
              </w:tc>
              <w:tc>
                <w:tcPr>
                  <w:tcW w:w="2352" w:type="pct"/>
                  <w:noWrap w:val="0"/>
                  <w:vAlign w:val="center"/>
                </w:tcPr>
                <w:p w14:paraId="46C67766">
                  <w:pPr>
                    <w:pStyle w:val="36"/>
                    <w:keepNext w:val="0"/>
                    <w:keepLines w:val="0"/>
                    <w:pageBreakBefore w:val="0"/>
                    <w:widowControl w:val="0"/>
                    <w:kinsoku/>
                    <w:wordWrap/>
                    <w:overflowPunct/>
                    <w:topLinePunct w:val="0"/>
                    <w:autoSpaceDE w:val="0"/>
                    <w:autoSpaceDN w:val="0"/>
                    <w:bidi w:val="0"/>
                    <w:adjustRightInd w:val="0"/>
                    <w:snapToGrid w:val="0"/>
                    <w:spacing w:before="0" w:beforeLines="0" w:line="340" w:lineRule="exact"/>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vertAlign w:val="baseline"/>
                      <w:lang w:val="en-US" w:eastAsia="zh-CN" w:bidi="ar-SA"/>
                    </w:rPr>
                  </w:pPr>
                  <w:r>
                    <w:rPr>
                      <w:rFonts w:hint="eastAsia" w:ascii="Times New Roman" w:cs="Times New Roman"/>
                      <w:b w:val="0"/>
                      <w:bCs w:val="0"/>
                      <w:color w:val="auto"/>
                      <w:kern w:val="2"/>
                      <w:sz w:val="21"/>
                      <w:szCs w:val="21"/>
                      <w:vertAlign w:val="baseline"/>
                      <w:lang w:val="en-US" w:eastAsia="zh-CN" w:bidi="ar-SA"/>
                    </w:rPr>
                    <w:t>VOCs（以非甲烷总烃计）</w:t>
                  </w:r>
                </w:p>
              </w:tc>
              <w:tc>
                <w:tcPr>
                  <w:tcW w:w="1130" w:type="pct"/>
                  <w:noWrap w:val="0"/>
                  <w:vAlign w:val="center"/>
                </w:tcPr>
                <w:p w14:paraId="0AAB5241">
                  <w:pPr>
                    <w:pStyle w:val="36"/>
                    <w:keepNext w:val="0"/>
                    <w:keepLines w:val="0"/>
                    <w:pageBreakBefore w:val="0"/>
                    <w:widowControl w:val="0"/>
                    <w:kinsoku/>
                    <w:wordWrap/>
                    <w:overflowPunct/>
                    <w:topLinePunct w:val="0"/>
                    <w:autoSpaceDE w:val="0"/>
                    <w:autoSpaceDN w:val="0"/>
                    <w:bidi w:val="0"/>
                    <w:adjustRightInd w:val="0"/>
                    <w:snapToGrid w:val="0"/>
                    <w:spacing w:before="0" w:beforeLines="0" w:line="340" w:lineRule="exact"/>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vertAlign w:val="baseline"/>
                      <w:lang w:val="en-US" w:eastAsia="zh-CN" w:bidi="ar-SA"/>
                    </w:rPr>
                  </w:pPr>
                  <w:r>
                    <w:rPr>
                      <w:rFonts w:hint="default" w:ascii="Times New Roman" w:hAnsi="Times New Roman" w:eastAsia="宋体" w:cs="Times New Roman"/>
                      <w:b w:val="0"/>
                      <w:bCs w:val="0"/>
                      <w:color w:val="auto"/>
                      <w:sz w:val="21"/>
                      <w:szCs w:val="21"/>
                      <w:vertAlign w:val="baseline"/>
                      <w:lang w:eastAsia="zh-CN"/>
                    </w:rPr>
                    <w:t>每</w:t>
                  </w:r>
                  <w:r>
                    <w:rPr>
                      <w:rFonts w:hint="eastAsia" w:ascii="Times New Roman" w:cs="Times New Roman"/>
                      <w:b w:val="0"/>
                      <w:bCs w:val="0"/>
                      <w:color w:val="auto"/>
                      <w:sz w:val="21"/>
                      <w:szCs w:val="21"/>
                      <w:vertAlign w:val="baseline"/>
                      <w:lang w:val="en-US" w:eastAsia="zh-CN"/>
                    </w:rPr>
                    <w:t>半年</w:t>
                  </w:r>
                  <w:r>
                    <w:rPr>
                      <w:rFonts w:hint="default" w:ascii="Times New Roman" w:hAnsi="Times New Roman" w:eastAsia="宋体" w:cs="Times New Roman"/>
                      <w:b w:val="0"/>
                      <w:bCs w:val="0"/>
                      <w:color w:val="auto"/>
                      <w:sz w:val="21"/>
                      <w:szCs w:val="21"/>
                      <w:vertAlign w:val="baseline"/>
                      <w:lang w:eastAsia="zh-CN"/>
                    </w:rPr>
                    <w:t>一次</w:t>
                  </w:r>
                </w:p>
              </w:tc>
              <w:tc>
                <w:tcPr>
                  <w:tcW w:w="570" w:type="pct"/>
                  <w:noWrap w:val="0"/>
                  <w:vAlign w:val="center"/>
                </w:tcPr>
                <w:p w14:paraId="76E4B640">
                  <w:pPr>
                    <w:pStyle w:val="36"/>
                    <w:keepNext w:val="0"/>
                    <w:keepLines w:val="0"/>
                    <w:pageBreakBefore w:val="0"/>
                    <w:widowControl w:val="0"/>
                    <w:kinsoku/>
                    <w:wordWrap/>
                    <w:overflowPunct/>
                    <w:topLinePunct w:val="0"/>
                    <w:autoSpaceDE w:val="0"/>
                    <w:autoSpaceDN w:val="0"/>
                    <w:bidi w:val="0"/>
                    <w:adjustRightInd w:val="0"/>
                    <w:snapToGrid w:val="0"/>
                    <w:spacing w:before="0" w:beforeLines="0" w:line="340" w:lineRule="exact"/>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cs="Times New Roman"/>
                      <w:b w:val="0"/>
                      <w:bCs w:val="0"/>
                      <w:color w:val="auto"/>
                      <w:sz w:val="21"/>
                      <w:szCs w:val="21"/>
                      <w:vertAlign w:val="baseline"/>
                      <w:lang w:val="en-US" w:eastAsia="zh-CN"/>
                    </w:rPr>
                    <w:t>/</w:t>
                  </w:r>
                </w:p>
              </w:tc>
            </w:tr>
            <w:tr w14:paraId="56003F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 w:hRule="atLeast"/>
                <w:jc w:val="center"/>
              </w:trPr>
              <w:tc>
                <w:tcPr>
                  <w:tcW w:w="947" w:type="pct"/>
                  <w:vMerge w:val="continue"/>
                  <w:noWrap w:val="0"/>
                  <w:vAlign w:val="center"/>
                </w:tcPr>
                <w:p w14:paraId="67D44142">
                  <w:pPr>
                    <w:pStyle w:val="36"/>
                    <w:keepNext w:val="0"/>
                    <w:keepLines w:val="0"/>
                    <w:pageBreakBefore w:val="0"/>
                    <w:widowControl w:val="0"/>
                    <w:kinsoku/>
                    <w:wordWrap/>
                    <w:overflowPunct/>
                    <w:topLinePunct w:val="0"/>
                    <w:autoSpaceDE w:val="0"/>
                    <w:autoSpaceDN w:val="0"/>
                    <w:bidi w:val="0"/>
                    <w:adjustRightInd w:val="0"/>
                    <w:snapToGrid w:val="0"/>
                    <w:spacing w:before="0" w:beforeLines="0" w:line="340" w:lineRule="exact"/>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p>
              </w:tc>
              <w:tc>
                <w:tcPr>
                  <w:tcW w:w="2352" w:type="pct"/>
                  <w:shd w:val="clear" w:color="auto" w:fill="auto"/>
                  <w:noWrap w:val="0"/>
                  <w:vAlign w:val="center"/>
                </w:tcPr>
                <w:p w14:paraId="2FCC0CF5">
                  <w:pPr>
                    <w:pStyle w:val="36"/>
                    <w:keepNext w:val="0"/>
                    <w:keepLines w:val="0"/>
                    <w:pageBreakBefore w:val="0"/>
                    <w:widowControl w:val="0"/>
                    <w:kinsoku/>
                    <w:wordWrap/>
                    <w:overflowPunct/>
                    <w:topLinePunct w:val="0"/>
                    <w:autoSpaceDE w:val="0"/>
                    <w:autoSpaceDN w:val="0"/>
                    <w:bidi w:val="0"/>
                    <w:adjustRightInd w:val="0"/>
                    <w:snapToGrid w:val="0"/>
                    <w:spacing w:before="0" w:beforeLines="0" w:line="340" w:lineRule="exact"/>
                    <w:ind w:left="0" w:leftChars="0" w:right="0" w:rightChars="0" w:firstLine="0" w:firstLineChars="0"/>
                    <w:jc w:val="center"/>
                    <w:textAlignment w:val="auto"/>
                    <w:rPr>
                      <w:rFonts w:hint="eastAsia" w:ascii="Times New Roman" w:hAnsi="Times New Roman" w:eastAsia="宋体" w:cs="Times New Roman"/>
                      <w:b w:val="0"/>
                      <w:bCs w:val="0"/>
                      <w:color w:val="auto"/>
                      <w:kern w:val="2"/>
                      <w:sz w:val="21"/>
                      <w:szCs w:val="21"/>
                      <w:vertAlign w:val="baseline"/>
                      <w:lang w:val="en-US" w:eastAsia="zh-CN" w:bidi="ar-SA"/>
                    </w:rPr>
                  </w:pPr>
                  <w:r>
                    <w:rPr>
                      <w:rFonts w:hint="eastAsia" w:ascii="Times New Roman" w:cs="Times New Roman"/>
                      <w:b w:val="0"/>
                      <w:bCs w:val="0"/>
                      <w:color w:val="auto"/>
                      <w:sz w:val="21"/>
                      <w:szCs w:val="21"/>
                      <w:vertAlign w:val="baseline"/>
                      <w:lang w:val="en-US" w:eastAsia="zh-CN"/>
                    </w:rPr>
                    <w:t>硫酸雾</w:t>
                  </w:r>
                </w:p>
              </w:tc>
              <w:tc>
                <w:tcPr>
                  <w:tcW w:w="1130" w:type="pct"/>
                  <w:shd w:val="clear" w:color="auto" w:fill="auto"/>
                  <w:noWrap w:val="0"/>
                  <w:vAlign w:val="center"/>
                </w:tcPr>
                <w:p w14:paraId="0602D183">
                  <w:pPr>
                    <w:pStyle w:val="36"/>
                    <w:keepNext w:val="0"/>
                    <w:keepLines w:val="0"/>
                    <w:pageBreakBefore w:val="0"/>
                    <w:widowControl w:val="0"/>
                    <w:kinsoku/>
                    <w:wordWrap/>
                    <w:overflowPunct/>
                    <w:topLinePunct w:val="0"/>
                    <w:autoSpaceDE w:val="0"/>
                    <w:autoSpaceDN w:val="0"/>
                    <w:bidi w:val="0"/>
                    <w:adjustRightInd w:val="0"/>
                    <w:snapToGrid w:val="0"/>
                    <w:spacing w:before="0" w:beforeLines="0" w:line="340" w:lineRule="exact"/>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vertAlign w:val="baseline"/>
                      <w:lang w:val="en-US" w:eastAsia="zh-CN" w:bidi="ar-SA"/>
                    </w:rPr>
                  </w:pPr>
                  <w:r>
                    <w:rPr>
                      <w:rFonts w:hint="default" w:ascii="Times New Roman" w:hAnsi="Times New Roman" w:eastAsia="宋体" w:cs="Times New Roman"/>
                      <w:b w:val="0"/>
                      <w:bCs w:val="0"/>
                      <w:color w:val="auto"/>
                      <w:sz w:val="21"/>
                      <w:szCs w:val="21"/>
                      <w:vertAlign w:val="baseline"/>
                      <w:lang w:eastAsia="zh-CN"/>
                    </w:rPr>
                    <w:t>每</w:t>
                  </w:r>
                  <w:r>
                    <w:rPr>
                      <w:rFonts w:hint="eastAsia" w:ascii="Times New Roman" w:cs="Times New Roman"/>
                      <w:b w:val="0"/>
                      <w:bCs w:val="0"/>
                      <w:color w:val="auto"/>
                      <w:sz w:val="21"/>
                      <w:szCs w:val="21"/>
                      <w:vertAlign w:val="baseline"/>
                      <w:lang w:val="en-US" w:eastAsia="zh-CN"/>
                    </w:rPr>
                    <w:t>半年</w:t>
                  </w:r>
                  <w:r>
                    <w:rPr>
                      <w:rFonts w:hint="default" w:ascii="Times New Roman" w:hAnsi="Times New Roman" w:eastAsia="宋体" w:cs="Times New Roman"/>
                      <w:b w:val="0"/>
                      <w:bCs w:val="0"/>
                      <w:color w:val="auto"/>
                      <w:sz w:val="21"/>
                      <w:szCs w:val="21"/>
                      <w:vertAlign w:val="baseline"/>
                      <w:lang w:eastAsia="zh-CN"/>
                    </w:rPr>
                    <w:t>一次</w:t>
                  </w:r>
                </w:p>
              </w:tc>
              <w:tc>
                <w:tcPr>
                  <w:tcW w:w="570" w:type="pct"/>
                  <w:noWrap w:val="0"/>
                  <w:vAlign w:val="center"/>
                </w:tcPr>
                <w:p w14:paraId="3AF3ECBF">
                  <w:pPr>
                    <w:pStyle w:val="36"/>
                    <w:keepNext w:val="0"/>
                    <w:keepLines w:val="0"/>
                    <w:pageBreakBefore w:val="0"/>
                    <w:widowControl w:val="0"/>
                    <w:kinsoku/>
                    <w:wordWrap/>
                    <w:overflowPunct/>
                    <w:topLinePunct w:val="0"/>
                    <w:autoSpaceDE w:val="0"/>
                    <w:autoSpaceDN w:val="0"/>
                    <w:bidi w:val="0"/>
                    <w:adjustRightInd w:val="0"/>
                    <w:snapToGrid w:val="0"/>
                    <w:spacing w:before="0" w:beforeLines="0" w:line="340" w:lineRule="exact"/>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cs="Times New Roman"/>
                      <w:b w:val="0"/>
                      <w:bCs w:val="0"/>
                      <w:color w:val="auto"/>
                      <w:sz w:val="21"/>
                      <w:szCs w:val="21"/>
                      <w:vertAlign w:val="baseline"/>
                      <w:lang w:val="en-US" w:eastAsia="zh-CN"/>
                    </w:rPr>
                    <w:t>/</w:t>
                  </w:r>
                </w:p>
              </w:tc>
            </w:tr>
            <w:tr w14:paraId="72E508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 w:hRule="atLeast"/>
                <w:jc w:val="center"/>
              </w:trPr>
              <w:tc>
                <w:tcPr>
                  <w:tcW w:w="947" w:type="pct"/>
                  <w:vMerge w:val="continue"/>
                  <w:noWrap w:val="0"/>
                  <w:vAlign w:val="center"/>
                </w:tcPr>
                <w:p w14:paraId="70C826F5">
                  <w:pPr>
                    <w:pStyle w:val="36"/>
                    <w:keepNext w:val="0"/>
                    <w:keepLines w:val="0"/>
                    <w:pageBreakBefore w:val="0"/>
                    <w:widowControl w:val="0"/>
                    <w:kinsoku/>
                    <w:wordWrap/>
                    <w:overflowPunct/>
                    <w:topLinePunct w:val="0"/>
                    <w:autoSpaceDE w:val="0"/>
                    <w:autoSpaceDN w:val="0"/>
                    <w:bidi w:val="0"/>
                    <w:adjustRightInd w:val="0"/>
                    <w:snapToGrid w:val="0"/>
                    <w:spacing w:before="0" w:beforeLines="0" w:line="340" w:lineRule="exact"/>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p>
              </w:tc>
              <w:tc>
                <w:tcPr>
                  <w:tcW w:w="2352" w:type="pct"/>
                  <w:noWrap w:val="0"/>
                  <w:vAlign w:val="center"/>
                </w:tcPr>
                <w:p w14:paraId="105F8D39">
                  <w:pPr>
                    <w:pStyle w:val="36"/>
                    <w:keepNext w:val="0"/>
                    <w:keepLines w:val="0"/>
                    <w:pageBreakBefore w:val="0"/>
                    <w:widowControl w:val="0"/>
                    <w:kinsoku/>
                    <w:wordWrap/>
                    <w:overflowPunct/>
                    <w:topLinePunct w:val="0"/>
                    <w:autoSpaceDE w:val="0"/>
                    <w:autoSpaceDN w:val="0"/>
                    <w:bidi w:val="0"/>
                    <w:adjustRightInd w:val="0"/>
                    <w:snapToGrid w:val="0"/>
                    <w:spacing w:before="0" w:beforeLines="0" w:line="340" w:lineRule="exact"/>
                    <w:ind w:left="0" w:leftChars="0" w:right="0" w:rightChars="0" w:firstLine="0" w:firstLineChars="0"/>
                    <w:jc w:val="center"/>
                    <w:textAlignment w:val="auto"/>
                    <w:rPr>
                      <w:rFonts w:hint="default" w:ascii="Times New Roman" w:cs="Times New Roman"/>
                      <w:b w:val="0"/>
                      <w:bCs w:val="0"/>
                      <w:color w:val="auto"/>
                      <w:sz w:val="21"/>
                      <w:szCs w:val="21"/>
                      <w:vertAlign w:val="baseline"/>
                      <w:lang w:val="en-US" w:eastAsia="zh-CN"/>
                    </w:rPr>
                  </w:pPr>
                  <w:r>
                    <w:rPr>
                      <w:rFonts w:hint="eastAsia" w:ascii="Times New Roman" w:cs="Times New Roman"/>
                      <w:b w:val="0"/>
                      <w:bCs w:val="0"/>
                      <w:color w:val="auto"/>
                      <w:sz w:val="21"/>
                      <w:szCs w:val="21"/>
                      <w:vertAlign w:val="baseline"/>
                      <w:lang w:val="en-US" w:eastAsia="zh-CN"/>
                    </w:rPr>
                    <w:t>氯化氢</w:t>
                  </w:r>
                </w:p>
              </w:tc>
              <w:tc>
                <w:tcPr>
                  <w:tcW w:w="1130" w:type="pct"/>
                  <w:noWrap w:val="0"/>
                  <w:vAlign w:val="center"/>
                </w:tcPr>
                <w:p w14:paraId="742A9ED7">
                  <w:pPr>
                    <w:pStyle w:val="36"/>
                    <w:keepNext w:val="0"/>
                    <w:keepLines w:val="0"/>
                    <w:pageBreakBefore w:val="0"/>
                    <w:widowControl w:val="0"/>
                    <w:kinsoku/>
                    <w:wordWrap/>
                    <w:overflowPunct/>
                    <w:topLinePunct w:val="0"/>
                    <w:autoSpaceDE w:val="0"/>
                    <w:autoSpaceDN w:val="0"/>
                    <w:bidi w:val="0"/>
                    <w:adjustRightInd w:val="0"/>
                    <w:snapToGrid w:val="0"/>
                    <w:spacing w:before="0" w:beforeLines="0" w:line="340" w:lineRule="exact"/>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vertAlign w:val="baseline"/>
                      <w:lang w:eastAsia="zh-CN"/>
                    </w:rPr>
                  </w:pPr>
                  <w:r>
                    <w:rPr>
                      <w:rFonts w:hint="default" w:ascii="Times New Roman" w:hAnsi="Times New Roman" w:eastAsia="宋体" w:cs="Times New Roman"/>
                      <w:b w:val="0"/>
                      <w:bCs w:val="0"/>
                      <w:color w:val="auto"/>
                      <w:sz w:val="21"/>
                      <w:szCs w:val="21"/>
                      <w:vertAlign w:val="baseline"/>
                      <w:lang w:eastAsia="zh-CN"/>
                    </w:rPr>
                    <w:t>每</w:t>
                  </w:r>
                  <w:r>
                    <w:rPr>
                      <w:rFonts w:hint="eastAsia" w:ascii="Times New Roman" w:cs="Times New Roman"/>
                      <w:b w:val="0"/>
                      <w:bCs w:val="0"/>
                      <w:color w:val="auto"/>
                      <w:sz w:val="21"/>
                      <w:szCs w:val="21"/>
                      <w:vertAlign w:val="baseline"/>
                      <w:lang w:val="en-US" w:eastAsia="zh-CN"/>
                    </w:rPr>
                    <w:t>半年</w:t>
                  </w:r>
                  <w:r>
                    <w:rPr>
                      <w:rFonts w:hint="default" w:ascii="Times New Roman" w:hAnsi="Times New Roman" w:eastAsia="宋体" w:cs="Times New Roman"/>
                      <w:b w:val="0"/>
                      <w:bCs w:val="0"/>
                      <w:color w:val="auto"/>
                      <w:sz w:val="21"/>
                      <w:szCs w:val="21"/>
                      <w:vertAlign w:val="baseline"/>
                      <w:lang w:eastAsia="zh-CN"/>
                    </w:rPr>
                    <w:t>一次</w:t>
                  </w:r>
                </w:p>
              </w:tc>
              <w:tc>
                <w:tcPr>
                  <w:tcW w:w="570" w:type="pct"/>
                  <w:noWrap w:val="0"/>
                  <w:vAlign w:val="center"/>
                </w:tcPr>
                <w:p w14:paraId="7C74B751">
                  <w:pPr>
                    <w:pStyle w:val="36"/>
                    <w:keepNext w:val="0"/>
                    <w:keepLines w:val="0"/>
                    <w:pageBreakBefore w:val="0"/>
                    <w:widowControl w:val="0"/>
                    <w:kinsoku/>
                    <w:wordWrap/>
                    <w:overflowPunct/>
                    <w:topLinePunct w:val="0"/>
                    <w:autoSpaceDE w:val="0"/>
                    <w:autoSpaceDN w:val="0"/>
                    <w:bidi w:val="0"/>
                    <w:adjustRightInd w:val="0"/>
                    <w:snapToGrid w:val="0"/>
                    <w:spacing w:before="0" w:beforeLines="0" w:line="340" w:lineRule="exact"/>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cs="Times New Roman"/>
                      <w:b w:val="0"/>
                      <w:bCs w:val="0"/>
                      <w:color w:val="auto"/>
                      <w:sz w:val="21"/>
                      <w:szCs w:val="21"/>
                      <w:vertAlign w:val="baseline"/>
                      <w:lang w:val="en-US" w:eastAsia="zh-CN"/>
                    </w:rPr>
                    <w:t>/</w:t>
                  </w:r>
                </w:p>
              </w:tc>
            </w:tr>
            <w:tr w14:paraId="69DE0F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 w:hRule="atLeast"/>
                <w:jc w:val="center"/>
              </w:trPr>
              <w:tc>
                <w:tcPr>
                  <w:tcW w:w="947" w:type="pct"/>
                  <w:vMerge w:val="restart"/>
                  <w:noWrap w:val="0"/>
                  <w:vAlign w:val="center"/>
                </w:tcPr>
                <w:p w14:paraId="0DBC21B6">
                  <w:pPr>
                    <w:pStyle w:val="36"/>
                    <w:keepNext w:val="0"/>
                    <w:keepLines w:val="0"/>
                    <w:pageBreakBefore w:val="0"/>
                    <w:widowControl w:val="0"/>
                    <w:kinsoku/>
                    <w:wordWrap/>
                    <w:overflowPunct/>
                    <w:topLinePunct w:val="0"/>
                    <w:autoSpaceDE w:val="0"/>
                    <w:autoSpaceDN w:val="0"/>
                    <w:bidi w:val="0"/>
                    <w:adjustRightInd w:val="0"/>
                    <w:snapToGrid w:val="0"/>
                    <w:spacing w:before="0" w:beforeLines="0" w:line="340" w:lineRule="exact"/>
                    <w:ind w:left="0" w:leftChars="0" w:right="0" w:rightChars="0" w:firstLine="0" w:firstLineChars="0"/>
                    <w:jc w:val="center"/>
                    <w:textAlignment w:val="auto"/>
                    <w:rPr>
                      <w:rFonts w:hint="default" w:ascii="Times New Roman" w:cs="Times New Roman"/>
                      <w:b w:val="0"/>
                      <w:bCs w:val="0"/>
                      <w:color w:val="auto"/>
                      <w:sz w:val="21"/>
                      <w:szCs w:val="21"/>
                      <w:vertAlign w:val="baseline"/>
                      <w:lang w:val="en-US" w:eastAsia="zh-CN"/>
                    </w:rPr>
                  </w:pPr>
                  <w:r>
                    <w:rPr>
                      <w:rFonts w:hint="eastAsia" w:ascii="Times New Roman" w:cs="Times New Roman"/>
                      <w:b w:val="0"/>
                      <w:bCs w:val="0"/>
                      <w:color w:val="auto"/>
                      <w:sz w:val="21"/>
                      <w:szCs w:val="21"/>
                      <w:vertAlign w:val="baseline"/>
                      <w:lang w:val="en-US" w:eastAsia="zh-CN"/>
                    </w:rPr>
                    <w:t>厂界</w:t>
                  </w:r>
                </w:p>
              </w:tc>
              <w:tc>
                <w:tcPr>
                  <w:tcW w:w="2352" w:type="pct"/>
                  <w:noWrap w:val="0"/>
                  <w:vAlign w:val="center"/>
                </w:tcPr>
                <w:p w14:paraId="2237CB49">
                  <w:pPr>
                    <w:pStyle w:val="36"/>
                    <w:keepNext w:val="0"/>
                    <w:keepLines w:val="0"/>
                    <w:pageBreakBefore w:val="0"/>
                    <w:widowControl w:val="0"/>
                    <w:kinsoku/>
                    <w:wordWrap/>
                    <w:overflowPunct/>
                    <w:topLinePunct w:val="0"/>
                    <w:autoSpaceDE w:val="0"/>
                    <w:autoSpaceDN w:val="0"/>
                    <w:bidi w:val="0"/>
                    <w:adjustRightInd w:val="0"/>
                    <w:snapToGrid w:val="0"/>
                    <w:spacing w:before="0" w:beforeLines="0" w:line="340" w:lineRule="exact"/>
                    <w:ind w:left="0" w:leftChars="0" w:right="0" w:rightChars="0" w:firstLine="0" w:firstLineChars="0"/>
                    <w:jc w:val="center"/>
                    <w:textAlignment w:val="auto"/>
                    <w:rPr>
                      <w:rFonts w:hint="default" w:ascii="Times New Roman" w:cs="Times New Roman"/>
                      <w:b w:val="0"/>
                      <w:bCs w:val="0"/>
                      <w:color w:val="auto"/>
                      <w:sz w:val="21"/>
                      <w:szCs w:val="21"/>
                      <w:vertAlign w:val="baseline"/>
                      <w:lang w:val="en-US" w:eastAsia="zh-CN"/>
                    </w:rPr>
                  </w:pPr>
                  <w:r>
                    <w:rPr>
                      <w:rFonts w:hint="eastAsia" w:ascii="Times New Roman" w:cs="Times New Roman"/>
                      <w:b w:val="0"/>
                      <w:bCs w:val="0"/>
                      <w:color w:val="auto"/>
                      <w:sz w:val="21"/>
                      <w:szCs w:val="21"/>
                      <w:vertAlign w:val="baseline"/>
                      <w:lang w:val="en-US" w:eastAsia="zh-CN"/>
                    </w:rPr>
                    <w:t>氯化氢</w:t>
                  </w:r>
                </w:p>
              </w:tc>
              <w:tc>
                <w:tcPr>
                  <w:tcW w:w="1130" w:type="pct"/>
                  <w:noWrap w:val="0"/>
                  <w:vAlign w:val="center"/>
                </w:tcPr>
                <w:p w14:paraId="46C8B6D2">
                  <w:pPr>
                    <w:pStyle w:val="36"/>
                    <w:keepNext w:val="0"/>
                    <w:keepLines w:val="0"/>
                    <w:pageBreakBefore w:val="0"/>
                    <w:widowControl w:val="0"/>
                    <w:kinsoku/>
                    <w:wordWrap/>
                    <w:overflowPunct/>
                    <w:topLinePunct w:val="0"/>
                    <w:autoSpaceDE w:val="0"/>
                    <w:autoSpaceDN w:val="0"/>
                    <w:bidi w:val="0"/>
                    <w:adjustRightInd w:val="0"/>
                    <w:snapToGrid w:val="0"/>
                    <w:spacing w:before="0" w:beforeLines="0" w:line="340" w:lineRule="exact"/>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vertAlign w:val="baseline"/>
                      <w:lang w:eastAsia="zh-CN"/>
                    </w:rPr>
                  </w:pPr>
                  <w:r>
                    <w:rPr>
                      <w:rFonts w:hint="default" w:ascii="Times New Roman" w:hAnsi="Times New Roman" w:eastAsia="宋体" w:cs="Times New Roman"/>
                      <w:b w:val="0"/>
                      <w:bCs w:val="0"/>
                      <w:color w:val="auto"/>
                      <w:sz w:val="21"/>
                      <w:szCs w:val="21"/>
                      <w:vertAlign w:val="baseline"/>
                      <w:lang w:eastAsia="zh-CN"/>
                    </w:rPr>
                    <w:t>每</w:t>
                  </w:r>
                  <w:r>
                    <w:rPr>
                      <w:rFonts w:hint="eastAsia" w:ascii="Times New Roman" w:cs="Times New Roman"/>
                      <w:b w:val="0"/>
                      <w:bCs w:val="0"/>
                      <w:color w:val="auto"/>
                      <w:sz w:val="21"/>
                      <w:szCs w:val="21"/>
                      <w:vertAlign w:val="baseline"/>
                      <w:lang w:val="en-US" w:eastAsia="zh-CN"/>
                    </w:rPr>
                    <w:t>半年</w:t>
                  </w:r>
                  <w:r>
                    <w:rPr>
                      <w:rFonts w:hint="default" w:ascii="Times New Roman" w:hAnsi="Times New Roman" w:eastAsia="宋体" w:cs="Times New Roman"/>
                      <w:b w:val="0"/>
                      <w:bCs w:val="0"/>
                      <w:color w:val="auto"/>
                      <w:sz w:val="21"/>
                      <w:szCs w:val="21"/>
                      <w:vertAlign w:val="baseline"/>
                      <w:lang w:eastAsia="zh-CN"/>
                    </w:rPr>
                    <w:t>一次</w:t>
                  </w:r>
                </w:p>
              </w:tc>
              <w:tc>
                <w:tcPr>
                  <w:tcW w:w="570" w:type="pct"/>
                  <w:noWrap w:val="0"/>
                  <w:vAlign w:val="center"/>
                </w:tcPr>
                <w:p w14:paraId="0A62ACCE">
                  <w:pPr>
                    <w:pStyle w:val="36"/>
                    <w:keepNext w:val="0"/>
                    <w:keepLines w:val="0"/>
                    <w:pageBreakBefore w:val="0"/>
                    <w:widowControl w:val="0"/>
                    <w:kinsoku/>
                    <w:wordWrap/>
                    <w:overflowPunct/>
                    <w:topLinePunct w:val="0"/>
                    <w:autoSpaceDE w:val="0"/>
                    <w:autoSpaceDN w:val="0"/>
                    <w:bidi w:val="0"/>
                    <w:adjustRightInd w:val="0"/>
                    <w:snapToGrid w:val="0"/>
                    <w:spacing w:before="0" w:beforeLines="0" w:line="340" w:lineRule="exact"/>
                    <w:ind w:left="0" w:leftChars="0" w:right="0" w:rightChars="0" w:firstLine="0" w:firstLineChars="0"/>
                    <w:jc w:val="center"/>
                    <w:textAlignment w:val="auto"/>
                    <w:rPr>
                      <w:rFonts w:hint="eastAsia" w:ascii="Times New Roman" w:cs="Times New Roman"/>
                      <w:b w:val="0"/>
                      <w:bCs w:val="0"/>
                      <w:color w:val="auto"/>
                      <w:sz w:val="21"/>
                      <w:szCs w:val="21"/>
                      <w:vertAlign w:val="baseline"/>
                      <w:lang w:val="en-US" w:eastAsia="zh-CN"/>
                    </w:rPr>
                  </w:pPr>
                  <w:r>
                    <w:rPr>
                      <w:rFonts w:hint="eastAsia" w:ascii="Times New Roman" w:cs="Times New Roman"/>
                      <w:b w:val="0"/>
                      <w:bCs w:val="0"/>
                      <w:color w:val="auto"/>
                      <w:sz w:val="21"/>
                      <w:szCs w:val="21"/>
                      <w:vertAlign w:val="baseline"/>
                      <w:lang w:val="en-US" w:eastAsia="zh-CN"/>
                    </w:rPr>
                    <w:t>/</w:t>
                  </w:r>
                </w:p>
              </w:tc>
            </w:tr>
            <w:tr w14:paraId="1D8AB1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 w:hRule="atLeast"/>
                <w:jc w:val="center"/>
              </w:trPr>
              <w:tc>
                <w:tcPr>
                  <w:tcW w:w="947" w:type="pct"/>
                  <w:vMerge w:val="continue"/>
                  <w:noWrap w:val="0"/>
                  <w:vAlign w:val="center"/>
                </w:tcPr>
                <w:p w14:paraId="37DF860A">
                  <w:pPr>
                    <w:pStyle w:val="36"/>
                    <w:keepNext w:val="0"/>
                    <w:keepLines w:val="0"/>
                    <w:pageBreakBefore w:val="0"/>
                    <w:widowControl w:val="0"/>
                    <w:kinsoku/>
                    <w:wordWrap/>
                    <w:overflowPunct/>
                    <w:topLinePunct w:val="0"/>
                    <w:autoSpaceDE w:val="0"/>
                    <w:autoSpaceDN w:val="0"/>
                    <w:bidi w:val="0"/>
                    <w:adjustRightInd w:val="0"/>
                    <w:snapToGrid w:val="0"/>
                    <w:spacing w:before="0" w:beforeLines="0" w:line="340" w:lineRule="exact"/>
                    <w:ind w:left="0" w:leftChars="0" w:right="0" w:rightChars="0" w:firstLine="0" w:firstLineChars="0"/>
                    <w:jc w:val="center"/>
                    <w:textAlignment w:val="auto"/>
                    <w:rPr>
                      <w:rFonts w:hint="eastAsia" w:ascii="Times New Roman" w:cs="Times New Roman"/>
                      <w:b w:val="0"/>
                      <w:bCs w:val="0"/>
                      <w:color w:val="auto"/>
                      <w:sz w:val="21"/>
                      <w:szCs w:val="21"/>
                      <w:vertAlign w:val="baseline"/>
                      <w:lang w:val="en-US" w:eastAsia="zh-CN"/>
                    </w:rPr>
                  </w:pPr>
                </w:p>
              </w:tc>
              <w:tc>
                <w:tcPr>
                  <w:tcW w:w="2352" w:type="pct"/>
                  <w:noWrap w:val="0"/>
                  <w:vAlign w:val="center"/>
                </w:tcPr>
                <w:p w14:paraId="4E4E0CC8">
                  <w:pPr>
                    <w:pStyle w:val="36"/>
                    <w:keepNext w:val="0"/>
                    <w:keepLines w:val="0"/>
                    <w:pageBreakBefore w:val="0"/>
                    <w:widowControl w:val="0"/>
                    <w:kinsoku/>
                    <w:wordWrap/>
                    <w:overflowPunct/>
                    <w:topLinePunct w:val="0"/>
                    <w:autoSpaceDE w:val="0"/>
                    <w:autoSpaceDN w:val="0"/>
                    <w:bidi w:val="0"/>
                    <w:adjustRightInd w:val="0"/>
                    <w:snapToGrid w:val="0"/>
                    <w:spacing w:before="0" w:beforeLines="0" w:line="340" w:lineRule="exact"/>
                    <w:ind w:left="0" w:leftChars="0" w:right="0" w:rightChars="0" w:firstLine="0" w:firstLineChars="0"/>
                    <w:jc w:val="center"/>
                    <w:textAlignment w:val="auto"/>
                    <w:rPr>
                      <w:rFonts w:hint="default" w:ascii="Times New Roman" w:cs="Times New Roman"/>
                      <w:b w:val="0"/>
                      <w:bCs w:val="0"/>
                      <w:color w:val="auto"/>
                      <w:sz w:val="21"/>
                      <w:szCs w:val="21"/>
                      <w:vertAlign w:val="baseline"/>
                      <w:lang w:val="en-US" w:eastAsia="zh-CN"/>
                    </w:rPr>
                  </w:pPr>
                  <w:r>
                    <w:rPr>
                      <w:rFonts w:hint="eastAsia" w:ascii="Times New Roman" w:cs="Times New Roman"/>
                      <w:b w:val="0"/>
                      <w:bCs w:val="0"/>
                      <w:color w:val="auto"/>
                      <w:sz w:val="21"/>
                      <w:szCs w:val="21"/>
                      <w:vertAlign w:val="baseline"/>
                      <w:lang w:val="en-US" w:eastAsia="zh-CN"/>
                    </w:rPr>
                    <w:t>硫酸雾</w:t>
                  </w:r>
                </w:p>
              </w:tc>
              <w:tc>
                <w:tcPr>
                  <w:tcW w:w="1130" w:type="pct"/>
                  <w:noWrap w:val="0"/>
                  <w:vAlign w:val="center"/>
                </w:tcPr>
                <w:p w14:paraId="689C7C05">
                  <w:pPr>
                    <w:pStyle w:val="36"/>
                    <w:keepNext w:val="0"/>
                    <w:keepLines w:val="0"/>
                    <w:pageBreakBefore w:val="0"/>
                    <w:widowControl w:val="0"/>
                    <w:kinsoku/>
                    <w:wordWrap/>
                    <w:overflowPunct/>
                    <w:topLinePunct w:val="0"/>
                    <w:autoSpaceDE w:val="0"/>
                    <w:autoSpaceDN w:val="0"/>
                    <w:bidi w:val="0"/>
                    <w:adjustRightInd w:val="0"/>
                    <w:snapToGrid w:val="0"/>
                    <w:spacing w:before="0" w:beforeLines="0" w:line="340" w:lineRule="exact"/>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vertAlign w:val="baseline"/>
                      <w:lang w:eastAsia="zh-CN"/>
                    </w:rPr>
                  </w:pPr>
                  <w:r>
                    <w:rPr>
                      <w:rFonts w:hint="default" w:ascii="Times New Roman" w:hAnsi="Times New Roman" w:eastAsia="宋体" w:cs="Times New Roman"/>
                      <w:b w:val="0"/>
                      <w:bCs w:val="0"/>
                      <w:color w:val="auto"/>
                      <w:sz w:val="21"/>
                      <w:szCs w:val="21"/>
                      <w:vertAlign w:val="baseline"/>
                      <w:lang w:eastAsia="zh-CN"/>
                    </w:rPr>
                    <w:t>每</w:t>
                  </w:r>
                  <w:r>
                    <w:rPr>
                      <w:rFonts w:hint="eastAsia" w:ascii="Times New Roman" w:cs="Times New Roman"/>
                      <w:b w:val="0"/>
                      <w:bCs w:val="0"/>
                      <w:color w:val="auto"/>
                      <w:sz w:val="21"/>
                      <w:szCs w:val="21"/>
                      <w:vertAlign w:val="baseline"/>
                      <w:lang w:val="en-US" w:eastAsia="zh-CN"/>
                    </w:rPr>
                    <w:t>半年</w:t>
                  </w:r>
                  <w:r>
                    <w:rPr>
                      <w:rFonts w:hint="default" w:ascii="Times New Roman" w:hAnsi="Times New Roman" w:eastAsia="宋体" w:cs="Times New Roman"/>
                      <w:b w:val="0"/>
                      <w:bCs w:val="0"/>
                      <w:color w:val="auto"/>
                      <w:sz w:val="21"/>
                      <w:szCs w:val="21"/>
                      <w:vertAlign w:val="baseline"/>
                      <w:lang w:eastAsia="zh-CN"/>
                    </w:rPr>
                    <w:t>一次</w:t>
                  </w:r>
                </w:p>
              </w:tc>
              <w:tc>
                <w:tcPr>
                  <w:tcW w:w="570" w:type="pct"/>
                  <w:noWrap w:val="0"/>
                  <w:vAlign w:val="center"/>
                </w:tcPr>
                <w:p w14:paraId="7A293947">
                  <w:pPr>
                    <w:pStyle w:val="36"/>
                    <w:keepNext w:val="0"/>
                    <w:keepLines w:val="0"/>
                    <w:pageBreakBefore w:val="0"/>
                    <w:widowControl w:val="0"/>
                    <w:kinsoku/>
                    <w:wordWrap/>
                    <w:overflowPunct/>
                    <w:topLinePunct w:val="0"/>
                    <w:autoSpaceDE w:val="0"/>
                    <w:autoSpaceDN w:val="0"/>
                    <w:bidi w:val="0"/>
                    <w:adjustRightInd w:val="0"/>
                    <w:snapToGrid w:val="0"/>
                    <w:spacing w:before="0" w:beforeLines="0" w:line="340" w:lineRule="exact"/>
                    <w:ind w:left="0" w:leftChars="0" w:right="0" w:rightChars="0" w:firstLine="0" w:firstLineChars="0"/>
                    <w:jc w:val="center"/>
                    <w:textAlignment w:val="auto"/>
                    <w:rPr>
                      <w:rFonts w:hint="eastAsia" w:ascii="Times New Roman" w:cs="Times New Roman"/>
                      <w:b w:val="0"/>
                      <w:bCs w:val="0"/>
                      <w:color w:val="auto"/>
                      <w:sz w:val="21"/>
                      <w:szCs w:val="21"/>
                      <w:vertAlign w:val="baseline"/>
                      <w:lang w:val="en-US" w:eastAsia="zh-CN"/>
                    </w:rPr>
                  </w:pPr>
                  <w:r>
                    <w:rPr>
                      <w:rFonts w:hint="eastAsia" w:ascii="Times New Roman" w:cs="Times New Roman"/>
                      <w:b w:val="0"/>
                      <w:bCs w:val="0"/>
                      <w:color w:val="auto"/>
                      <w:sz w:val="21"/>
                      <w:szCs w:val="21"/>
                      <w:vertAlign w:val="baseline"/>
                      <w:lang w:val="en-US" w:eastAsia="zh-CN"/>
                    </w:rPr>
                    <w:t>/</w:t>
                  </w:r>
                </w:p>
              </w:tc>
            </w:tr>
            <w:tr w14:paraId="587095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 w:hRule="atLeast"/>
                <w:jc w:val="center"/>
              </w:trPr>
              <w:tc>
                <w:tcPr>
                  <w:tcW w:w="947" w:type="pct"/>
                  <w:vMerge w:val="continue"/>
                  <w:noWrap w:val="0"/>
                  <w:vAlign w:val="center"/>
                </w:tcPr>
                <w:p w14:paraId="43A37113">
                  <w:pPr>
                    <w:pStyle w:val="36"/>
                    <w:keepNext w:val="0"/>
                    <w:keepLines w:val="0"/>
                    <w:pageBreakBefore w:val="0"/>
                    <w:widowControl w:val="0"/>
                    <w:kinsoku/>
                    <w:wordWrap/>
                    <w:overflowPunct/>
                    <w:topLinePunct w:val="0"/>
                    <w:autoSpaceDE w:val="0"/>
                    <w:autoSpaceDN w:val="0"/>
                    <w:bidi w:val="0"/>
                    <w:adjustRightInd w:val="0"/>
                    <w:snapToGrid w:val="0"/>
                    <w:spacing w:before="0" w:beforeLines="0" w:line="340" w:lineRule="exact"/>
                    <w:ind w:left="0" w:leftChars="0" w:right="0" w:rightChars="0" w:firstLine="0" w:firstLineChars="0"/>
                    <w:jc w:val="center"/>
                    <w:textAlignment w:val="auto"/>
                    <w:rPr>
                      <w:rFonts w:hint="eastAsia" w:ascii="Times New Roman" w:cs="Times New Roman"/>
                      <w:b w:val="0"/>
                      <w:bCs w:val="0"/>
                      <w:color w:val="auto"/>
                      <w:sz w:val="21"/>
                      <w:szCs w:val="21"/>
                      <w:vertAlign w:val="baseline"/>
                      <w:lang w:val="en-US" w:eastAsia="zh-CN"/>
                    </w:rPr>
                  </w:pPr>
                </w:p>
              </w:tc>
              <w:tc>
                <w:tcPr>
                  <w:tcW w:w="2352" w:type="pct"/>
                  <w:noWrap w:val="0"/>
                  <w:vAlign w:val="center"/>
                </w:tcPr>
                <w:p w14:paraId="1933B529">
                  <w:pPr>
                    <w:pStyle w:val="36"/>
                    <w:keepNext w:val="0"/>
                    <w:keepLines w:val="0"/>
                    <w:pageBreakBefore w:val="0"/>
                    <w:widowControl w:val="0"/>
                    <w:kinsoku/>
                    <w:wordWrap/>
                    <w:overflowPunct/>
                    <w:topLinePunct w:val="0"/>
                    <w:autoSpaceDE w:val="0"/>
                    <w:autoSpaceDN w:val="0"/>
                    <w:bidi w:val="0"/>
                    <w:adjustRightInd w:val="0"/>
                    <w:snapToGrid w:val="0"/>
                    <w:spacing w:before="0" w:beforeLines="0" w:line="340" w:lineRule="exact"/>
                    <w:ind w:left="0" w:leftChars="0" w:right="0" w:rightChars="0" w:firstLine="0" w:firstLineChars="0"/>
                    <w:jc w:val="center"/>
                    <w:textAlignment w:val="auto"/>
                    <w:rPr>
                      <w:rFonts w:hint="default" w:ascii="Times New Roman" w:cs="Times New Roman"/>
                      <w:b w:val="0"/>
                      <w:bCs w:val="0"/>
                      <w:color w:val="auto"/>
                      <w:sz w:val="21"/>
                      <w:szCs w:val="21"/>
                      <w:vertAlign w:val="baseline"/>
                      <w:lang w:val="en-US" w:eastAsia="zh-CN"/>
                    </w:rPr>
                  </w:pPr>
                  <w:r>
                    <w:rPr>
                      <w:rFonts w:hint="eastAsia" w:ascii="Times New Roman" w:cs="Times New Roman"/>
                      <w:b w:val="0"/>
                      <w:bCs w:val="0"/>
                      <w:color w:val="auto"/>
                      <w:kern w:val="2"/>
                      <w:sz w:val="21"/>
                      <w:szCs w:val="21"/>
                      <w:vertAlign w:val="baseline"/>
                      <w:lang w:val="en-US" w:eastAsia="zh-CN" w:bidi="ar-SA"/>
                    </w:rPr>
                    <w:t>VOCs（以非甲烷总烃计）</w:t>
                  </w:r>
                </w:p>
              </w:tc>
              <w:tc>
                <w:tcPr>
                  <w:tcW w:w="1130" w:type="pct"/>
                  <w:noWrap w:val="0"/>
                  <w:vAlign w:val="center"/>
                </w:tcPr>
                <w:p w14:paraId="171C4086">
                  <w:pPr>
                    <w:pStyle w:val="36"/>
                    <w:keepNext w:val="0"/>
                    <w:keepLines w:val="0"/>
                    <w:pageBreakBefore w:val="0"/>
                    <w:widowControl w:val="0"/>
                    <w:kinsoku/>
                    <w:wordWrap/>
                    <w:overflowPunct/>
                    <w:topLinePunct w:val="0"/>
                    <w:autoSpaceDE w:val="0"/>
                    <w:autoSpaceDN w:val="0"/>
                    <w:bidi w:val="0"/>
                    <w:adjustRightInd w:val="0"/>
                    <w:snapToGrid w:val="0"/>
                    <w:spacing w:before="0" w:beforeLines="0" w:line="340" w:lineRule="exact"/>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vertAlign w:val="baseline"/>
                      <w:lang w:eastAsia="zh-CN"/>
                    </w:rPr>
                  </w:pPr>
                  <w:r>
                    <w:rPr>
                      <w:rFonts w:hint="default" w:ascii="Times New Roman" w:hAnsi="Times New Roman" w:eastAsia="宋体" w:cs="Times New Roman"/>
                      <w:b w:val="0"/>
                      <w:bCs w:val="0"/>
                      <w:color w:val="auto"/>
                      <w:sz w:val="21"/>
                      <w:szCs w:val="21"/>
                      <w:vertAlign w:val="baseline"/>
                      <w:lang w:eastAsia="zh-CN"/>
                    </w:rPr>
                    <w:t>每</w:t>
                  </w:r>
                  <w:r>
                    <w:rPr>
                      <w:rFonts w:hint="eastAsia" w:ascii="Times New Roman" w:cs="Times New Roman"/>
                      <w:b w:val="0"/>
                      <w:bCs w:val="0"/>
                      <w:color w:val="auto"/>
                      <w:sz w:val="21"/>
                      <w:szCs w:val="21"/>
                      <w:vertAlign w:val="baseline"/>
                      <w:lang w:val="en-US" w:eastAsia="zh-CN"/>
                    </w:rPr>
                    <w:t>半年</w:t>
                  </w:r>
                  <w:r>
                    <w:rPr>
                      <w:rFonts w:hint="default" w:ascii="Times New Roman" w:hAnsi="Times New Roman" w:eastAsia="宋体" w:cs="Times New Roman"/>
                      <w:b w:val="0"/>
                      <w:bCs w:val="0"/>
                      <w:color w:val="auto"/>
                      <w:sz w:val="21"/>
                      <w:szCs w:val="21"/>
                      <w:vertAlign w:val="baseline"/>
                      <w:lang w:eastAsia="zh-CN"/>
                    </w:rPr>
                    <w:t>一次</w:t>
                  </w:r>
                </w:p>
              </w:tc>
              <w:tc>
                <w:tcPr>
                  <w:tcW w:w="570" w:type="pct"/>
                  <w:noWrap w:val="0"/>
                  <w:vAlign w:val="center"/>
                </w:tcPr>
                <w:p w14:paraId="6A3F3B34">
                  <w:pPr>
                    <w:pStyle w:val="36"/>
                    <w:keepNext w:val="0"/>
                    <w:keepLines w:val="0"/>
                    <w:pageBreakBefore w:val="0"/>
                    <w:widowControl w:val="0"/>
                    <w:kinsoku/>
                    <w:wordWrap/>
                    <w:overflowPunct/>
                    <w:topLinePunct w:val="0"/>
                    <w:autoSpaceDE w:val="0"/>
                    <w:autoSpaceDN w:val="0"/>
                    <w:bidi w:val="0"/>
                    <w:adjustRightInd w:val="0"/>
                    <w:snapToGrid w:val="0"/>
                    <w:spacing w:before="0" w:beforeLines="0" w:line="340" w:lineRule="exact"/>
                    <w:ind w:left="0" w:leftChars="0" w:right="0" w:rightChars="0" w:firstLine="0" w:firstLineChars="0"/>
                    <w:jc w:val="center"/>
                    <w:textAlignment w:val="auto"/>
                    <w:rPr>
                      <w:rFonts w:hint="eastAsia" w:ascii="Times New Roman" w:cs="Times New Roman"/>
                      <w:b w:val="0"/>
                      <w:bCs w:val="0"/>
                      <w:color w:val="auto"/>
                      <w:sz w:val="21"/>
                      <w:szCs w:val="21"/>
                      <w:vertAlign w:val="baseline"/>
                      <w:lang w:val="en-US" w:eastAsia="zh-CN"/>
                    </w:rPr>
                  </w:pPr>
                  <w:r>
                    <w:rPr>
                      <w:rFonts w:hint="eastAsia" w:ascii="Times New Roman" w:cs="Times New Roman"/>
                      <w:b w:val="0"/>
                      <w:bCs w:val="0"/>
                      <w:color w:val="auto"/>
                      <w:sz w:val="21"/>
                      <w:szCs w:val="21"/>
                      <w:vertAlign w:val="baseline"/>
                      <w:lang w:val="en-US" w:eastAsia="zh-CN"/>
                    </w:rPr>
                    <w:t>/</w:t>
                  </w:r>
                </w:p>
              </w:tc>
            </w:tr>
          </w:tbl>
          <w:p w14:paraId="0FFAA41B">
            <w:pPr>
              <w:keepNext w:val="0"/>
              <w:keepLines w:val="0"/>
              <w:pageBreakBefore w:val="0"/>
              <w:widowControl w:val="0"/>
              <w:numPr>
                <w:ilvl w:val="0"/>
                <w:numId w:val="29"/>
              </w:numPr>
              <w:kinsoku/>
              <w:wordWrap/>
              <w:overflowPunct/>
              <w:topLinePunct w:val="0"/>
              <w:autoSpaceDE/>
              <w:autoSpaceDN/>
              <w:bidi w:val="0"/>
              <w:adjustRightInd w:val="0"/>
              <w:snapToGrid/>
              <w:spacing w:line="360" w:lineRule="auto"/>
              <w:ind w:left="0" w:leftChars="0" w:firstLine="420" w:firstLineChars="0"/>
              <w:jc w:val="left"/>
              <w:textAlignment w:val="auto"/>
              <w:rPr>
                <w:rFonts w:hint="eastAsia" w:ascii="Times New Roman" w:hAnsi="Times New Roman" w:eastAsia="宋体" w:cs="Times New Roman"/>
                <w:b/>
                <w:bCs/>
                <w:color w:val="auto"/>
                <w:sz w:val="24"/>
                <w:szCs w:val="24"/>
                <w:highlight w:val="none"/>
                <w:lang w:eastAsia="zh-CN"/>
              </w:rPr>
            </w:pPr>
            <w:r>
              <w:rPr>
                <w:rFonts w:hint="eastAsia" w:ascii="Times New Roman" w:hAnsi="Times New Roman" w:eastAsia="宋体" w:cs="Times New Roman"/>
                <w:b/>
                <w:bCs/>
                <w:color w:val="auto"/>
                <w:sz w:val="24"/>
                <w:szCs w:val="24"/>
                <w:highlight w:val="none"/>
                <w:lang w:eastAsia="zh-CN"/>
              </w:rPr>
              <w:t>废水</w:t>
            </w:r>
          </w:p>
          <w:p w14:paraId="14A478C7">
            <w:pPr>
              <w:keepNext w:val="0"/>
              <w:keepLines w:val="0"/>
              <w:kinsoku/>
              <w:wordWrap/>
              <w:overflowPunct/>
              <w:topLinePunct w:val="0"/>
              <w:autoSpaceDE/>
              <w:autoSpaceDN/>
              <w:bidi w:val="0"/>
              <w:adjustRightInd w:val="0"/>
              <w:snapToGrid/>
              <w:spacing w:line="360" w:lineRule="auto"/>
              <w:ind w:firstLine="480" w:firstLineChars="200"/>
              <w:textAlignment w:val="auto"/>
              <w:rPr>
                <w:rFonts w:hint="eastAsia" w:eastAsiaTheme="minorEastAsia"/>
                <w:color w:val="auto"/>
                <w:sz w:val="24"/>
                <w:lang w:val="en-US" w:eastAsia="zh-CN"/>
              </w:rPr>
            </w:pPr>
            <w:r>
              <w:rPr>
                <w:rFonts w:hint="eastAsia" w:eastAsiaTheme="minorEastAsia"/>
                <w:color w:val="auto"/>
                <w:sz w:val="24"/>
                <w:lang w:val="en-US" w:eastAsia="zh-CN"/>
              </w:rPr>
              <w:t>项目各类危险废物均采用相应的收集容器进行包装后整体贮存在相应贮存分区，贮存区地面仅与收集容器相接触，不会直接与贮存的各类危险废物直接接触，收集容器多为在产废单位放置一段时间，其收集容器表面可能存在少量附着的危险废物，在贮存分区贮存时收集容器表面的危废因直接接触地面进而留在贮存区地面，故采用抹布进行擦拭清洁后，再采用干抹布对贮存地面进行清洁，产生的废抹布按危废处置，在项目内暂存后，交有资质的单位收运处置。</w:t>
            </w:r>
          </w:p>
          <w:p w14:paraId="170517E7">
            <w:pPr>
              <w:keepNext w:val="0"/>
              <w:keepLines w:val="0"/>
              <w:kinsoku/>
              <w:wordWrap/>
              <w:overflowPunct/>
              <w:topLinePunct w:val="0"/>
              <w:autoSpaceDE/>
              <w:autoSpaceDN/>
              <w:bidi w:val="0"/>
              <w:adjustRightInd w:val="0"/>
              <w:snapToGrid/>
              <w:spacing w:line="360" w:lineRule="auto"/>
              <w:ind w:firstLine="480" w:firstLineChars="200"/>
              <w:textAlignment w:val="auto"/>
              <w:rPr>
                <w:rFonts w:hint="eastAsia" w:eastAsiaTheme="minorEastAsia"/>
                <w:color w:val="auto"/>
                <w:sz w:val="24"/>
                <w:lang w:val="en-US" w:eastAsia="zh-CN"/>
              </w:rPr>
            </w:pPr>
            <w:r>
              <w:rPr>
                <w:rFonts w:hint="eastAsia" w:eastAsiaTheme="minorEastAsia"/>
                <w:color w:val="auto"/>
                <w:sz w:val="24"/>
                <w:lang w:val="en-US" w:eastAsia="zh-CN"/>
              </w:rPr>
              <w:t>工人搬运容器过程中佩戴手套，可能沾染到收集容器表面危废，手套定期更换，产生的废手套按危废处置，在项目内暂存后，交有资质的单位收运处置。</w:t>
            </w:r>
          </w:p>
          <w:p w14:paraId="55F62912">
            <w:pPr>
              <w:keepNext w:val="0"/>
              <w:keepLines w:val="0"/>
              <w:kinsoku/>
              <w:wordWrap/>
              <w:overflowPunct/>
              <w:topLinePunct w:val="0"/>
              <w:autoSpaceDE/>
              <w:autoSpaceDN/>
              <w:bidi w:val="0"/>
              <w:adjustRightInd w:val="0"/>
              <w:snapToGrid/>
              <w:spacing w:line="360" w:lineRule="auto"/>
              <w:ind w:firstLine="480" w:firstLineChars="200"/>
              <w:textAlignment w:val="auto"/>
              <w:rPr>
                <w:rFonts w:hint="eastAsia" w:eastAsiaTheme="minorEastAsia"/>
                <w:color w:val="auto"/>
                <w:sz w:val="24"/>
                <w:lang w:val="en-US" w:eastAsia="zh-CN"/>
              </w:rPr>
            </w:pPr>
            <w:r>
              <w:rPr>
                <w:rFonts w:hint="eastAsia" w:eastAsiaTheme="minorEastAsia"/>
                <w:color w:val="auto"/>
                <w:sz w:val="24"/>
                <w:lang w:val="en-US" w:eastAsia="zh-CN"/>
              </w:rPr>
              <w:t>项目固态、半固态和液态的危险废物原料分别采用内塑外编袋、铁桶、塑料塑料箱集中收集后于贮存区密封暂存，正常运行状况下不会有危险废物渗漏。</w:t>
            </w:r>
          </w:p>
          <w:p w14:paraId="68A876D5">
            <w:pPr>
              <w:keepNext w:val="0"/>
              <w:keepLines w:val="0"/>
              <w:kinsoku/>
              <w:wordWrap/>
              <w:overflowPunct/>
              <w:topLinePunct w:val="0"/>
              <w:autoSpaceDE/>
              <w:autoSpaceDN/>
              <w:bidi w:val="0"/>
              <w:adjustRightInd w:val="0"/>
              <w:snapToGrid/>
              <w:spacing w:line="360" w:lineRule="auto"/>
              <w:ind w:firstLine="480" w:firstLineChars="200"/>
              <w:textAlignment w:val="auto"/>
              <w:rPr>
                <w:rFonts w:hint="eastAsia" w:eastAsiaTheme="minorEastAsia"/>
                <w:color w:val="auto"/>
                <w:sz w:val="24"/>
                <w:lang w:val="en-US" w:eastAsia="zh-CN"/>
              </w:rPr>
            </w:pPr>
            <w:r>
              <w:rPr>
                <w:rFonts w:hint="eastAsia" w:eastAsiaTheme="minorEastAsia"/>
                <w:color w:val="auto"/>
                <w:sz w:val="24"/>
                <w:lang w:val="en-US" w:eastAsia="zh-CN"/>
              </w:rPr>
              <w:t>项目不对运输车辆冲洗，不清洗收集容器，因此项目无生产废水产生，废水主要为职工生活污水。</w:t>
            </w:r>
          </w:p>
          <w:p w14:paraId="31DE867D">
            <w:pPr>
              <w:keepNext w:val="0"/>
              <w:keepLines w:val="0"/>
              <w:kinsoku/>
              <w:wordWrap/>
              <w:overflowPunct/>
              <w:topLinePunct w:val="0"/>
              <w:autoSpaceDE/>
              <w:autoSpaceDN/>
              <w:bidi w:val="0"/>
              <w:adjustRightInd w:val="0"/>
              <w:snapToGrid/>
              <w:spacing w:line="360" w:lineRule="auto"/>
              <w:ind w:firstLine="480" w:firstLineChars="200"/>
              <w:textAlignment w:val="auto"/>
              <w:rPr>
                <w:rFonts w:hint="default" w:eastAsiaTheme="minorEastAsia"/>
                <w:color w:val="auto"/>
                <w:sz w:val="24"/>
                <w:lang w:val="en-US" w:eastAsia="zh-CN"/>
              </w:rPr>
            </w:pPr>
            <w:r>
              <w:rPr>
                <w:rFonts w:hint="eastAsia" w:eastAsiaTheme="minorEastAsia"/>
                <w:color w:val="auto"/>
                <w:sz w:val="24"/>
                <w:lang w:val="en-US" w:eastAsia="zh-CN"/>
              </w:rPr>
              <w:t>生活污水产生量为60m</w:t>
            </w:r>
            <w:r>
              <w:rPr>
                <w:rFonts w:hint="eastAsia" w:eastAsiaTheme="minorEastAsia"/>
                <w:color w:val="auto"/>
                <w:sz w:val="24"/>
                <w:vertAlign w:val="superscript"/>
                <w:lang w:val="en-US" w:eastAsia="zh-CN"/>
              </w:rPr>
              <w:t>3</w:t>
            </w:r>
            <w:r>
              <w:rPr>
                <w:rFonts w:hint="eastAsia" w:eastAsiaTheme="minorEastAsia"/>
                <w:color w:val="auto"/>
                <w:sz w:val="24"/>
                <w:lang w:val="en-US" w:eastAsia="zh-CN"/>
              </w:rPr>
              <w:t>/a，依托租赁厂区内现有化粪池暂存后，由环卫部门清运处理。</w:t>
            </w:r>
          </w:p>
          <w:p w14:paraId="2FCE9FA5">
            <w:pPr>
              <w:keepNext w:val="0"/>
              <w:keepLines w:val="0"/>
              <w:pageBreakBefore w:val="0"/>
              <w:widowControl w:val="0"/>
              <w:numPr>
                <w:ilvl w:val="0"/>
                <w:numId w:val="29"/>
              </w:numPr>
              <w:kinsoku/>
              <w:wordWrap/>
              <w:overflowPunct/>
              <w:topLinePunct w:val="0"/>
              <w:autoSpaceDE/>
              <w:autoSpaceDN/>
              <w:bidi w:val="0"/>
              <w:adjustRightInd w:val="0"/>
              <w:snapToGrid/>
              <w:spacing w:line="360" w:lineRule="auto"/>
              <w:ind w:left="0" w:leftChars="0" w:firstLine="420" w:firstLineChars="0"/>
              <w:jc w:val="left"/>
              <w:textAlignment w:val="auto"/>
              <w:rPr>
                <w:rFonts w:hint="eastAsia" w:ascii="Times New Roman" w:hAnsi="Times New Roman" w:eastAsia="宋体" w:cs="Times New Roman"/>
                <w:b/>
                <w:bCs/>
                <w:color w:val="auto"/>
                <w:sz w:val="24"/>
                <w:szCs w:val="24"/>
                <w:highlight w:val="none"/>
                <w:lang w:eastAsia="zh-CN"/>
              </w:rPr>
            </w:pPr>
            <w:r>
              <w:rPr>
                <w:rFonts w:hint="eastAsia" w:ascii="Times New Roman" w:hAnsi="Times New Roman" w:eastAsia="宋体" w:cs="Times New Roman"/>
                <w:b/>
                <w:bCs/>
                <w:color w:val="auto"/>
                <w:sz w:val="24"/>
                <w:szCs w:val="24"/>
                <w:highlight w:val="none"/>
                <w:lang w:eastAsia="zh-CN"/>
              </w:rPr>
              <w:t>噪声</w:t>
            </w:r>
          </w:p>
          <w:p w14:paraId="7B263184">
            <w:pPr>
              <w:keepNext w:val="0"/>
              <w:keepLines w:val="0"/>
              <w:kinsoku/>
              <w:wordWrap/>
              <w:overflowPunct/>
              <w:topLinePunct w:val="0"/>
              <w:autoSpaceDE/>
              <w:autoSpaceDN/>
              <w:bidi w:val="0"/>
              <w:snapToGrid/>
              <w:spacing w:line="360" w:lineRule="auto"/>
              <w:ind w:firstLine="480" w:firstLineChars="200"/>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lang w:val="en-US" w:eastAsia="zh-CN"/>
              </w:rPr>
              <w:t>本项目噪声源主要为风机、叉车运行产生的噪声，噪声强度为</w:t>
            </w:r>
            <w:r>
              <w:rPr>
                <w:rFonts w:hint="eastAsia" w:cs="Times New Roman"/>
                <w:color w:val="auto"/>
                <w:sz w:val="24"/>
                <w:lang w:val="en-US" w:eastAsia="zh-CN"/>
              </w:rPr>
              <w:t>70</w:t>
            </w:r>
            <w:r>
              <w:rPr>
                <w:rFonts w:hint="eastAsia" w:ascii="Times New Roman" w:hAnsi="Times New Roman" w:eastAsia="宋体" w:cs="Times New Roman"/>
                <w:color w:val="auto"/>
                <w:sz w:val="24"/>
                <w:lang w:val="en-US" w:eastAsia="zh-CN"/>
              </w:rPr>
              <w:t>dB（A）。其中叉车</w:t>
            </w:r>
            <w:r>
              <w:rPr>
                <w:rFonts w:hint="eastAsia" w:ascii="Times New Roman" w:hAnsi="Times New Roman" w:eastAsia="宋体" w:cs="Times New Roman"/>
                <w:color w:val="auto"/>
                <w:sz w:val="24"/>
                <w:szCs w:val="24"/>
                <w:highlight w:val="none"/>
                <w:lang w:val="en-US" w:eastAsia="zh-CN"/>
              </w:rPr>
              <w:t>在贮存区室内使用，位置不固定，经建筑隔声降噪，且叉车为间歇使用（在转运时使用，其余时间不使用），因此主要考虑风机对厂界的影响情况。</w:t>
            </w:r>
          </w:p>
          <w:p w14:paraId="7485F38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auto"/>
                <w:sz w:val="24"/>
                <w:lang w:val="en-US" w:eastAsia="zh-CN"/>
              </w:rPr>
            </w:pPr>
            <w:r>
              <w:rPr>
                <w:rFonts w:hint="eastAsia"/>
                <w:color w:val="auto"/>
                <w:sz w:val="24"/>
                <w:lang w:val="en-US" w:eastAsia="zh-CN"/>
              </w:rPr>
              <w:t>项目运营过程中采用基础减振、设置隔声罩等降噪措施，可降低风机噪声对周边声环境的影响。</w:t>
            </w:r>
          </w:p>
          <w:p w14:paraId="1F59627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auto"/>
                <w:sz w:val="24"/>
                <w:lang w:val="en-US" w:eastAsia="zh-CN"/>
              </w:rPr>
            </w:pPr>
            <w:r>
              <w:rPr>
                <w:rFonts w:hint="eastAsia"/>
                <w:color w:val="auto"/>
                <w:sz w:val="24"/>
                <w:lang w:val="en-US" w:eastAsia="zh-CN"/>
              </w:rPr>
              <w:t>项目噪声源强调查清单见下表。</w:t>
            </w:r>
          </w:p>
          <w:p w14:paraId="5EC690FC">
            <w:pPr>
              <w:keepNext w:val="0"/>
              <w:keepLines w:val="0"/>
              <w:pageBreakBefore w:val="0"/>
              <w:widowControl w:val="0"/>
              <w:numPr>
                <w:ilvl w:val="0"/>
                <w:numId w:val="31"/>
              </w:numPr>
              <w:kinsoku/>
              <w:wordWrap/>
              <w:overflowPunct/>
              <w:topLinePunct w:val="0"/>
              <w:autoSpaceDE w:val="0"/>
              <w:autoSpaceDN w:val="0"/>
              <w:bidi w:val="0"/>
              <w:adjustRightInd w:val="0"/>
              <w:snapToGrid/>
              <w:spacing w:line="360" w:lineRule="auto"/>
              <w:ind w:left="3150" w:leftChars="0" w:hanging="3110" w:firstLineChars="0"/>
              <w:jc w:val="center"/>
              <w:textAlignment w:val="auto"/>
              <w:rPr>
                <w:rFonts w:hint="eastAsia" w:ascii="宋体" w:hAnsi="宋体" w:eastAsia="宋体" w:cs="宋体"/>
                <w:b/>
                <w:bCs/>
                <w:color w:val="auto"/>
                <w:kern w:val="0"/>
                <w:sz w:val="24"/>
                <w:szCs w:val="24"/>
                <w:lang w:val="en-US" w:eastAsia="zh-CN" w:bidi="ar"/>
              </w:rPr>
            </w:pPr>
            <w:r>
              <w:rPr>
                <w:rFonts w:hint="default" w:ascii="宋体" w:hAnsi="宋体" w:eastAsia="宋体" w:cs="宋体"/>
                <w:b/>
                <w:bCs/>
                <w:color w:val="auto"/>
                <w:kern w:val="0"/>
                <w:sz w:val="24"/>
                <w:szCs w:val="24"/>
                <w:lang w:val="en-US" w:eastAsia="zh-CN" w:bidi="ar"/>
              </w:rPr>
              <w:t>噪声源强调查清单</w:t>
            </w:r>
            <w:r>
              <w:rPr>
                <w:rFonts w:hint="eastAsia" w:ascii="宋体" w:hAnsi="宋体" w:cs="宋体"/>
                <w:b/>
                <w:bCs/>
                <w:color w:val="auto"/>
                <w:kern w:val="0"/>
                <w:sz w:val="24"/>
                <w:szCs w:val="24"/>
                <w:lang w:val="en-US" w:eastAsia="zh-CN" w:bidi="ar"/>
              </w:rPr>
              <w:t>（</w:t>
            </w:r>
            <w:r>
              <w:rPr>
                <w:rFonts w:hint="default" w:ascii="宋体" w:hAnsi="宋体" w:eastAsia="宋体" w:cs="宋体"/>
                <w:b/>
                <w:bCs/>
                <w:color w:val="auto"/>
                <w:kern w:val="0"/>
                <w:sz w:val="24"/>
                <w:szCs w:val="24"/>
                <w:lang w:val="en-US" w:eastAsia="zh-CN" w:bidi="ar"/>
              </w:rPr>
              <w:t>室</w:t>
            </w:r>
            <w:r>
              <w:rPr>
                <w:rFonts w:hint="eastAsia" w:ascii="宋体" w:hAnsi="宋体" w:eastAsia="宋体" w:cs="宋体"/>
                <w:b/>
                <w:bCs/>
                <w:color w:val="auto"/>
                <w:kern w:val="0"/>
                <w:sz w:val="24"/>
                <w:szCs w:val="24"/>
                <w:lang w:val="en-US" w:eastAsia="zh-CN" w:bidi="ar"/>
              </w:rPr>
              <w:t>外</w:t>
            </w:r>
            <w:r>
              <w:rPr>
                <w:rFonts w:hint="default" w:ascii="宋体" w:hAnsi="宋体" w:eastAsia="宋体" w:cs="宋体"/>
                <w:b/>
                <w:bCs/>
                <w:color w:val="auto"/>
                <w:kern w:val="0"/>
                <w:sz w:val="24"/>
                <w:szCs w:val="24"/>
                <w:lang w:val="en-US" w:eastAsia="zh-CN" w:bidi="ar"/>
              </w:rPr>
              <w:t>声源</w:t>
            </w:r>
            <w:r>
              <w:rPr>
                <w:rFonts w:hint="eastAsia" w:ascii="宋体" w:hAnsi="宋体" w:cs="宋体"/>
                <w:b/>
                <w:bCs/>
                <w:color w:val="auto"/>
                <w:kern w:val="0"/>
                <w:sz w:val="24"/>
                <w:szCs w:val="24"/>
                <w:lang w:val="en-US" w:eastAsia="zh-CN" w:bidi="ar"/>
              </w:rPr>
              <w:t>）</w:t>
            </w:r>
          </w:p>
          <w:tbl>
            <w:tblPr>
              <w:tblStyle w:val="89"/>
              <w:tblW w:w="4997"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556"/>
              <w:gridCol w:w="1111"/>
              <w:gridCol w:w="1117"/>
              <w:gridCol w:w="692"/>
              <w:gridCol w:w="809"/>
              <w:gridCol w:w="498"/>
              <w:gridCol w:w="1112"/>
              <w:gridCol w:w="1672"/>
              <w:gridCol w:w="1131"/>
            </w:tblGrid>
            <w:tr w14:paraId="7405589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53" w:hRule="atLeast"/>
              </w:trPr>
              <w:tc>
                <w:tcPr>
                  <w:tcW w:w="320" w:type="pct"/>
                  <w:vMerge w:val="restart"/>
                  <w:tcBorders>
                    <w:bottom w:val="nil"/>
                  </w:tcBorders>
                  <w:vAlign w:val="center"/>
                </w:tcPr>
                <w:p w14:paraId="1C7063E5">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pacing w:val="4"/>
                      <w:sz w:val="21"/>
                      <w:szCs w:val="21"/>
                    </w:rPr>
                  </w:pPr>
                  <w:r>
                    <w:rPr>
                      <w:rFonts w:ascii="宋体" w:hAnsi="宋体" w:eastAsia="宋体" w:cs="宋体"/>
                      <w:color w:val="auto"/>
                      <w:spacing w:val="4"/>
                      <w:sz w:val="21"/>
                      <w:szCs w:val="21"/>
                    </w:rPr>
                    <w:t>序号</w:t>
                  </w:r>
                </w:p>
              </w:tc>
              <w:tc>
                <w:tcPr>
                  <w:tcW w:w="639" w:type="pct"/>
                  <w:vMerge w:val="restart"/>
                  <w:tcBorders>
                    <w:bottom w:val="nil"/>
                  </w:tcBorders>
                  <w:vAlign w:val="center"/>
                </w:tcPr>
                <w:p w14:paraId="2B1B370B">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pacing w:val="4"/>
                      <w:sz w:val="21"/>
                      <w:szCs w:val="21"/>
                    </w:rPr>
                  </w:pPr>
                  <w:r>
                    <w:rPr>
                      <w:rFonts w:ascii="宋体" w:hAnsi="宋体" w:eastAsia="宋体" w:cs="宋体"/>
                      <w:color w:val="auto"/>
                      <w:spacing w:val="4"/>
                      <w:sz w:val="21"/>
                      <w:szCs w:val="21"/>
                    </w:rPr>
                    <w:t>声源名称</w:t>
                  </w:r>
                </w:p>
              </w:tc>
              <w:tc>
                <w:tcPr>
                  <w:tcW w:w="642" w:type="pct"/>
                  <w:vMerge w:val="restart"/>
                  <w:tcBorders>
                    <w:bottom w:val="nil"/>
                  </w:tcBorders>
                  <w:vAlign w:val="center"/>
                </w:tcPr>
                <w:p w14:paraId="7D7215F6">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pacing w:val="4"/>
                      <w:sz w:val="21"/>
                      <w:szCs w:val="21"/>
                    </w:rPr>
                  </w:pPr>
                  <w:r>
                    <w:rPr>
                      <w:rFonts w:ascii="宋体" w:hAnsi="宋体" w:eastAsia="宋体" w:cs="宋体"/>
                      <w:color w:val="auto"/>
                      <w:spacing w:val="4"/>
                      <w:sz w:val="21"/>
                      <w:szCs w:val="21"/>
                    </w:rPr>
                    <w:t>型号</w:t>
                  </w:r>
                </w:p>
              </w:tc>
              <w:tc>
                <w:tcPr>
                  <w:tcW w:w="1149" w:type="pct"/>
                  <w:gridSpan w:val="3"/>
                  <w:vAlign w:val="center"/>
                </w:tcPr>
                <w:p w14:paraId="5B30AE52">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pacing w:val="4"/>
                      <w:sz w:val="21"/>
                      <w:szCs w:val="21"/>
                      <w:highlight w:val="none"/>
                    </w:rPr>
                  </w:pPr>
                  <w:r>
                    <w:rPr>
                      <w:rFonts w:ascii="宋体" w:hAnsi="宋体" w:eastAsia="宋体" w:cs="宋体"/>
                      <w:color w:val="auto"/>
                      <w:spacing w:val="4"/>
                      <w:sz w:val="21"/>
                      <w:szCs w:val="21"/>
                      <w:highlight w:val="none"/>
                    </w:rPr>
                    <w:t>空间相对位置/m</w:t>
                  </w:r>
                </w:p>
              </w:tc>
              <w:tc>
                <w:tcPr>
                  <w:tcW w:w="639" w:type="pct"/>
                  <w:vMerge w:val="restart"/>
                  <w:tcBorders>
                    <w:bottom w:val="nil"/>
                  </w:tcBorders>
                  <w:vAlign w:val="center"/>
                </w:tcPr>
                <w:p w14:paraId="4E6BF2F8">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pacing w:val="4"/>
                      <w:sz w:val="21"/>
                      <w:szCs w:val="21"/>
                      <w:lang w:val="en-US" w:eastAsia="zh-CN"/>
                    </w:rPr>
                  </w:pPr>
                  <w:r>
                    <w:rPr>
                      <w:rFonts w:hint="eastAsia" w:ascii="宋体" w:hAnsi="宋体" w:eastAsia="宋体" w:cs="宋体"/>
                      <w:color w:val="auto"/>
                      <w:spacing w:val="4"/>
                      <w:sz w:val="21"/>
                      <w:szCs w:val="21"/>
                      <w:lang w:val="en-US" w:eastAsia="zh-CN"/>
                    </w:rPr>
                    <w:t>声功率级</w:t>
                  </w:r>
                </w:p>
                <w:p w14:paraId="78E7A72D">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pacing w:val="4"/>
                      <w:sz w:val="21"/>
                      <w:szCs w:val="21"/>
                      <w:lang w:eastAsia="zh-CN"/>
                    </w:rPr>
                  </w:pPr>
                  <w:r>
                    <w:rPr>
                      <w:rFonts w:hint="eastAsia" w:ascii="宋体" w:hAnsi="宋体" w:eastAsia="宋体" w:cs="宋体"/>
                      <w:color w:val="auto"/>
                      <w:spacing w:val="4"/>
                      <w:sz w:val="21"/>
                      <w:szCs w:val="21"/>
                      <w:lang w:val="en-US" w:eastAsia="zh-CN"/>
                    </w:rPr>
                    <w:t>/</w:t>
                  </w:r>
                  <w:r>
                    <w:rPr>
                      <w:rFonts w:ascii="宋体" w:hAnsi="宋体" w:eastAsia="宋体" w:cs="宋体"/>
                      <w:color w:val="auto"/>
                      <w:spacing w:val="4"/>
                      <w:sz w:val="21"/>
                      <w:szCs w:val="21"/>
                    </w:rPr>
                    <w:t>dB</w:t>
                  </w:r>
                  <w:r>
                    <w:rPr>
                      <w:rFonts w:hint="eastAsia" w:cs="宋体"/>
                      <w:color w:val="auto"/>
                      <w:spacing w:val="4"/>
                      <w:sz w:val="21"/>
                      <w:szCs w:val="21"/>
                      <w:lang w:eastAsia="zh-CN"/>
                    </w:rPr>
                    <w:t>（</w:t>
                  </w:r>
                  <w:r>
                    <w:rPr>
                      <w:rFonts w:ascii="宋体" w:hAnsi="宋体" w:eastAsia="宋体" w:cs="宋体"/>
                      <w:color w:val="auto"/>
                      <w:spacing w:val="4"/>
                      <w:sz w:val="21"/>
                      <w:szCs w:val="21"/>
                    </w:rPr>
                    <w:t>A</w:t>
                  </w:r>
                  <w:r>
                    <w:rPr>
                      <w:rFonts w:hint="eastAsia" w:cs="宋体"/>
                      <w:color w:val="auto"/>
                      <w:spacing w:val="4"/>
                      <w:sz w:val="21"/>
                      <w:szCs w:val="21"/>
                      <w:lang w:eastAsia="zh-CN"/>
                    </w:rPr>
                    <w:t>）</w:t>
                  </w:r>
                </w:p>
              </w:tc>
              <w:tc>
                <w:tcPr>
                  <w:tcW w:w="961" w:type="pct"/>
                  <w:vMerge w:val="restart"/>
                  <w:tcBorders>
                    <w:bottom w:val="nil"/>
                  </w:tcBorders>
                  <w:vAlign w:val="center"/>
                </w:tcPr>
                <w:p w14:paraId="2A329475">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pacing w:val="4"/>
                      <w:sz w:val="21"/>
                      <w:szCs w:val="21"/>
                    </w:rPr>
                  </w:pPr>
                  <w:r>
                    <w:rPr>
                      <w:rFonts w:ascii="宋体" w:hAnsi="宋体" w:eastAsia="宋体" w:cs="宋体"/>
                      <w:color w:val="auto"/>
                      <w:spacing w:val="4"/>
                      <w:sz w:val="21"/>
                      <w:szCs w:val="21"/>
                    </w:rPr>
                    <w:t>声源控制措施</w:t>
                  </w:r>
                </w:p>
              </w:tc>
              <w:tc>
                <w:tcPr>
                  <w:tcW w:w="647" w:type="pct"/>
                  <w:vMerge w:val="restart"/>
                  <w:tcBorders>
                    <w:bottom w:val="nil"/>
                  </w:tcBorders>
                  <w:vAlign w:val="center"/>
                </w:tcPr>
                <w:p w14:paraId="10C1E0C9">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pacing w:val="4"/>
                      <w:sz w:val="21"/>
                      <w:szCs w:val="21"/>
                    </w:rPr>
                  </w:pPr>
                  <w:r>
                    <w:rPr>
                      <w:rFonts w:ascii="宋体" w:hAnsi="宋体" w:eastAsia="宋体" w:cs="宋体"/>
                      <w:color w:val="auto"/>
                      <w:spacing w:val="4"/>
                      <w:sz w:val="21"/>
                      <w:szCs w:val="21"/>
                    </w:rPr>
                    <w:t>运行时段</w:t>
                  </w:r>
                </w:p>
              </w:tc>
            </w:tr>
            <w:tr w14:paraId="0972687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7" w:hRule="atLeast"/>
              </w:trPr>
              <w:tc>
                <w:tcPr>
                  <w:tcW w:w="320" w:type="pct"/>
                  <w:vMerge w:val="continue"/>
                  <w:tcBorders>
                    <w:top w:val="nil"/>
                  </w:tcBorders>
                  <w:vAlign w:val="center"/>
                </w:tcPr>
                <w:p w14:paraId="7A87013E">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pacing w:val="4"/>
                      <w:sz w:val="21"/>
                      <w:szCs w:val="21"/>
                    </w:rPr>
                  </w:pPr>
                </w:p>
              </w:tc>
              <w:tc>
                <w:tcPr>
                  <w:tcW w:w="639" w:type="pct"/>
                  <w:vMerge w:val="continue"/>
                  <w:tcBorders>
                    <w:top w:val="nil"/>
                  </w:tcBorders>
                  <w:vAlign w:val="center"/>
                </w:tcPr>
                <w:p w14:paraId="5A6E5340">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pacing w:val="4"/>
                      <w:sz w:val="21"/>
                      <w:szCs w:val="21"/>
                    </w:rPr>
                  </w:pPr>
                </w:p>
              </w:tc>
              <w:tc>
                <w:tcPr>
                  <w:tcW w:w="642" w:type="pct"/>
                  <w:vMerge w:val="continue"/>
                  <w:tcBorders>
                    <w:top w:val="nil"/>
                  </w:tcBorders>
                  <w:vAlign w:val="center"/>
                </w:tcPr>
                <w:p w14:paraId="3B6F3B18">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pacing w:val="4"/>
                      <w:sz w:val="21"/>
                      <w:szCs w:val="21"/>
                    </w:rPr>
                  </w:pPr>
                </w:p>
              </w:tc>
              <w:tc>
                <w:tcPr>
                  <w:tcW w:w="398" w:type="pct"/>
                  <w:vAlign w:val="center"/>
                </w:tcPr>
                <w:p w14:paraId="57C1E224">
                  <w:pPr>
                    <w:pStyle w:val="90"/>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ascii="宋体" w:hAnsi="宋体" w:eastAsia="宋体" w:cs="宋体"/>
                      <w:color w:val="auto"/>
                      <w:spacing w:val="4"/>
                      <w:sz w:val="21"/>
                      <w:szCs w:val="21"/>
                      <w:highlight w:val="none"/>
                    </w:rPr>
                  </w:pPr>
                  <w:r>
                    <w:rPr>
                      <w:color w:val="auto"/>
                      <w:sz w:val="21"/>
                      <w:szCs w:val="21"/>
                      <w:highlight w:val="none"/>
                    </w:rPr>
                    <w:t>X</w:t>
                  </w:r>
                </w:p>
              </w:tc>
              <w:tc>
                <w:tcPr>
                  <w:tcW w:w="465" w:type="pct"/>
                  <w:vAlign w:val="center"/>
                </w:tcPr>
                <w:p w14:paraId="1B36D85F">
                  <w:pPr>
                    <w:pStyle w:val="90"/>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ascii="宋体" w:hAnsi="宋体" w:eastAsia="宋体" w:cs="宋体"/>
                      <w:color w:val="auto"/>
                      <w:spacing w:val="4"/>
                      <w:sz w:val="21"/>
                      <w:szCs w:val="21"/>
                      <w:highlight w:val="none"/>
                    </w:rPr>
                  </w:pPr>
                  <w:r>
                    <w:rPr>
                      <w:color w:val="auto"/>
                      <w:sz w:val="21"/>
                      <w:szCs w:val="21"/>
                      <w:highlight w:val="none"/>
                    </w:rPr>
                    <w:t>Y</w:t>
                  </w:r>
                </w:p>
              </w:tc>
              <w:tc>
                <w:tcPr>
                  <w:tcW w:w="285" w:type="pct"/>
                  <w:vAlign w:val="center"/>
                </w:tcPr>
                <w:p w14:paraId="277E837E">
                  <w:pPr>
                    <w:pStyle w:val="90"/>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ascii="宋体" w:hAnsi="宋体" w:eastAsia="宋体" w:cs="宋体"/>
                      <w:color w:val="auto"/>
                      <w:spacing w:val="4"/>
                      <w:sz w:val="21"/>
                      <w:szCs w:val="21"/>
                      <w:highlight w:val="none"/>
                    </w:rPr>
                  </w:pPr>
                  <w:r>
                    <w:rPr>
                      <w:color w:val="auto"/>
                      <w:sz w:val="21"/>
                      <w:szCs w:val="21"/>
                      <w:highlight w:val="none"/>
                    </w:rPr>
                    <w:t>Z</w:t>
                  </w:r>
                </w:p>
              </w:tc>
              <w:tc>
                <w:tcPr>
                  <w:tcW w:w="639" w:type="pct"/>
                  <w:vMerge w:val="continue"/>
                  <w:tcBorders>
                    <w:top w:val="nil"/>
                  </w:tcBorders>
                  <w:vAlign w:val="center"/>
                </w:tcPr>
                <w:p w14:paraId="6E13D269">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pacing w:val="4"/>
                      <w:sz w:val="21"/>
                      <w:szCs w:val="21"/>
                    </w:rPr>
                  </w:pPr>
                </w:p>
              </w:tc>
              <w:tc>
                <w:tcPr>
                  <w:tcW w:w="961" w:type="pct"/>
                  <w:vMerge w:val="continue"/>
                  <w:tcBorders>
                    <w:top w:val="nil"/>
                  </w:tcBorders>
                  <w:vAlign w:val="center"/>
                </w:tcPr>
                <w:p w14:paraId="48B4510A">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pacing w:val="4"/>
                      <w:sz w:val="21"/>
                      <w:szCs w:val="21"/>
                    </w:rPr>
                  </w:pPr>
                </w:p>
              </w:tc>
              <w:tc>
                <w:tcPr>
                  <w:tcW w:w="647" w:type="pct"/>
                  <w:vMerge w:val="continue"/>
                  <w:tcBorders>
                    <w:top w:val="nil"/>
                  </w:tcBorders>
                  <w:vAlign w:val="center"/>
                </w:tcPr>
                <w:p w14:paraId="21987FA2">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pacing w:val="4"/>
                      <w:sz w:val="21"/>
                      <w:szCs w:val="21"/>
                    </w:rPr>
                  </w:pPr>
                </w:p>
              </w:tc>
            </w:tr>
            <w:tr w14:paraId="73194F6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10" w:hRule="atLeast"/>
              </w:trPr>
              <w:tc>
                <w:tcPr>
                  <w:tcW w:w="320" w:type="pct"/>
                  <w:vAlign w:val="center"/>
                </w:tcPr>
                <w:p w14:paraId="2D8DC68E">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pacing w:val="4"/>
                      <w:sz w:val="21"/>
                      <w:szCs w:val="21"/>
                    </w:rPr>
                  </w:pPr>
                  <w:r>
                    <w:rPr>
                      <w:rFonts w:ascii="宋体" w:hAnsi="宋体" w:eastAsia="宋体" w:cs="宋体"/>
                      <w:color w:val="auto"/>
                      <w:spacing w:val="4"/>
                      <w:sz w:val="21"/>
                      <w:szCs w:val="21"/>
                    </w:rPr>
                    <w:t>1</w:t>
                  </w:r>
                </w:p>
              </w:tc>
              <w:tc>
                <w:tcPr>
                  <w:tcW w:w="639" w:type="pct"/>
                  <w:vAlign w:val="center"/>
                </w:tcPr>
                <w:p w14:paraId="68511513">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pacing w:val="4"/>
                      <w:sz w:val="21"/>
                      <w:szCs w:val="21"/>
                    </w:rPr>
                  </w:pPr>
                  <w:r>
                    <w:rPr>
                      <w:rFonts w:ascii="宋体" w:hAnsi="宋体" w:eastAsia="宋体" w:cs="宋体"/>
                      <w:color w:val="auto"/>
                      <w:spacing w:val="4"/>
                      <w:sz w:val="21"/>
                      <w:szCs w:val="21"/>
                    </w:rPr>
                    <w:t>废气治理</w:t>
                  </w:r>
                </w:p>
                <w:p w14:paraId="2755F94C">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pacing w:val="4"/>
                      <w:sz w:val="21"/>
                      <w:szCs w:val="21"/>
                    </w:rPr>
                  </w:pPr>
                  <w:r>
                    <w:rPr>
                      <w:rFonts w:ascii="宋体" w:hAnsi="宋体" w:eastAsia="宋体" w:cs="宋体"/>
                      <w:color w:val="auto"/>
                      <w:spacing w:val="4"/>
                      <w:sz w:val="21"/>
                      <w:szCs w:val="21"/>
                    </w:rPr>
                    <w:t>设施风机</w:t>
                  </w:r>
                </w:p>
              </w:tc>
              <w:tc>
                <w:tcPr>
                  <w:tcW w:w="642" w:type="pct"/>
                  <w:vAlign w:val="center"/>
                </w:tcPr>
                <w:p w14:paraId="009AA17B">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pacing w:val="4"/>
                      <w:sz w:val="21"/>
                      <w:szCs w:val="21"/>
                    </w:rPr>
                  </w:pPr>
                  <w:r>
                    <w:rPr>
                      <w:rFonts w:ascii="宋体" w:hAnsi="宋体" w:eastAsia="宋体" w:cs="宋体"/>
                      <w:color w:val="auto"/>
                      <w:spacing w:val="4"/>
                      <w:sz w:val="21"/>
                      <w:szCs w:val="21"/>
                    </w:rPr>
                    <w:t>处理规模</w:t>
                  </w:r>
                </w:p>
                <w:p w14:paraId="453C0EC4">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pacing w:val="4"/>
                      <w:sz w:val="21"/>
                      <w:szCs w:val="21"/>
                    </w:rPr>
                  </w:pPr>
                  <w:r>
                    <w:rPr>
                      <w:rFonts w:hint="eastAsia" w:cs="宋体"/>
                      <w:color w:val="auto"/>
                      <w:spacing w:val="4"/>
                      <w:sz w:val="21"/>
                      <w:szCs w:val="21"/>
                      <w:lang w:val="en-US" w:eastAsia="zh-CN"/>
                    </w:rPr>
                    <w:t>3000</w:t>
                  </w:r>
                  <w:r>
                    <w:rPr>
                      <w:rFonts w:ascii="宋体" w:hAnsi="宋体" w:eastAsia="宋体" w:cs="宋体"/>
                      <w:color w:val="auto"/>
                      <w:spacing w:val="4"/>
                      <w:sz w:val="21"/>
                      <w:szCs w:val="21"/>
                    </w:rPr>
                    <w:t>m³</w:t>
                  </w:r>
                  <w:r>
                    <w:rPr>
                      <w:rFonts w:hint="eastAsia" w:cs="宋体"/>
                      <w:color w:val="auto"/>
                      <w:spacing w:val="4"/>
                      <w:sz w:val="21"/>
                      <w:szCs w:val="21"/>
                      <w:lang w:val="en-US" w:eastAsia="zh-CN"/>
                    </w:rPr>
                    <w:t>/</w:t>
                  </w:r>
                  <w:r>
                    <w:rPr>
                      <w:rFonts w:ascii="宋体" w:hAnsi="宋体" w:eastAsia="宋体" w:cs="宋体"/>
                      <w:color w:val="auto"/>
                      <w:spacing w:val="4"/>
                      <w:sz w:val="21"/>
                      <w:szCs w:val="21"/>
                    </w:rPr>
                    <w:t>h</w:t>
                  </w:r>
                </w:p>
              </w:tc>
              <w:tc>
                <w:tcPr>
                  <w:tcW w:w="398" w:type="pct"/>
                  <w:vAlign w:val="center"/>
                </w:tcPr>
                <w:p w14:paraId="023CE456">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宋体" w:hAnsi="宋体" w:eastAsia="宋体" w:cs="宋体"/>
                      <w:color w:val="auto"/>
                      <w:spacing w:val="4"/>
                      <w:sz w:val="21"/>
                      <w:szCs w:val="21"/>
                      <w:highlight w:val="none"/>
                      <w:lang w:val="en-US" w:eastAsia="zh-CN"/>
                    </w:rPr>
                  </w:pPr>
                  <w:r>
                    <w:rPr>
                      <w:rFonts w:hint="eastAsia" w:cs="宋体"/>
                      <w:color w:val="auto"/>
                      <w:spacing w:val="4"/>
                      <w:sz w:val="21"/>
                      <w:szCs w:val="21"/>
                      <w:highlight w:val="none"/>
                      <w:lang w:val="en-US" w:eastAsia="zh-CN"/>
                    </w:rPr>
                    <w:t>23.98</w:t>
                  </w:r>
                </w:p>
              </w:tc>
              <w:tc>
                <w:tcPr>
                  <w:tcW w:w="465" w:type="pct"/>
                  <w:vAlign w:val="center"/>
                </w:tcPr>
                <w:p w14:paraId="7F03076B">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宋体" w:hAnsi="宋体" w:eastAsia="宋体" w:cs="宋体"/>
                      <w:color w:val="auto"/>
                      <w:spacing w:val="4"/>
                      <w:sz w:val="21"/>
                      <w:szCs w:val="21"/>
                      <w:highlight w:val="none"/>
                      <w:lang w:val="en-US" w:eastAsia="zh-CN"/>
                    </w:rPr>
                  </w:pPr>
                  <w:r>
                    <w:rPr>
                      <w:rFonts w:hint="eastAsia" w:cs="宋体"/>
                      <w:color w:val="auto"/>
                      <w:spacing w:val="4"/>
                      <w:sz w:val="21"/>
                      <w:szCs w:val="21"/>
                      <w:highlight w:val="none"/>
                      <w:lang w:val="en-US" w:eastAsia="zh-CN"/>
                    </w:rPr>
                    <w:t>26.17</w:t>
                  </w:r>
                </w:p>
              </w:tc>
              <w:tc>
                <w:tcPr>
                  <w:tcW w:w="285" w:type="pct"/>
                  <w:vAlign w:val="center"/>
                </w:tcPr>
                <w:p w14:paraId="48A292C8">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pacing w:val="4"/>
                      <w:sz w:val="21"/>
                      <w:szCs w:val="21"/>
                      <w:highlight w:val="none"/>
                    </w:rPr>
                  </w:pPr>
                  <w:r>
                    <w:rPr>
                      <w:rFonts w:ascii="宋体" w:hAnsi="宋体" w:eastAsia="宋体" w:cs="宋体"/>
                      <w:color w:val="auto"/>
                      <w:spacing w:val="4"/>
                      <w:sz w:val="21"/>
                      <w:szCs w:val="21"/>
                      <w:highlight w:val="none"/>
                    </w:rPr>
                    <w:t>1</w:t>
                  </w:r>
                </w:p>
              </w:tc>
              <w:tc>
                <w:tcPr>
                  <w:tcW w:w="639" w:type="pct"/>
                  <w:vAlign w:val="center"/>
                </w:tcPr>
                <w:p w14:paraId="509BB209">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宋体" w:hAnsi="宋体" w:eastAsia="宋体" w:cs="宋体"/>
                      <w:color w:val="auto"/>
                      <w:spacing w:val="4"/>
                      <w:sz w:val="21"/>
                      <w:szCs w:val="21"/>
                      <w:lang w:val="en-US" w:eastAsia="zh-CN"/>
                    </w:rPr>
                  </w:pPr>
                  <w:r>
                    <w:rPr>
                      <w:rFonts w:hint="eastAsia" w:cs="宋体"/>
                      <w:color w:val="auto"/>
                      <w:spacing w:val="4"/>
                      <w:sz w:val="21"/>
                      <w:szCs w:val="21"/>
                      <w:lang w:val="en-US" w:eastAsia="zh-CN"/>
                    </w:rPr>
                    <w:t>70</w:t>
                  </w:r>
                </w:p>
              </w:tc>
              <w:tc>
                <w:tcPr>
                  <w:tcW w:w="961" w:type="pct"/>
                  <w:vAlign w:val="center"/>
                </w:tcPr>
                <w:p w14:paraId="6174607E">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pacing w:val="4"/>
                      <w:sz w:val="21"/>
                      <w:szCs w:val="21"/>
                    </w:rPr>
                  </w:pPr>
                  <w:r>
                    <w:rPr>
                      <w:rFonts w:ascii="宋体" w:hAnsi="宋体" w:eastAsia="宋体" w:cs="宋体"/>
                      <w:color w:val="auto"/>
                      <w:spacing w:val="4"/>
                      <w:sz w:val="21"/>
                      <w:szCs w:val="21"/>
                    </w:rPr>
                    <w:t>基础减震、</w:t>
                  </w:r>
                </w:p>
                <w:p w14:paraId="6045CD75">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pacing w:val="4"/>
                      <w:sz w:val="21"/>
                      <w:szCs w:val="21"/>
                      <w:lang w:eastAsia="zh-CN"/>
                    </w:rPr>
                  </w:pPr>
                  <w:r>
                    <w:rPr>
                      <w:rFonts w:ascii="宋体" w:hAnsi="宋体" w:eastAsia="宋体" w:cs="宋体"/>
                      <w:color w:val="auto"/>
                      <w:spacing w:val="4"/>
                      <w:sz w:val="21"/>
                      <w:szCs w:val="21"/>
                    </w:rPr>
                    <w:t>设置</w:t>
                  </w:r>
                  <w:r>
                    <w:rPr>
                      <w:rFonts w:hint="eastAsia" w:ascii="宋体" w:hAnsi="宋体" w:eastAsia="宋体" w:cs="宋体"/>
                      <w:color w:val="auto"/>
                      <w:spacing w:val="4"/>
                      <w:sz w:val="21"/>
                      <w:szCs w:val="21"/>
                      <w:lang w:val="en-US" w:eastAsia="zh-CN"/>
                    </w:rPr>
                    <w:t>隔声罩</w:t>
                  </w:r>
                </w:p>
              </w:tc>
              <w:tc>
                <w:tcPr>
                  <w:tcW w:w="647" w:type="pct"/>
                  <w:vAlign w:val="center"/>
                </w:tcPr>
                <w:p w14:paraId="030279EF">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宋体" w:hAnsi="宋体" w:eastAsia="宋体" w:cs="宋体"/>
                      <w:color w:val="auto"/>
                      <w:spacing w:val="4"/>
                      <w:sz w:val="21"/>
                      <w:szCs w:val="21"/>
                    </w:rPr>
                  </w:pPr>
                  <w:r>
                    <w:rPr>
                      <w:rFonts w:ascii="宋体" w:hAnsi="宋体" w:eastAsia="宋体" w:cs="宋体"/>
                      <w:color w:val="auto"/>
                      <w:spacing w:val="4"/>
                      <w:sz w:val="21"/>
                      <w:szCs w:val="21"/>
                    </w:rPr>
                    <w:t>昼</w:t>
                  </w:r>
                  <w:r>
                    <w:rPr>
                      <w:rFonts w:hint="eastAsia" w:ascii="宋体" w:hAnsi="宋体" w:eastAsia="宋体" w:cs="宋体"/>
                      <w:color w:val="auto"/>
                      <w:spacing w:val="4"/>
                      <w:sz w:val="21"/>
                      <w:szCs w:val="21"/>
                      <w:lang w:eastAsia="zh-CN"/>
                    </w:rPr>
                    <w:t>、</w:t>
                  </w:r>
                  <w:r>
                    <w:rPr>
                      <w:rFonts w:ascii="宋体" w:hAnsi="宋体" w:eastAsia="宋体" w:cs="宋体"/>
                      <w:color w:val="auto"/>
                      <w:spacing w:val="4"/>
                      <w:sz w:val="21"/>
                      <w:szCs w:val="21"/>
                    </w:rPr>
                    <w:t>夜</w:t>
                  </w:r>
                </w:p>
              </w:tc>
            </w:tr>
            <w:tr w14:paraId="58EEEFE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5000" w:type="pct"/>
                  <w:gridSpan w:val="9"/>
                  <w:vAlign w:val="center"/>
                </w:tcPr>
                <w:p w14:paraId="223ECA3E">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left"/>
                    <w:textAlignment w:val="auto"/>
                    <w:rPr>
                      <w:rFonts w:ascii="宋体" w:hAnsi="宋体" w:eastAsia="宋体" w:cs="宋体"/>
                      <w:color w:val="auto"/>
                      <w:spacing w:val="4"/>
                      <w:sz w:val="21"/>
                      <w:szCs w:val="21"/>
                    </w:rPr>
                  </w:pPr>
                  <w:r>
                    <w:rPr>
                      <w:color w:val="auto"/>
                      <w:sz w:val="21"/>
                      <w:szCs w:val="21"/>
                    </w:rPr>
                    <w:t>注：</w:t>
                  </w:r>
                  <w:r>
                    <w:rPr>
                      <w:rFonts w:hint="eastAsia"/>
                      <w:color w:val="auto"/>
                      <w:sz w:val="21"/>
                      <w:szCs w:val="21"/>
                      <w:lang w:val="en-US" w:eastAsia="zh-CN"/>
                    </w:rPr>
                    <w:t>厂区西南角</w:t>
                  </w:r>
                  <w:r>
                    <w:rPr>
                      <w:color w:val="auto"/>
                      <w:sz w:val="21"/>
                      <w:szCs w:val="21"/>
                    </w:rPr>
                    <w:t>坐标为</w:t>
                  </w:r>
                  <w:r>
                    <w:rPr>
                      <w:rFonts w:hint="eastAsia"/>
                      <w:color w:val="auto"/>
                      <w:sz w:val="21"/>
                      <w:szCs w:val="21"/>
                      <w:lang w:eastAsia="zh-CN"/>
                    </w:rPr>
                    <w:t>（</w:t>
                  </w:r>
                  <w:r>
                    <w:rPr>
                      <w:color w:val="auto"/>
                      <w:sz w:val="21"/>
                      <w:szCs w:val="21"/>
                    </w:rPr>
                    <w:t>0,0,0</w:t>
                  </w:r>
                  <w:r>
                    <w:rPr>
                      <w:rFonts w:hint="eastAsia"/>
                      <w:color w:val="auto"/>
                      <w:sz w:val="21"/>
                      <w:szCs w:val="21"/>
                      <w:lang w:eastAsia="zh-CN"/>
                    </w:rPr>
                    <w:t>）；</w:t>
                  </w:r>
                  <w:r>
                    <w:rPr>
                      <w:rFonts w:ascii="瀹嬩綋" w:hAnsi="瀹嬩綋" w:eastAsia="瀹嬩綋" w:cs="瀹嬩綋"/>
                      <w:color w:val="auto"/>
                      <w:kern w:val="0"/>
                      <w:sz w:val="21"/>
                      <w:szCs w:val="21"/>
                      <w:lang w:val="en-US" w:eastAsia="zh-CN" w:bidi="ar"/>
                    </w:rPr>
                    <w:t>正东向为</w:t>
                  </w:r>
                  <w:r>
                    <w:rPr>
                      <w:rFonts w:hint="default" w:ascii="Times New Roman" w:hAnsi="Times New Roman" w:eastAsia="宋体" w:cs="Times New Roman"/>
                      <w:color w:val="auto"/>
                      <w:kern w:val="0"/>
                      <w:sz w:val="21"/>
                      <w:szCs w:val="21"/>
                      <w:lang w:val="en-US" w:eastAsia="zh-CN" w:bidi="ar"/>
                    </w:rPr>
                    <w:t>X</w:t>
                  </w:r>
                  <w:r>
                    <w:rPr>
                      <w:rFonts w:hint="default" w:ascii="瀹嬩綋" w:hAnsi="瀹嬩綋" w:eastAsia="瀹嬩綋" w:cs="瀹嬩綋"/>
                      <w:color w:val="auto"/>
                      <w:kern w:val="0"/>
                      <w:sz w:val="21"/>
                      <w:szCs w:val="21"/>
                      <w:lang w:val="en-US" w:eastAsia="zh-CN" w:bidi="ar"/>
                    </w:rPr>
                    <w:t>轴正方向，正北向为</w:t>
                  </w:r>
                  <w:r>
                    <w:rPr>
                      <w:rFonts w:hint="default" w:ascii="Times New Roman" w:hAnsi="Times New Roman" w:eastAsia="宋体" w:cs="Times New Roman"/>
                      <w:color w:val="auto"/>
                      <w:kern w:val="0"/>
                      <w:sz w:val="21"/>
                      <w:szCs w:val="21"/>
                      <w:lang w:val="en-US" w:eastAsia="zh-CN" w:bidi="ar"/>
                    </w:rPr>
                    <w:t>Y</w:t>
                  </w:r>
                  <w:r>
                    <w:rPr>
                      <w:rFonts w:hint="default" w:ascii="瀹嬩綋" w:hAnsi="瀹嬩綋" w:eastAsia="瀹嬩綋" w:cs="瀹嬩綋"/>
                      <w:color w:val="auto"/>
                      <w:kern w:val="0"/>
                      <w:sz w:val="21"/>
                      <w:szCs w:val="21"/>
                      <w:lang w:val="en-US" w:eastAsia="zh-CN" w:bidi="ar"/>
                    </w:rPr>
                    <w:t>轴正方向</w:t>
                  </w:r>
                </w:p>
              </w:tc>
            </w:tr>
          </w:tbl>
          <w:p w14:paraId="4BCF12E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FF0000"/>
                <w:sz w:val="24"/>
                <w:lang w:val="en-US" w:eastAsia="zh-CN"/>
              </w:rPr>
            </w:pPr>
          </w:p>
          <w:p w14:paraId="5FCBDF53">
            <w:pPr>
              <w:keepNext w:val="0"/>
              <w:keepLines w:val="0"/>
              <w:pageBreakBefore/>
              <w:widowControl/>
              <w:kinsoku/>
              <w:wordWrap/>
              <w:overflowPunct/>
              <w:topLinePunct w:val="0"/>
              <w:autoSpaceDE/>
              <w:autoSpaceDN/>
              <w:bidi w:val="0"/>
              <w:snapToGrid/>
              <w:spacing w:line="360" w:lineRule="auto"/>
              <w:ind w:firstLine="480" w:firstLineChars="200"/>
              <w:textAlignment w:val="auto"/>
              <w:rPr>
                <w:rFonts w:hint="eastAsia" w:ascii="Times New Roman" w:hAnsi="Times New Roman" w:eastAsia="宋体" w:cs="Times New Roman"/>
                <w:color w:val="FF0000"/>
                <w:kern w:val="2"/>
                <w:sz w:val="24"/>
                <w:szCs w:val="24"/>
                <w:lang w:val="en-US" w:eastAsia="zh-CN" w:bidi="ar-SA"/>
              </w:rPr>
            </w:pPr>
          </w:p>
        </w:tc>
      </w:tr>
    </w:tbl>
    <w:p w14:paraId="0C02B421">
      <w:pPr>
        <w:rPr>
          <w:color w:val="FF0000"/>
        </w:rPr>
        <w:sectPr>
          <w:pgSz w:w="11905" w:h="16838"/>
          <w:pgMar w:top="1417" w:right="1417" w:bottom="1417" w:left="1417" w:header="851" w:footer="850" w:gutter="0"/>
          <w:pgBorders>
            <w:top w:val="none" w:sz="0" w:space="0"/>
            <w:left w:val="none" w:sz="0" w:space="0"/>
            <w:bottom w:val="none" w:sz="0" w:space="0"/>
            <w:right w:val="none" w:sz="0" w:space="0"/>
          </w:pgBorders>
          <w:pgNumType w:fmt="decimal"/>
          <w:cols w:space="0" w:num="1"/>
          <w:rtlGutter w:val="0"/>
          <w:docGrid w:linePitch="312" w:charSpace="0"/>
        </w:sectPr>
      </w:pPr>
    </w:p>
    <w:tbl>
      <w:tblPr>
        <w:tblStyle w:val="27"/>
        <w:tblW w:w="5026"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355"/>
        <w:gridCol w:w="8929"/>
      </w:tblGrid>
      <w:tr w14:paraId="7897AF8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157" w:hRule="atLeast"/>
          <w:jc w:val="center"/>
        </w:trPr>
        <w:tc>
          <w:tcPr>
            <w:tcW w:w="191" w:type="pct"/>
            <w:tcMar>
              <w:left w:w="57" w:type="dxa"/>
              <w:right w:w="57" w:type="dxa"/>
            </w:tcMar>
            <w:vAlign w:val="center"/>
          </w:tcPr>
          <w:p w14:paraId="03DBD1DE">
            <w:pPr>
              <w:adjustRightInd w:val="0"/>
              <w:snapToGrid w:val="0"/>
              <w:jc w:val="center"/>
              <w:rPr>
                <w:bCs/>
                <w:color w:val="FF0000"/>
                <w:sz w:val="24"/>
                <w:szCs w:val="21"/>
              </w:rPr>
            </w:pPr>
          </w:p>
        </w:tc>
        <w:tc>
          <w:tcPr>
            <w:tcW w:w="4808" w:type="pct"/>
            <w:vAlign w:val="center"/>
          </w:tcPr>
          <w:p w14:paraId="348DDC30">
            <w:pPr>
              <w:keepNext w:val="0"/>
              <w:keepLines w:val="0"/>
              <w:pageBreakBefore/>
              <w:widowControl/>
              <w:numPr>
                <w:ilvl w:val="0"/>
                <w:numId w:val="32"/>
              </w:numPr>
              <w:kinsoku/>
              <w:wordWrap/>
              <w:overflowPunct/>
              <w:topLinePunct w:val="0"/>
              <w:autoSpaceDE/>
              <w:autoSpaceDN/>
              <w:bidi w:val="0"/>
              <w:snapToGrid/>
              <w:spacing w:line="360" w:lineRule="auto"/>
              <w:ind w:left="0" w:leftChars="0" w:firstLine="442" w:firstLineChars="200"/>
              <w:textAlignment w:val="auto"/>
              <w:rPr>
                <w:rFonts w:hint="default" w:ascii="Times New Roman" w:hAnsi="Times New Roman" w:eastAsia="宋体" w:cs="Times New Roman"/>
                <w:b/>
                <w:bCs/>
                <w:color w:val="auto"/>
                <w:spacing w:val="-10"/>
                <w:sz w:val="24"/>
                <w:szCs w:val="24"/>
                <w:highlight w:val="none"/>
              </w:rPr>
            </w:pPr>
            <w:r>
              <w:rPr>
                <w:rFonts w:hint="default" w:ascii="Times New Roman" w:hAnsi="Times New Roman" w:eastAsia="宋体" w:cs="Times New Roman"/>
                <w:b/>
                <w:bCs/>
                <w:color w:val="auto"/>
                <w:spacing w:val="-10"/>
                <w:sz w:val="24"/>
                <w:szCs w:val="24"/>
                <w:highlight w:val="none"/>
              </w:rPr>
              <w:t>预测模式及参数选择</w:t>
            </w:r>
          </w:p>
          <w:p w14:paraId="20A986C9">
            <w:pPr>
              <w:pStyle w:val="26"/>
              <w:keepNext w:val="0"/>
              <w:keepLines w:val="0"/>
              <w:kinsoku/>
              <w:wordWrap/>
              <w:overflowPunct/>
              <w:topLinePunct w:val="0"/>
              <w:autoSpaceDE/>
              <w:autoSpaceDN/>
              <w:bidi w:val="0"/>
              <w:adjustRightInd w:val="0"/>
              <w:snapToGrid/>
              <w:spacing w:after="0" w:line="360" w:lineRule="auto"/>
              <w:ind w:left="0" w:leftChars="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按照《环境影响评价技术导则声环境》（HJ2.4-2021）中推荐的模式进行预测，用A声级计算，预测模式如下：</w:t>
            </w:r>
          </w:p>
          <w:p w14:paraId="0D32F130">
            <w:pPr>
              <w:keepNext w:val="0"/>
              <w:keepLines w:val="0"/>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①室外声源在预测点的声压级计算：</w:t>
            </w:r>
          </w:p>
          <w:p w14:paraId="04555BD2">
            <w:pPr>
              <w:keepNext w:val="0"/>
              <w:keepLines w:val="0"/>
              <w:kinsoku/>
              <w:wordWrap/>
              <w:overflowPunct/>
              <w:topLinePunct w:val="0"/>
              <w:autoSpaceDE/>
              <w:autoSpaceDN/>
              <w:bidi w:val="0"/>
              <w:adjustRightInd w:val="0"/>
              <w:snapToGrid/>
              <w:spacing w:line="360" w:lineRule="auto"/>
              <w:ind w:firstLine="480" w:firstLineChars="200"/>
              <w:textAlignment w:val="auto"/>
              <w:rPr>
                <w:rFonts w:hint="eastAsia" w:ascii="Times New Roman" w:hAnsi="Times New Roman" w:eastAsia="宋体" w:cs="Times New Roman"/>
                <w:color w:val="auto"/>
                <w:sz w:val="24"/>
                <w:szCs w:val="24"/>
                <w:highlight w:val="none"/>
                <w:lang w:eastAsia="zh-CN"/>
              </w:rPr>
            </w:pPr>
            <w:r>
              <w:rPr>
                <w:rFonts w:hint="default" w:ascii="Times New Roman" w:hAnsi="Times New Roman" w:cs="Times New Roman"/>
                <w:color w:val="auto"/>
                <w:sz w:val="24"/>
                <w:szCs w:val="24"/>
                <w:highlight w:val="none"/>
              </w:rPr>
              <w:t>L</w:t>
            </w:r>
            <w:r>
              <w:rPr>
                <w:rFonts w:hint="default" w:ascii="Times New Roman" w:hAnsi="Times New Roman" w:cs="Times New Roman"/>
                <w:color w:val="auto"/>
                <w:sz w:val="24"/>
                <w:szCs w:val="24"/>
                <w:highlight w:val="none"/>
                <w:vertAlign w:val="subscript"/>
              </w:rPr>
              <w:t>p</w:t>
            </w:r>
            <w:r>
              <w:rPr>
                <w:rFonts w:hint="eastAsia" w:cs="Times New Roman"/>
                <w:color w:val="auto"/>
                <w:sz w:val="24"/>
                <w:szCs w:val="24"/>
                <w:highlight w:val="none"/>
                <w:lang w:eastAsia="zh-CN"/>
              </w:rPr>
              <w:t>（</w:t>
            </w:r>
            <w:r>
              <w:rPr>
                <w:rFonts w:hint="default" w:ascii="Times New Roman" w:hAnsi="Times New Roman" w:cs="Times New Roman"/>
                <w:color w:val="auto"/>
                <w:sz w:val="24"/>
                <w:szCs w:val="24"/>
                <w:highlight w:val="none"/>
              </w:rPr>
              <w:t>r</w:t>
            </w:r>
            <w:r>
              <w:rPr>
                <w:rFonts w:hint="eastAsia" w:cs="Times New Roman"/>
                <w:color w:val="auto"/>
                <w:sz w:val="24"/>
                <w:szCs w:val="24"/>
                <w:highlight w:val="none"/>
                <w:lang w:eastAsia="zh-CN"/>
              </w:rPr>
              <w:t>）</w:t>
            </w:r>
            <w:r>
              <w:rPr>
                <w:rFonts w:hint="default" w:ascii="Times New Roman" w:hAnsi="Times New Roman" w:cs="Times New Roman"/>
                <w:color w:val="auto"/>
                <w:sz w:val="24"/>
                <w:szCs w:val="24"/>
                <w:highlight w:val="none"/>
              </w:rPr>
              <w:t>=L</w:t>
            </w:r>
            <w:r>
              <w:rPr>
                <w:rFonts w:hint="default" w:ascii="Times New Roman" w:hAnsi="Times New Roman" w:cs="Times New Roman"/>
                <w:color w:val="auto"/>
                <w:sz w:val="24"/>
                <w:szCs w:val="24"/>
                <w:highlight w:val="none"/>
                <w:vertAlign w:val="subscript"/>
              </w:rPr>
              <w:t>p</w:t>
            </w:r>
            <w:r>
              <w:rPr>
                <w:rFonts w:hint="eastAsia" w:cs="Times New Roman"/>
                <w:color w:val="auto"/>
                <w:sz w:val="24"/>
                <w:szCs w:val="24"/>
                <w:highlight w:val="none"/>
                <w:vertAlign w:val="subscript"/>
                <w:lang w:eastAsia="zh-CN"/>
              </w:rPr>
              <w:t>（</w:t>
            </w:r>
            <w:r>
              <w:rPr>
                <w:rFonts w:hint="default" w:ascii="Times New Roman" w:hAnsi="Times New Roman" w:cs="Times New Roman"/>
                <w:color w:val="auto"/>
                <w:sz w:val="24"/>
                <w:szCs w:val="24"/>
                <w:highlight w:val="none"/>
                <w:vertAlign w:val="subscript"/>
              </w:rPr>
              <w:t>ro</w:t>
            </w:r>
            <w:r>
              <w:rPr>
                <w:rFonts w:hint="eastAsia" w:cs="Times New Roman"/>
                <w:color w:val="auto"/>
                <w:sz w:val="24"/>
                <w:szCs w:val="24"/>
                <w:highlight w:val="none"/>
                <w:vertAlign w:val="subscript"/>
                <w:lang w:eastAsia="zh-CN"/>
              </w:rPr>
              <w:t>）</w:t>
            </w:r>
            <w:r>
              <w:rPr>
                <w:rFonts w:hint="default" w:ascii="Times New Roman" w:hAnsi="Times New Roman" w:cs="Times New Roman"/>
                <w:color w:val="auto"/>
                <w:sz w:val="24"/>
                <w:szCs w:val="24"/>
                <w:highlight w:val="none"/>
              </w:rPr>
              <w:t>+D</w:t>
            </w:r>
            <w:r>
              <w:rPr>
                <w:rFonts w:hint="default" w:ascii="Times New Roman" w:hAnsi="Times New Roman" w:cs="Times New Roman"/>
                <w:color w:val="auto"/>
                <w:sz w:val="24"/>
                <w:szCs w:val="24"/>
                <w:highlight w:val="none"/>
                <w:vertAlign w:val="subscript"/>
              </w:rPr>
              <w:t>c</w:t>
            </w:r>
            <w:r>
              <w:rPr>
                <w:rFonts w:hint="default" w:ascii="Times New Roman" w:hAnsi="Times New Roman" w:cs="Times New Roman"/>
                <w:color w:val="auto"/>
                <w:sz w:val="24"/>
                <w:szCs w:val="24"/>
                <w:highlight w:val="none"/>
              </w:rPr>
              <w:t>–</w:t>
            </w:r>
            <w:r>
              <w:rPr>
                <w:rFonts w:hint="eastAsia" w:cs="Times New Roman"/>
                <w:color w:val="auto"/>
                <w:sz w:val="24"/>
                <w:szCs w:val="24"/>
                <w:highlight w:val="none"/>
                <w:lang w:eastAsia="zh-CN"/>
              </w:rPr>
              <w:t>（</w:t>
            </w:r>
            <w:r>
              <w:rPr>
                <w:rFonts w:hint="default" w:ascii="Times New Roman" w:hAnsi="Times New Roman" w:cs="Times New Roman"/>
                <w:color w:val="auto"/>
                <w:sz w:val="24"/>
                <w:szCs w:val="24"/>
                <w:highlight w:val="none"/>
              </w:rPr>
              <w:t>A</w:t>
            </w:r>
            <w:r>
              <w:rPr>
                <w:rFonts w:hint="default" w:ascii="Times New Roman" w:hAnsi="Times New Roman" w:cs="Times New Roman"/>
                <w:color w:val="auto"/>
                <w:sz w:val="24"/>
                <w:szCs w:val="24"/>
                <w:highlight w:val="none"/>
                <w:vertAlign w:val="subscript"/>
              </w:rPr>
              <w:t>div</w:t>
            </w:r>
            <w:r>
              <w:rPr>
                <w:rFonts w:hint="default" w:ascii="Times New Roman" w:hAnsi="Times New Roman" w:cs="Times New Roman"/>
                <w:color w:val="auto"/>
                <w:sz w:val="24"/>
                <w:szCs w:val="24"/>
                <w:highlight w:val="none"/>
              </w:rPr>
              <w:t>+A</w:t>
            </w:r>
            <w:r>
              <w:rPr>
                <w:rFonts w:hint="default" w:ascii="Times New Roman" w:hAnsi="Times New Roman" w:cs="Times New Roman"/>
                <w:color w:val="auto"/>
                <w:sz w:val="24"/>
                <w:szCs w:val="24"/>
                <w:highlight w:val="none"/>
                <w:vertAlign w:val="subscript"/>
              </w:rPr>
              <w:t>bar</w:t>
            </w:r>
            <w:r>
              <w:rPr>
                <w:rFonts w:hint="default" w:ascii="Times New Roman" w:hAnsi="Times New Roman" w:cs="Times New Roman"/>
                <w:color w:val="auto"/>
                <w:sz w:val="24"/>
                <w:szCs w:val="24"/>
                <w:highlight w:val="none"/>
              </w:rPr>
              <w:t>+A</w:t>
            </w:r>
            <w:r>
              <w:rPr>
                <w:rFonts w:hint="default" w:ascii="Times New Roman" w:hAnsi="Times New Roman" w:cs="Times New Roman"/>
                <w:color w:val="auto"/>
                <w:sz w:val="24"/>
                <w:szCs w:val="24"/>
                <w:highlight w:val="none"/>
                <w:vertAlign w:val="subscript"/>
              </w:rPr>
              <w:t>atm</w:t>
            </w:r>
            <w:r>
              <w:rPr>
                <w:rFonts w:hint="default" w:ascii="Times New Roman" w:hAnsi="Times New Roman" w:cs="Times New Roman"/>
                <w:color w:val="auto"/>
                <w:sz w:val="24"/>
                <w:szCs w:val="24"/>
                <w:highlight w:val="none"/>
              </w:rPr>
              <w:t>+A</w:t>
            </w:r>
            <w:r>
              <w:rPr>
                <w:rFonts w:hint="default" w:ascii="Times New Roman" w:hAnsi="Times New Roman" w:cs="Times New Roman"/>
                <w:color w:val="auto"/>
                <w:sz w:val="24"/>
                <w:szCs w:val="24"/>
                <w:highlight w:val="none"/>
                <w:vertAlign w:val="subscript"/>
              </w:rPr>
              <w:t>gr</w:t>
            </w:r>
            <w:r>
              <w:rPr>
                <w:rFonts w:hint="default" w:ascii="Times New Roman" w:hAnsi="Times New Roman" w:cs="Times New Roman"/>
                <w:color w:val="auto"/>
                <w:sz w:val="24"/>
                <w:szCs w:val="24"/>
                <w:highlight w:val="none"/>
              </w:rPr>
              <w:t>+A</w:t>
            </w:r>
            <w:r>
              <w:rPr>
                <w:rFonts w:hint="default" w:ascii="Times New Roman" w:hAnsi="Times New Roman" w:cs="Times New Roman"/>
                <w:color w:val="auto"/>
                <w:sz w:val="24"/>
                <w:szCs w:val="24"/>
                <w:highlight w:val="none"/>
                <w:vertAlign w:val="subscript"/>
              </w:rPr>
              <w:t>misc</w:t>
            </w:r>
            <w:r>
              <w:rPr>
                <w:rFonts w:hint="eastAsia" w:cs="Times New Roman"/>
                <w:color w:val="auto"/>
                <w:sz w:val="24"/>
                <w:szCs w:val="24"/>
                <w:highlight w:val="none"/>
                <w:lang w:eastAsia="zh-CN"/>
              </w:rPr>
              <w:t>）</w:t>
            </w:r>
          </w:p>
          <w:p w14:paraId="61D8656B">
            <w:pPr>
              <w:keepNext w:val="0"/>
              <w:keepLines w:val="0"/>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式中：</w:t>
            </w:r>
            <w:r>
              <w:rPr>
                <w:rFonts w:hint="default" w:ascii="Times New Roman" w:hAnsi="Times New Roman" w:cs="Times New Roman"/>
                <w:i/>
                <w:iCs/>
                <w:color w:val="auto"/>
                <w:sz w:val="24"/>
                <w:szCs w:val="24"/>
                <w:highlight w:val="none"/>
              </w:rPr>
              <w:t>L</w:t>
            </w:r>
            <w:r>
              <w:rPr>
                <w:rFonts w:hint="default" w:ascii="Times New Roman" w:hAnsi="Times New Roman" w:cs="Times New Roman"/>
                <w:color w:val="auto"/>
                <w:sz w:val="24"/>
                <w:szCs w:val="24"/>
                <w:highlight w:val="none"/>
                <w:vertAlign w:val="subscript"/>
              </w:rPr>
              <w:t>p</w:t>
            </w:r>
            <w:r>
              <w:rPr>
                <w:rFonts w:hint="default" w:ascii="Times New Roman" w:hAnsi="Times New Roman" w:cs="Times New Roman"/>
                <w:color w:val="auto"/>
                <w:sz w:val="24"/>
                <w:szCs w:val="24"/>
                <w:highlight w:val="none"/>
              </w:rPr>
              <w:t>（r）—预测点处的声压级，dB；</w:t>
            </w:r>
          </w:p>
          <w:p w14:paraId="06FAA019">
            <w:pPr>
              <w:keepNext w:val="0"/>
              <w:keepLines w:val="0"/>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i/>
                <w:iCs/>
                <w:color w:val="auto"/>
                <w:sz w:val="24"/>
                <w:szCs w:val="24"/>
                <w:highlight w:val="none"/>
              </w:rPr>
              <w:t>L</w:t>
            </w:r>
            <w:r>
              <w:rPr>
                <w:rFonts w:hint="default" w:ascii="Times New Roman" w:hAnsi="Times New Roman" w:cs="Times New Roman"/>
                <w:color w:val="auto"/>
                <w:sz w:val="24"/>
                <w:szCs w:val="24"/>
                <w:highlight w:val="none"/>
                <w:vertAlign w:val="subscript"/>
              </w:rPr>
              <w:t>p（ro）</w:t>
            </w:r>
            <w:r>
              <w:rPr>
                <w:rFonts w:hint="default" w:ascii="Times New Roman" w:hAnsi="Times New Roman" w:cs="Times New Roman"/>
                <w:color w:val="auto"/>
                <w:sz w:val="24"/>
                <w:szCs w:val="24"/>
                <w:highlight w:val="none"/>
              </w:rPr>
              <w:t>—参考位置r</w:t>
            </w:r>
            <w:r>
              <w:rPr>
                <w:rFonts w:hint="default" w:ascii="Times New Roman" w:hAnsi="Times New Roman" w:cs="Times New Roman"/>
                <w:color w:val="auto"/>
                <w:sz w:val="24"/>
                <w:szCs w:val="24"/>
                <w:highlight w:val="none"/>
                <w:vertAlign w:val="subscript"/>
              </w:rPr>
              <w:t>o</w:t>
            </w:r>
            <w:r>
              <w:rPr>
                <w:rFonts w:hint="default" w:ascii="Times New Roman" w:hAnsi="Times New Roman" w:cs="Times New Roman"/>
                <w:color w:val="auto"/>
                <w:sz w:val="24"/>
                <w:szCs w:val="24"/>
                <w:highlight w:val="none"/>
              </w:rPr>
              <w:t>处声压级，dB；</w:t>
            </w:r>
          </w:p>
          <w:p w14:paraId="4EF0E2DA">
            <w:pPr>
              <w:keepNext w:val="0"/>
              <w:keepLines w:val="0"/>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i/>
                <w:iCs/>
                <w:color w:val="auto"/>
                <w:sz w:val="24"/>
                <w:szCs w:val="24"/>
                <w:highlight w:val="none"/>
              </w:rPr>
              <w:t>A</w:t>
            </w:r>
            <w:r>
              <w:rPr>
                <w:rFonts w:hint="default" w:ascii="Times New Roman" w:hAnsi="Times New Roman" w:cs="Times New Roman"/>
                <w:color w:val="auto"/>
                <w:sz w:val="24"/>
                <w:szCs w:val="24"/>
                <w:highlight w:val="none"/>
                <w:vertAlign w:val="subscript"/>
              </w:rPr>
              <w:t>div</w:t>
            </w:r>
            <w:r>
              <w:rPr>
                <w:rFonts w:hint="default" w:ascii="Times New Roman" w:hAnsi="Times New Roman" w:cs="Times New Roman"/>
                <w:color w:val="auto"/>
                <w:sz w:val="24"/>
                <w:szCs w:val="24"/>
                <w:highlight w:val="none"/>
              </w:rPr>
              <w:t>—几何发散引起的衰减，dB；</w:t>
            </w:r>
          </w:p>
          <w:p w14:paraId="7A1529F9">
            <w:pPr>
              <w:keepNext w:val="0"/>
              <w:keepLines w:val="0"/>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i/>
                <w:iCs/>
                <w:color w:val="auto"/>
                <w:sz w:val="24"/>
                <w:szCs w:val="24"/>
                <w:highlight w:val="none"/>
              </w:rPr>
              <w:t>A</w:t>
            </w:r>
            <w:r>
              <w:rPr>
                <w:rFonts w:hint="default" w:ascii="Times New Roman" w:hAnsi="Times New Roman" w:cs="Times New Roman"/>
                <w:color w:val="auto"/>
                <w:sz w:val="24"/>
                <w:szCs w:val="24"/>
                <w:highlight w:val="none"/>
                <w:vertAlign w:val="subscript"/>
              </w:rPr>
              <w:t>bar</w:t>
            </w:r>
            <w:r>
              <w:rPr>
                <w:rFonts w:hint="default" w:ascii="Times New Roman" w:hAnsi="Times New Roman" w:cs="Times New Roman"/>
                <w:color w:val="auto"/>
                <w:sz w:val="24"/>
                <w:szCs w:val="24"/>
                <w:highlight w:val="none"/>
              </w:rPr>
              <w:t>—障碍物屏蔽引起的衰减，dB；</w:t>
            </w:r>
          </w:p>
          <w:p w14:paraId="74F1A6CE">
            <w:pPr>
              <w:keepNext w:val="0"/>
              <w:keepLines w:val="0"/>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i/>
                <w:iCs/>
                <w:color w:val="auto"/>
                <w:sz w:val="24"/>
                <w:szCs w:val="24"/>
                <w:highlight w:val="none"/>
              </w:rPr>
              <w:t>A</w:t>
            </w:r>
            <w:r>
              <w:rPr>
                <w:rFonts w:hint="default" w:ascii="Times New Roman" w:hAnsi="Times New Roman" w:cs="Times New Roman"/>
                <w:color w:val="auto"/>
                <w:sz w:val="24"/>
                <w:szCs w:val="24"/>
                <w:highlight w:val="none"/>
                <w:vertAlign w:val="subscript"/>
              </w:rPr>
              <w:t>atm</w:t>
            </w:r>
            <w:r>
              <w:rPr>
                <w:rFonts w:hint="default" w:ascii="Times New Roman" w:hAnsi="Times New Roman" w:cs="Times New Roman"/>
                <w:color w:val="auto"/>
                <w:sz w:val="24"/>
                <w:szCs w:val="24"/>
                <w:highlight w:val="none"/>
              </w:rPr>
              <w:t>—大气吸收引起的衰减，dB；</w:t>
            </w:r>
          </w:p>
          <w:p w14:paraId="48F8195F">
            <w:pPr>
              <w:keepNext w:val="0"/>
              <w:keepLines w:val="0"/>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i/>
                <w:iCs/>
                <w:color w:val="auto"/>
                <w:sz w:val="24"/>
                <w:szCs w:val="24"/>
                <w:highlight w:val="none"/>
              </w:rPr>
              <w:t>A</w:t>
            </w:r>
            <w:r>
              <w:rPr>
                <w:rFonts w:hint="default" w:ascii="Times New Roman" w:hAnsi="Times New Roman" w:cs="Times New Roman"/>
                <w:color w:val="auto"/>
                <w:sz w:val="24"/>
                <w:szCs w:val="24"/>
                <w:highlight w:val="none"/>
                <w:vertAlign w:val="subscript"/>
              </w:rPr>
              <w:t>gr</w:t>
            </w:r>
            <w:r>
              <w:rPr>
                <w:rFonts w:hint="default" w:ascii="Times New Roman" w:hAnsi="Times New Roman" w:cs="Times New Roman"/>
                <w:color w:val="auto"/>
                <w:sz w:val="24"/>
                <w:szCs w:val="24"/>
                <w:highlight w:val="none"/>
              </w:rPr>
              <w:t>—地面效应引起的衰减，dB；</w:t>
            </w:r>
          </w:p>
          <w:p w14:paraId="1FD0E1C2">
            <w:pPr>
              <w:keepNext w:val="0"/>
              <w:keepLines w:val="0"/>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i/>
                <w:iCs/>
                <w:color w:val="auto"/>
                <w:sz w:val="24"/>
                <w:szCs w:val="24"/>
                <w:highlight w:val="none"/>
              </w:rPr>
              <w:t>A</w:t>
            </w:r>
            <w:r>
              <w:rPr>
                <w:rFonts w:hint="default" w:ascii="Times New Roman" w:hAnsi="Times New Roman" w:cs="Times New Roman"/>
                <w:color w:val="auto"/>
                <w:sz w:val="24"/>
                <w:szCs w:val="24"/>
                <w:highlight w:val="none"/>
                <w:vertAlign w:val="subscript"/>
              </w:rPr>
              <w:t>misc</w:t>
            </w:r>
            <w:r>
              <w:rPr>
                <w:rFonts w:hint="default" w:ascii="Times New Roman" w:hAnsi="Times New Roman" w:cs="Times New Roman"/>
                <w:color w:val="auto"/>
                <w:sz w:val="24"/>
                <w:szCs w:val="24"/>
                <w:highlight w:val="none"/>
              </w:rPr>
              <w:t>—其他多方面效应引起的衰减，dB。</w:t>
            </w:r>
          </w:p>
          <w:p w14:paraId="10363797">
            <w:pPr>
              <w:keepNext w:val="0"/>
              <w:keepLines w:val="0"/>
              <w:pageBreakBefore w:val="0"/>
              <w:widowControl w:val="0"/>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eastAsia" w:cs="Times New Roman"/>
                <w:color w:val="auto"/>
                <w:sz w:val="24"/>
                <w:szCs w:val="24"/>
                <w:highlight w:val="none"/>
                <w:lang w:val="en-US" w:eastAsia="zh-CN"/>
              </w:rPr>
              <w:t>②</w:t>
            </w:r>
            <w:r>
              <w:rPr>
                <w:rFonts w:hint="default" w:ascii="Times New Roman" w:hAnsi="Times New Roman" w:cs="Times New Roman"/>
                <w:color w:val="auto"/>
                <w:sz w:val="24"/>
                <w:szCs w:val="24"/>
                <w:highlight w:val="none"/>
              </w:rPr>
              <w:t>总声级的计算</w:t>
            </w:r>
          </w:p>
          <w:p w14:paraId="14FEF078">
            <w:pPr>
              <w:keepNext w:val="0"/>
              <w:keepLines w:val="0"/>
              <w:pageBreakBefore w:val="0"/>
              <w:widowControl w:val="0"/>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设第i个室外声源在预测点产生的A声级为</w:t>
            </w:r>
            <w:r>
              <w:rPr>
                <w:rFonts w:hint="default" w:ascii="Times New Roman" w:hAnsi="Times New Roman" w:cs="Times New Roman"/>
                <w:i/>
                <w:iCs/>
                <w:color w:val="auto"/>
                <w:sz w:val="24"/>
                <w:szCs w:val="24"/>
                <w:highlight w:val="none"/>
              </w:rPr>
              <w:t>L</w:t>
            </w:r>
            <w:r>
              <w:rPr>
                <w:rFonts w:hint="default" w:ascii="Times New Roman" w:hAnsi="Times New Roman" w:cs="Times New Roman"/>
                <w:color w:val="auto"/>
                <w:sz w:val="24"/>
                <w:szCs w:val="24"/>
                <w:highlight w:val="none"/>
                <w:vertAlign w:val="subscript"/>
              </w:rPr>
              <w:t>Ai</w:t>
            </w:r>
            <w:r>
              <w:rPr>
                <w:rFonts w:hint="default" w:ascii="Times New Roman" w:hAnsi="Times New Roman" w:cs="Times New Roman"/>
                <w:color w:val="auto"/>
                <w:sz w:val="24"/>
                <w:szCs w:val="24"/>
                <w:highlight w:val="none"/>
              </w:rPr>
              <w:t>，在T时间内该声源工作时间为t</w:t>
            </w:r>
            <w:r>
              <w:rPr>
                <w:rFonts w:hint="default" w:ascii="Times New Roman" w:hAnsi="Times New Roman" w:cs="Times New Roman"/>
                <w:color w:val="auto"/>
                <w:sz w:val="24"/>
                <w:szCs w:val="24"/>
                <w:highlight w:val="none"/>
                <w:vertAlign w:val="subscript"/>
              </w:rPr>
              <w:t>i</w:t>
            </w:r>
            <w:r>
              <w:rPr>
                <w:rFonts w:hint="default" w:ascii="Times New Roman" w:hAnsi="Times New Roman" w:cs="Times New Roman"/>
                <w:color w:val="auto"/>
                <w:sz w:val="24"/>
                <w:szCs w:val="24"/>
                <w:highlight w:val="none"/>
              </w:rPr>
              <w:t>；第j个等效室外声源在预测点产生的A声级为L</w:t>
            </w:r>
            <w:r>
              <w:rPr>
                <w:rFonts w:hint="default" w:ascii="Times New Roman" w:hAnsi="Times New Roman" w:cs="Times New Roman"/>
                <w:color w:val="auto"/>
                <w:sz w:val="24"/>
                <w:szCs w:val="24"/>
                <w:highlight w:val="none"/>
                <w:vertAlign w:val="subscript"/>
              </w:rPr>
              <w:t>Aj</w:t>
            </w:r>
            <w:r>
              <w:rPr>
                <w:rFonts w:hint="default" w:ascii="Times New Roman" w:hAnsi="Times New Roman" w:cs="Times New Roman"/>
                <w:color w:val="auto"/>
                <w:sz w:val="24"/>
                <w:szCs w:val="24"/>
                <w:highlight w:val="none"/>
              </w:rPr>
              <w:t>，在T时间内该声源工作时间为t</w:t>
            </w:r>
            <w:r>
              <w:rPr>
                <w:rFonts w:hint="default" w:ascii="Times New Roman" w:hAnsi="Times New Roman" w:cs="Times New Roman"/>
                <w:color w:val="auto"/>
                <w:sz w:val="24"/>
                <w:szCs w:val="24"/>
                <w:highlight w:val="none"/>
                <w:vertAlign w:val="subscript"/>
              </w:rPr>
              <w:t>j</w:t>
            </w:r>
            <w:r>
              <w:rPr>
                <w:rFonts w:hint="default" w:ascii="Times New Roman" w:hAnsi="Times New Roman" w:cs="Times New Roman"/>
                <w:color w:val="auto"/>
                <w:sz w:val="24"/>
                <w:szCs w:val="24"/>
                <w:highlight w:val="none"/>
              </w:rPr>
              <w:t>，则预测点的总有效声级为：</w:t>
            </w:r>
          </w:p>
          <w:p w14:paraId="16A3E69E">
            <w:pPr>
              <w:keepNext w:val="0"/>
              <w:keepLines w:val="0"/>
              <w:pageBreakBefore w:val="0"/>
              <w:widowControl w:val="0"/>
              <w:kinsoku/>
              <w:wordWrap/>
              <w:overflowPunct/>
              <w:topLinePunct w:val="0"/>
              <w:autoSpaceDE/>
              <w:autoSpaceDN/>
              <w:bidi w:val="0"/>
              <w:adjustRightInd w:val="0"/>
              <w:snapToGrid/>
              <w:spacing w:line="360" w:lineRule="auto"/>
              <w:ind w:firstLine="480" w:firstLineChars="200"/>
              <w:jc w:val="center"/>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position w:val="-30"/>
                <w:sz w:val="24"/>
                <w:szCs w:val="24"/>
                <w:highlight w:val="none"/>
              </w:rPr>
              <w:object>
                <v:shape id="_x0000_i1027" o:spt="75" type="#_x0000_t75" style="height:35pt;width:217.1pt;" o:ole="t" filled="f" o:preferrelative="t" stroked="f" coordsize="21600,21600">
                  <v:path/>
                  <v:fill on="f" focussize="0,0"/>
                  <v:stroke on="f"/>
                  <v:imagedata r:id="rId15" o:title=""/>
                  <o:lock v:ext="edit" aspectratio="t"/>
                  <w10:wrap type="none"/>
                  <w10:anchorlock/>
                </v:shape>
                <o:OLEObject Type="Embed" ProgID="Equation.3" ShapeID="_x0000_i1027" DrawAspect="Content" ObjectID="_1468075727" r:id="rId14">
                  <o:LockedField>false</o:LockedField>
                </o:OLEObject>
              </w:object>
            </w:r>
          </w:p>
          <w:p w14:paraId="46F01E20">
            <w:pPr>
              <w:keepNext w:val="0"/>
              <w:keepLines w:val="0"/>
              <w:pageBreakBefore w:val="0"/>
              <w:widowControl w:val="0"/>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式中：T—计算等效声级的时间，s；</w:t>
            </w:r>
          </w:p>
          <w:p w14:paraId="3D73668B">
            <w:pPr>
              <w:keepNext w:val="0"/>
              <w:keepLines w:val="0"/>
              <w:pageBreakBefore w:val="0"/>
              <w:widowControl w:val="0"/>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N—室外声源个数；</w:t>
            </w:r>
          </w:p>
          <w:p w14:paraId="77EAA0D6">
            <w:pPr>
              <w:keepNext w:val="0"/>
              <w:keepLines w:val="0"/>
              <w:pageBreakBefore w:val="0"/>
              <w:widowControl w:val="0"/>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M—等效室外声源个数；</w:t>
            </w:r>
          </w:p>
          <w:p w14:paraId="60800FB5">
            <w:pPr>
              <w:keepNext w:val="0"/>
              <w:keepLines w:val="0"/>
              <w:pageBreakBefore w:val="0"/>
              <w:widowControl w:val="0"/>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Leqg—建设项目声源在预测点产生的噪声贡献值，dB；</w:t>
            </w:r>
          </w:p>
          <w:p w14:paraId="351D1BAB">
            <w:pPr>
              <w:keepNext w:val="0"/>
              <w:keepLines w:val="0"/>
              <w:pageBreakBefore w:val="0"/>
              <w:widowControl w:val="0"/>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（2）参数的确定</w:t>
            </w:r>
          </w:p>
          <w:p w14:paraId="153BC172">
            <w:pPr>
              <w:keepNext w:val="0"/>
              <w:keepLines w:val="0"/>
              <w:pageBreakBefore w:val="0"/>
              <w:widowControl w:val="0"/>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①声波几何发散引起的A声级衰减量（Adiv）</w:t>
            </w:r>
          </w:p>
          <w:p w14:paraId="4A1F8AF7">
            <w:pPr>
              <w:keepNext w:val="0"/>
              <w:keepLines w:val="0"/>
              <w:pageBreakBefore w:val="0"/>
              <w:widowControl w:val="0"/>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点声源：Adiv=20lg（r/r</w:t>
            </w:r>
            <w:r>
              <w:rPr>
                <w:rFonts w:hint="default" w:ascii="Times New Roman" w:hAnsi="Times New Roman" w:cs="Times New Roman"/>
                <w:color w:val="auto"/>
                <w:sz w:val="24"/>
                <w:szCs w:val="24"/>
                <w:highlight w:val="none"/>
                <w:vertAlign w:val="subscript"/>
              </w:rPr>
              <w:t>o</w:t>
            </w:r>
            <w:r>
              <w:rPr>
                <w:rFonts w:hint="default" w:ascii="Times New Roman" w:hAnsi="Times New Roman" w:cs="Times New Roman"/>
                <w:color w:val="auto"/>
                <w:sz w:val="24"/>
                <w:szCs w:val="24"/>
                <w:highlight w:val="none"/>
              </w:rPr>
              <w:t>）</w:t>
            </w:r>
          </w:p>
          <w:p w14:paraId="1D340EB1">
            <w:pPr>
              <w:keepNext w:val="0"/>
              <w:keepLines w:val="0"/>
              <w:pageBreakBefore w:val="0"/>
              <w:widowControl w:val="0"/>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式中：r—预测点到噪声源距离，m；</w:t>
            </w:r>
          </w:p>
          <w:p w14:paraId="09BCB60D">
            <w:pPr>
              <w:keepNext w:val="0"/>
              <w:keepLines w:val="0"/>
              <w:pageBreakBefore w:val="0"/>
              <w:widowControl w:val="0"/>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r</w:t>
            </w:r>
            <w:r>
              <w:rPr>
                <w:rFonts w:hint="default" w:ascii="Times New Roman" w:hAnsi="Times New Roman" w:cs="Times New Roman"/>
                <w:color w:val="auto"/>
                <w:sz w:val="24"/>
                <w:szCs w:val="24"/>
                <w:highlight w:val="none"/>
                <w:vertAlign w:val="subscript"/>
              </w:rPr>
              <w:t>o</w:t>
            </w:r>
            <w:r>
              <w:rPr>
                <w:rFonts w:hint="default" w:ascii="Times New Roman" w:hAnsi="Times New Roman" w:cs="Times New Roman"/>
                <w:color w:val="auto"/>
                <w:sz w:val="24"/>
                <w:szCs w:val="24"/>
                <w:highlight w:val="none"/>
              </w:rPr>
              <w:t>—参考点到噪声源距离，m。</w:t>
            </w:r>
          </w:p>
          <w:p w14:paraId="7C4100D2">
            <w:pPr>
              <w:keepNext w:val="0"/>
              <w:keepLines w:val="0"/>
              <w:pageBreakBefore w:val="0"/>
              <w:widowControl w:val="0"/>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②空气吸收衰减量Aatm</w:t>
            </w:r>
          </w:p>
          <w:p w14:paraId="342D65D7">
            <w:pPr>
              <w:keepNext w:val="0"/>
              <w:keepLines w:val="0"/>
              <w:pageBreakBefore w:val="0"/>
              <w:widowControl w:val="0"/>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空气吸收引起的A声级衰减量按下式计算：</w:t>
            </w:r>
          </w:p>
          <w:p w14:paraId="04D5715F">
            <w:pPr>
              <w:keepNext w:val="0"/>
              <w:keepLines w:val="0"/>
              <w:pageBreakBefore w:val="0"/>
              <w:widowControl w:val="0"/>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A</w:t>
            </w:r>
            <w:r>
              <w:rPr>
                <w:rFonts w:hint="default" w:ascii="Times New Roman" w:hAnsi="Times New Roman" w:cs="Times New Roman"/>
                <w:color w:val="auto"/>
                <w:sz w:val="24"/>
                <w:szCs w:val="24"/>
                <w:highlight w:val="none"/>
                <w:vertAlign w:val="subscript"/>
              </w:rPr>
              <w:t>atm</w:t>
            </w:r>
            <w:r>
              <w:rPr>
                <w:rFonts w:hint="default" w:ascii="Times New Roman" w:hAnsi="Times New Roman" w:cs="Times New Roman"/>
                <w:color w:val="auto"/>
                <w:sz w:val="24"/>
                <w:szCs w:val="24"/>
                <w:highlight w:val="none"/>
              </w:rPr>
              <w:t>＝a（r－r</w:t>
            </w:r>
            <w:r>
              <w:rPr>
                <w:rFonts w:hint="default" w:ascii="Times New Roman" w:hAnsi="Times New Roman" w:cs="Times New Roman"/>
                <w:color w:val="auto"/>
                <w:sz w:val="24"/>
                <w:szCs w:val="24"/>
                <w:highlight w:val="none"/>
                <w:vertAlign w:val="subscript"/>
              </w:rPr>
              <w:t>o</w:t>
            </w:r>
            <w:r>
              <w:rPr>
                <w:rFonts w:hint="default" w:ascii="Times New Roman" w:hAnsi="Times New Roman" w:cs="Times New Roman"/>
                <w:color w:val="auto"/>
                <w:sz w:val="24"/>
                <w:szCs w:val="24"/>
                <w:highlight w:val="none"/>
              </w:rPr>
              <w:t>）/100</w:t>
            </w:r>
          </w:p>
          <w:p w14:paraId="3736377F">
            <w:pPr>
              <w:keepNext w:val="0"/>
              <w:keepLines w:val="0"/>
              <w:pageBreakBefore w:val="0"/>
              <w:widowControl w:val="0"/>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式中：a为每100m空气吸收系数，是温度、湿度和声波频率的函数。</w:t>
            </w:r>
          </w:p>
          <w:p w14:paraId="1A7556C2">
            <w:pPr>
              <w:keepNext w:val="0"/>
              <w:keepLines w:val="0"/>
              <w:pageBreakBefore w:val="0"/>
              <w:widowControl w:val="0"/>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本评价由于计算距离较近，Aatm计算值较小，故在计算时忽略此项。</w:t>
            </w:r>
          </w:p>
          <w:p w14:paraId="1C75127F">
            <w:pPr>
              <w:keepNext w:val="0"/>
              <w:keepLines w:val="0"/>
              <w:pageBreakBefore w:val="0"/>
              <w:widowControl w:val="0"/>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③遮挡物引起的衰减量Abar</w:t>
            </w:r>
          </w:p>
          <w:p w14:paraId="75FB12E4">
            <w:pPr>
              <w:keepNext w:val="0"/>
              <w:keepLines w:val="0"/>
              <w:pageBreakBefore w:val="0"/>
              <w:widowControl w:val="0"/>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位于声源和预测点之间的实体障碍物，如围墙、建筑物、土坡、地堑或绿化林带都能起声屏障作用，从而引起声能量的衰减，具体衰减根据不同声级的传播途径而定，一般取20～25dB（A）。本环评忽略不计。</w:t>
            </w:r>
          </w:p>
          <w:p w14:paraId="75F7F006">
            <w:pPr>
              <w:keepNext w:val="0"/>
              <w:keepLines w:val="0"/>
              <w:pageBreakBefore w:val="0"/>
              <w:widowControl w:val="0"/>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④附加衰减量Aexc</w:t>
            </w:r>
          </w:p>
          <w:p w14:paraId="3866FDA7">
            <w:pPr>
              <w:keepNext w:val="0"/>
              <w:keepLines w:val="0"/>
              <w:pageBreakBefore w:val="0"/>
              <w:widowControl w:val="0"/>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根据导则规定，满足下列条件需考虑地面效应引起的附加衰减：①预测点距声源50m以上；②声源距地面高度和预测点距地面高度的平均值小于3m；③声源与预测点之间的地面被草地、灌木等覆盖（软地面）。此时，地面效应引起附加衰减量按下式计算：</w:t>
            </w:r>
          </w:p>
          <w:p w14:paraId="284495F7">
            <w:pPr>
              <w:keepNext w:val="0"/>
              <w:keepLines w:val="0"/>
              <w:pageBreakBefore w:val="0"/>
              <w:widowControl w:val="0"/>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A</w:t>
            </w:r>
            <w:r>
              <w:rPr>
                <w:rFonts w:hint="default" w:ascii="Times New Roman" w:hAnsi="Times New Roman" w:cs="Times New Roman"/>
                <w:color w:val="auto"/>
                <w:sz w:val="24"/>
                <w:szCs w:val="24"/>
                <w:highlight w:val="none"/>
                <w:vertAlign w:val="subscript"/>
              </w:rPr>
              <w:t>exc</w:t>
            </w:r>
            <w:r>
              <w:rPr>
                <w:rFonts w:hint="default" w:ascii="Times New Roman" w:hAnsi="Times New Roman" w:cs="Times New Roman"/>
                <w:color w:val="auto"/>
                <w:sz w:val="24"/>
                <w:szCs w:val="24"/>
                <w:highlight w:val="none"/>
              </w:rPr>
              <w:t>=5lg（r/r</w:t>
            </w:r>
            <w:r>
              <w:rPr>
                <w:rFonts w:hint="default" w:ascii="Times New Roman" w:hAnsi="Times New Roman" w:cs="Times New Roman"/>
                <w:color w:val="auto"/>
                <w:sz w:val="24"/>
                <w:szCs w:val="24"/>
                <w:highlight w:val="none"/>
                <w:vertAlign w:val="subscript"/>
              </w:rPr>
              <w:t>o</w:t>
            </w:r>
            <w:r>
              <w:rPr>
                <w:rFonts w:hint="default" w:ascii="Times New Roman" w:hAnsi="Times New Roman" w:cs="Times New Roman"/>
                <w:color w:val="auto"/>
                <w:sz w:val="24"/>
                <w:szCs w:val="24"/>
                <w:highlight w:val="none"/>
              </w:rPr>
              <w:t>）</w:t>
            </w:r>
          </w:p>
          <w:p w14:paraId="0648EBDE">
            <w:pPr>
              <w:keepNext w:val="0"/>
              <w:keepLines w:val="0"/>
              <w:pageBreakBefore w:val="0"/>
              <w:widowControl w:val="0"/>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不管传播距离多远，地面效应引起附加衰减量的上限为10dB（A）。根据厂区布置和噪声源强及外环境状况，本环评忽略不计。</w:t>
            </w:r>
          </w:p>
          <w:p w14:paraId="3CD07955">
            <w:pPr>
              <w:keepNext w:val="0"/>
              <w:keepLines w:val="0"/>
              <w:pageBreakBefore/>
              <w:widowControl/>
              <w:numPr>
                <w:ilvl w:val="0"/>
                <w:numId w:val="32"/>
              </w:numPr>
              <w:kinsoku/>
              <w:wordWrap/>
              <w:overflowPunct/>
              <w:topLinePunct w:val="0"/>
              <w:autoSpaceDE/>
              <w:autoSpaceDN/>
              <w:bidi w:val="0"/>
              <w:snapToGrid/>
              <w:spacing w:line="360" w:lineRule="auto"/>
              <w:ind w:left="0" w:leftChars="0" w:firstLine="442" w:firstLineChars="200"/>
              <w:textAlignment w:val="auto"/>
              <w:rPr>
                <w:rFonts w:hint="default" w:ascii="Times New Roman" w:hAnsi="Times New Roman" w:eastAsia="宋体" w:cs="Times New Roman"/>
                <w:b/>
                <w:bCs/>
                <w:color w:val="auto"/>
                <w:spacing w:val="-10"/>
                <w:sz w:val="24"/>
                <w:szCs w:val="24"/>
                <w:highlight w:val="none"/>
              </w:rPr>
            </w:pPr>
            <w:r>
              <w:rPr>
                <w:rFonts w:hint="default" w:ascii="Times New Roman" w:hAnsi="Times New Roman" w:eastAsia="宋体" w:cs="Times New Roman"/>
                <w:b/>
                <w:bCs/>
                <w:color w:val="auto"/>
                <w:spacing w:val="-10"/>
                <w:sz w:val="24"/>
                <w:szCs w:val="24"/>
                <w:highlight w:val="none"/>
              </w:rPr>
              <w:t>预测结果及评价</w:t>
            </w:r>
          </w:p>
          <w:p w14:paraId="77FC535B">
            <w:pPr>
              <w:snapToGrid w:val="0"/>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eastAsia="zh-CN"/>
              </w:rPr>
              <w:t>本次采用石家庄环安科技有限公司开发的NoiseSystem</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eastAsia="zh-CN"/>
              </w:rPr>
              <w:t>噪声环境影响评价系统</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eastAsia="zh-CN"/>
              </w:rPr>
              <w:t>对厂界噪声进行了预测</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eastAsia="zh-CN"/>
              </w:rPr>
              <w:t>项目厂界噪声预测结果与达标分析见</w:t>
            </w:r>
            <w:r>
              <w:rPr>
                <w:rFonts w:hint="default" w:ascii="Times New Roman" w:hAnsi="Times New Roman" w:eastAsia="宋体" w:cs="Times New Roman"/>
                <w:color w:val="auto"/>
                <w:sz w:val="24"/>
                <w:szCs w:val="24"/>
                <w:highlight w:val="none"/>
                <w:lang w:val="en-US" w:eastAsia="zh-CN"/>
              </w:rPr>
              <w:t>下表。</w:t>
            </w:r>
          </w:p>
          <w:p w14:paraId="66DFBD0F">
            <w:pPr>
              <w:keepNext w:val="0"/>
              <w:keepLines w:val="0"/>
              <w:pageBreakBefore w:val="0"/>
              <w:widowControl w:val="0"/>
              <w:numPr>
                <w:ilvl w:val="0"/>
                <w:numId w:val="31"/>
              </w:numPr>
              <w:kinsoku/>
              <w:wordWrap/>
              <w:overflowPunct/>
              <w:topLinePunct w:val="0"/>
              <w:autoSpaceDE w:val="0"/>
              <w:autoSpaceDN w:val="0"/>
              <w:bidi w:val="0"/>
              <w:adjustRightInd w:val="0"/>
              <w:snapToGrid/>
              <w:spacing w:line="360" w:lineRule="auto"/>
              <w:ind w:left="3150" w:leftChars="0" w:hanging="3110" w:firstLineChars="0"/>
              <w:jc w:val="center"/>
              <w:textAlignment w:val="auto"/>
              <w:rPr>
                <w:rFonts w:hint="default" w:ascii="宋体" w:hAnsi="宋体" w:eastAsia="宋体" w:cs="宋体"/>
                <w:b/>
                <w:bCs/>
                <w:color w:val="auto"/>
                <w:kern w:val="0"/>
                <w:sz w:val="24"/>
                <w:szCs w:val="24"/>
                <w:lang w:val="en-US" w:eastAsia="zh-CN" w:bidi="ar"/>
              </w:rPr>
            </w:pPr>
            <w:r>
              <w:rPr>
                <w:rFonts w:hint="default" w:ascii="宋体" w:hAnsi="宋体" w:eastAsia="宋体" w:cs="宋体"/>
                <w:b/>
                <w:bCs/>
                <w:color w:val="auto"/>
                <w:kern w:val="0"/>
                <w:sz w:val="24"/>
                <w:szCs w:val="24"/>
                <w:lang w:val="en-US" w:eastAsia="zh-CN" w:bidi="ar"/>
              </w:rPr>
              <w:t>厂界噪声预测结果与达标分析表</w:t>
            </w:r>
            <w:bookmarkStart w:id="2" w:name="PT_7"/>
          </w:p>
          <w:bookmarkEnd w:id="2"/>
          <w:tbl>
            <w:tblPr>
              <w:tblStyle w:val="27"/>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59"/>
              <w:gridCol w:w="1121"/>
              <w:gridCol w:w="1121"/>
              <w:gridCol w:w="823"/>
              <w:gridCol w:w="762"/>
              <w:gridCol w:w="1420"/>
              <w:gridCol w:w="1420"/>
              <w:gridCol w:w="1272"/>
            </w:tblGrid>
            <w:tr w14:paraId="56D6A6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36" w:type="pct"/>
                  <w:vMerge w:val="restart"/>
                  <w:vAlign w:val="center"/>
                </w:tcPr>
                <w:p w14:paraId="039FC3B2">
                  <w:pPr>
                    <w:jc w:val="center"/>
                    <w:rPr>
                      <w:rFonts w:ascii="Times New Roman" w:hAnsi="Times New Roman" w:cs="Times New Roman" w:eastAsiaTheme="minorEastAsia"/>
                      <w:b/>
                      <w:color w:val="auto"/>
                      <w:sz w:val="21"/>
                      <w:szCs w:val="21"/>
                    </w:rPr>
                  </w:pPr>
                  <w:r>
                    <w:rPr>
                      <w:rFonts w:ascii="Times New Roman" w:hAnsi="Times New Roman" w:cs="Times New Roman" w:eastAsiaTheme="minorEastAsia"/>
                      <w:b/>
                      <w:color w:val="auto"/>
                      <w:sz w:val="21"/>
                      <w:szCs w:val="21"/>
                    </w:rPr>
                    <w:t>预测</w:t>
                  </w:r>
                </w:p>
                <w:p w14:paraId="4C634BB9">
                  <w:pPr>
                    <w:jc w:val="center"/>
                    <w:rPr>
                      <w:rFonts w:ascii="Times New Roman" w:hAnsi="Times New Roman" w:cs="Times New Roman" w:eastAsiaTheme="minorEastAsia"/>
                      <w:color w:val="auto"/>
                      <w:sz w:val="21"/>
                      <w:szCs w:val="21"/>
                    </w:rPr>
                  </w:pPr>
                  <w:r>
                    <w:rPr>
                      <w:rFonts w:ascii="Times New Roman" w:hAnsi="Times New Roman" w:cs="Times New Roman" w:eastAsiaTheme="minorEastAsia"/>
                      <w:b/>
                      <w:color w:val="auto"/>
                      <w:sz w:val="21"/>
                      <w:szCs w:val="21"/>
                    </w:rPr>
                    <w:t>方位</w:t>
                  </w:r>
                </w:p>
              </w:tc>
              <w:tc>
                <w:tcPr>
                  <w:tcW w:w="1761" w:type="pct"/>
                  <w:gridSpan w:val="3"/>
                  <w:vAlign w:val="center"/>
                </w:tcPr>
                <w:p w14:paraId="6B3041BF">
                  <w:pPr>
                    <w:jc w:val="center"/>
                    <w:rPr>
                      <w:rFonts w:ascii="Times New Roman" w:hAnsi="Times New Roman" w:cs="Times New Roman" w:eastAsiaTheme="minorEastAsia"/>
                      <w:color w:val="auto"/>
                      <w:sz w:val="21"/>
                      <w:szCs w:val="21"/>
                    </w:rPr>
                  </w:pPr>
                  <w:r>
                    <w:rPr>
                      <w:rFonts w:hint="eastAsia" w:ascii="Times New Roman" w:hAnsi="Times New Roman" w:cs="Times New Roman" w:eastAsiaTheme="minorEastAsia"/>
                      <w:b/>
                      <w:color w:val="auto"/>
                      <w:sz w:val="21"/>
                      <w:szCs w:val="21"/>
                      <w:lang w:val="en-US" w:eastAsia="zh-CN"/>
                    </w:rPr>
                    <w:t>最大值点</w:t>
                  </w:r>
                  <w:r>
                    <w:rPr>
                      <w:rFonts w:ascii="Times New Roman" w:hAnsi="Times New Roman" w:cs="Times New Roman" w:eastAsiaTheme="minorEastAsia"/>
                      <w:b/>
                      <w:color w:val="auto"/>
                      <w:sz w:val="21"/>
                      <w:szCs w:val="21"/>
                    </w:rPr>
                    <w:t>空间相对位置/m</w:t>
                  </w:r>
                </w:p>
              </w:tc>
              <w:tc>
                <w:tcPr>
                  <w:tcW w:w="438" w:type="pct"/>
                  <w:vMerge w:val="restart"/>
                  <w:vAlign w:val="center"/>
                </w:tcPr>
                <w:p w14:paraId="6AE1EB5F">
                  <w:pPr>
                    <w:jc w:val="center"/>
                    <w:rPr>
                      <w:rFonts w:ascii="Times New Roman" w:hAnsi="Times New Roman" w:cs="Times New Roman" w:eastAsiaTheme="minorEastAsia"/>
                      <w:color w:val="auto"/>
                      <w:sz w:val="21"/>
                      <w:szCs w:val="21"/>
                    </w:rPr>
                  </w:pPr>
                  <w:r>
                    <w:rPr>
                      <w:rFonts w:ascii="Times New Roman" w:hAnsi="Times New Roman" w:cs="Times New Roman" w:eastAsiaTheme="minorEastAsia"/>
                      <w:b/>
                      <w:color w:val="auto"/>
                      <w:sz w:val="21"/>
                      <w:szCs w:val="21"/>
                    </w:rPr>
                    <w:t>时段</w:t>
                  </w:r>
                </w:p>
              </w:tc>
              <w:tc>
                <w:tcPr>
                  <w:tcW w:w="816" w:type="pct"/>
                  <w:vMerge w:val="restart"/>
                  <w:vAlign w:val="center"/>
                </w:tcPr>
                <w:p w14:paraId="3B605265">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cs="Times New Roman" w:eastAsiaTheme="minorEastAsia"/>
                      <w:b/>
                      <w:color w:val="auto"/>
                      <w:sz w:val="21"/>
                      <w:szCs w:val="21"/>
                    </w:rPr>
                  </w:pPr>
                  <w:r>
                    <w:rPr>
                      <w:rFonts w:hint="eastAsia" w:ascii="Times New Roman" w:hAnsi="Times New Roman" w:cs="Times New Roman" w:eastAsiaTheme="minorEastAsia"/>
                      <w:b/>
                      <w:color w:val="auto"/>
                      <w:sz w:val="21"/>
                      <w:szCs w:val="21"/>
                    </w:rPr>
                    <w:t>贡献值</w:t>
                  </w:r>
                </w:p>
                <w:p w14:paraId="57528600">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cs="Times New Roman" w:eastAsiaTheme="minorEastAsia"/>
                      <w:color w:val="auto"/>
                      <w:sz w:val="21"/>
                      <w:szCs w:val="21"/>
                    </w:rPr>
                  </w:pPr>
                  <w:r>
                    <w:rPr>
                      <w:rFonts w:ascii="Times New Roman" w:hAnsi="Times New Roman" w:cs="Times New Roman" w:eastAsiaTheme="minorEastAsia"/>
                      <w:b/>
                      <w:color w:val="auto"/>
                      <w:sz w:val="21"/>
                      <w:szCs w:val="21"/>
                    </w:rPr>
                    <w:t>（dB</w:t>
                  </w:r>
                  <w:r>
                    <w:rPr>
                      <w:rFonts w:hint="eastAsia" w:cs="Times New Roman" w:eastAsiaTheme="minorEastAsia"/>
                      <w:b/>
                      <w:color w:val="auto"/>
                      <w:sz w:val="21"/>
                      <w:szCs w:val="21"/>
                      <w:lang w:eastAsia="zh-CN"/>
                    </w:rPr>
                    <w:t>（</w:t>
                  </w:r>
                  <w:r>
                    <w:rPr>
                      <w:rFonts w:ascii="Times New Roman" w:hAnsi="Times New Roman" w:cs="Times New Roman" w:eastAsiaTheme="minorEastAsia"/>
                      <w:b/>
                      <w:color w:val="auto"/>
                      <w:sz w:val="21"/>
                      <w:szCs w:val="21"/>
                    </w:rPr>
                    <w:t>A</w:t>
                  </w:r>
                  <w:r>
                    <w:rPr>
                      <w:rFonts w:hint="eastAsia" w:cs="Times New Roman" w:eastAsiaTheme="minorEastAsia"/>
                      <w:b/>
                      <w:color w:val="auto"/>
                      <w:sz w:val="21"/>
                      <w:szCs w:val="21"/>
                      <w:lang w:eastAsia="zh-CN"/>
                    </w:rPr>
                    <w:t>）</w:t>
                  </w:r>
                  <w:r>
                    <w:rPr>
                      <w:rFonts w:ascii="Times New Roman" w:hAnsi="Times New Roman" w:cs="Times New Roman" w:eastAsiaTheme="minorEastAsia"/>
                      <w:b/>
                      <w:color w:val="auto"/>
                      <w:sz w:val="21"/>
                      <w:szCs w:val="21"/>
                    </w:rPr>
                    <w:t>）</w:t>
                  </w:r>
                </w:p>
              </w:tc>
              <w:tc>
                <w:tcPr>
                  <w:tcW w:w="816" w:type="pct"/>
                  <w:vMerge w:val="restart"/>
                  <w:vAlign w:val="center"/>
                </w:tcPr>
                <w:p w14:paraId="7E2D38A2">
                  <w:pPr>
                    <w:jc w:val="center"/>
                    <w:rPr>
                      <w:rFonts w:ascii="Times New Roman" w:hAnsi="Times New Roman" w:cs="Times New Roman" w:eastAsiaTheme="minorEastAsia"/>
                      <w:b/>
                      <w:color w:val="auto"/>
                      <w:sz w:val="21"/>
                      <w:szCs w:val="21"/>
                    </w:rPr>
                  </w:pPr>
                  <w:r>
                    <w:rPr>
                      <w:rFonts w:ascii="Times New Roman" w:hAnsi="Times New Roman" w:cs="Times New Roman" w:eastAsiaTheme="minorEastAsia"/>
                      <w:b/>
                      <w:color w:val="auto"/>
                      <w:sz w:val="21"/>
                      <w:szCs w:val="21"/>
                    </w:rPr>
                    <w:t>标准限值</w:t>
                  </w:r>
                </w:p>
                <w:p w14:paraId="489A35AB">
                  <w:pPr>
                    <w:jc w:val="center"/>
                    <w:rPr>
                      <w:rFonts w:ascii="Times New Roman" w:hAnsi="Times New Roman" w:cs="Times New Roman" w:eastAsiaTheme="minorEastAsia"/>
                      <w:color w:val="auto"/>
                      <w:sz w:val="21"/>
                      <w:szCs w:val="21"/>
                    </w:rPr>
                  </w:pPr>
                  <w:r>
                    <w:rPr>
                      <w:rFonts w:ascii="Times New Roman" w:hAnsi="Times New Roman" w:cs="Times New Roman" w:eastAsiaTheme="minorEastAsia"/>
                      <w:b/>
                      <w:color w:val="auto"/>
                      <w:sz w:val="21"/>
                      <w:szCs w:val="21"/>
                    </w:rPr>
                    <w:t>（dB</w:t>
                  </w:r>
                  <w:r>
                    <w:rPr>
                      <w:rFonts w:hint="eastAsia" w:cs="Times New Roman" w:eastAsiaTheme="minorEastAsia"/>
                      <w:b/>
                      <w:color w:val="auto"/>
                      <w:sz w:val="21"/>
                      <w:szCs w:val="21"/>
                      <w:lang w:eastAsia="zh-CN"/>
                    </w:rPr>
                    <w:t>（</w:t>
                  </w:r>
                  <w:r>
                    <w:rPr>
                      <w:rFonts w:ascii="Times New Roman" w:hAnsi="Times New Roman" w:cs="Times New Roman" w:eastAsiaTheme="minorEastAsia"/>
                      <w:b/>
                      <w:color w:val="auto"/>
                      <w:sz w:val="21"/>
                      <w:szCs w:val="21"/>
                    </w:rPr>
                    <w:t>A</w:t>
                  </w:r>
                  <w:r>
                    <w:rPr>
                      <w:rFonts w:hint="eastAsia" w:cs="Times New Roman" w:eastAsiaTheme="minorEastAsia"/>
                      <w:b/>
                      <w:color w:val="auto"/>
                      <w:sz w:val="21"/>
                      <w:szCs w:val="21"/>
                      <w:lang w:eastAsia="zh-CN"/>
                    </w:rPr>
                    <w:t>）</w:t>
                  </w:r>
                  <w:r>
                    <w:rPr>
                      <w:rFonts w:ascii="Times New Roman" w:hAnsi="Times New Roman" w:cs="Times New Roman" w:eastAsiaTheme="minorEastAsia"/>
                      <w:b/>
                      <w:color w:val="auto"/>
                      <w:sz w:val="21"/>
                      <w:szCs w:val="21"/>
                    </w:rPr>
                    <w:t>）</w:t>
                  </w:r>
                </w:p>
              </w:tc>
              <w:tc>
                <w:tcPr>
                  <w:tcW w:w="731" w:type="pct"/>
                  <w:vMerge w:val="restart"/>
                  <w:vAlign w:val="center"/>
                </w:tcPr>
                <w:p w14:paraId="7074D22C">
                  <w:pPr>
                    <w:jc w:val="center"/>
                    <w:rPr>
                      <w:rFonts w:ascii="Times New Roman" w:hAnsi="Times New Roman" w:cs="Times New Roman" w:eastAsiaTheme="minorEastAsia"/>
                      <w:color w:val="auto"/>
                      <w:sz w:val="21"/>
                      <w:szCs w:val="21"/>
                    </w:rPr>
                  </w:pPr>
                  <w:r>
                    <w:rPr>
                      <w:rFonts w:ascii="Times New Roman" w:hAnsi="Times New Roman" w:cs="Times New Roman" w:eastAsiaTheme="minorEastAsia"/>
                      <w:b/>
                      <w:color w:val="auto"/>
                      <w:sz w:val="21"/>
                      <w:szCs w:val="21"/>
                    </w:rPr>
                    <w:t>达标情况</w:t>
                  </w:r>
                </w:p>
              </w:tc>
            </w:tr>
            <w:tr w14:paraId="5EFED7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36" w:type="pct"/>
                  <w:vMerge w:val="continue"/>
                  <w:shd w:val="clear" w:color="auto" w:fill="FFFFFF"/>
                  <w:vAlign w:val="center"/>
                </w:tcPr>
                <w:p w14:paraId="246A6AC4">
                  <w:pPr>
                    <w:jc w:val="center"/>
                    <w:rPr>
                      <w:rFonts w:ascii="Times New Roman" w:hAnsi="Times New Roman" w:cs="Times New Roman" w:eastAsiaTheme="minorEastAsia"/>
                      <w:color w:val="auto"/>
                      <w:sz w:val="21"/>
                      <w:szCs w:val="21"/>
                    </w:rPr>
                  </w:pPr>
                </w:p>
              </w:tc>
              <w:tc>
                <w:tcPr>
                  <w:tcW w:w="644" w:type="pct"/>
                  <w:shd w:val="clear" w:color="auto" w:fill="FFFFFF"/>
                  <w:vAlign w:val="center"/>
                </w:tcPr>
                <w:p w14:paraId="6006F9A8">
                  <w:pPr>
                    <w:jc w:val="center"/>
                    <w:rPr>
                      <w:rFonts w:ascii="Times New Roman" w:hAnsi="Times New Roman" w:cs="Times New Roman" w:eastAsiaTheme="minorEastAsia"/>
                      <w:color w:val="auto"/>
                      <w:sz w:val="21"/>
                      <w:szCs w:val="21"/>
                    </w:rPr>
                  </w:pPr>
                  <w:r>
                    <w:rPr>
                      <w:rFonts w:ascii="Times New Roman" w:hAnsi="Times New Roman" w:cs="Times New Roman" w:eastAsiaTheme="minorEastAsia"/>
                      <w:color w:val="auto"/>
                      <w:sz w:val="21"/>
                      <w:szCs w:val="21"/>
                    </w:rPr>
                    <w:t>X</w:t>
                  </w:r>
                </w:p>
              </w:tc>
              <w:tc>
                <w:tcPr>
                  <w:tcW w:w="644" w:type="pct"/>
                  <w:shd w:val="clear" w:color="auto" w:fill="FFFFFF"/>
                  <w:vAlign w:val="center"/>
                </w:tcPr>
                <w:p w14:paraId="47D40A06">
                  <w:pPr>
                    <w:jc w:val="center"/>
                    <w:rPr>
                      <w:rFonts w:ascii="Times New Roman" w:hAnsi="Times New Roman" w:cs="Times New Roman" w:eastAsiaTheme="minorEastAsia"/>
                      <w:color w:val="auto"/>
                      <w:sz w:val="21"/>
                      <w:szCs w:val="21"/>
                    </w:rPr>
                  </w:pPr>
                  <w:r>
                    <w:rPr>
                      <w:rFonts w:ascii="Times New Roman" w:hAnsi="Times New Roman" w:cs="Times New Roman" w:eastAsiaTheme="minorEastAsia"/>
                      <w:color w:val="auto"/>
                      <w:sz w:val="21"/>
                      <w:szCs w:val="21"/>
                    </w:rPr>
                    <w:t>Y</w:t>
                  </w:r>
                </w:p>
              </w:tc>
              <w:tc>
                <w:tcPr>
                  <w:tcW w:w="473" w:type="pct"/>
                  <w:shd w:val="clear" w:color="auto" w:fill="FFFFFF"/>
                  <w:vAlign w:val="center"/>
                </w:tcPr>
                <w:p w14:paraId="3CE39005">
                  <w:pPr>
                    <w:jc w:val="center"/>
                    <w:rPr>
                      <w:rFonts w:ascii="Times New Roman" w:hAnsi="Times New Roman" w:cs="Times New Roman" w:eastAsiaTheme="minorEastAsia"/>
                      <w:color w:val="auto"/>
                      <w:sz w:val="21"/>
                      <w:szCs w:val="21"/>
                    </w:rPr>
                  </w:pPr>
                  <w:r>
                    <w:rPr>
                      <w:rFonts w:ascii="Times New Roman" w:hAnsi="Times New Roman" w:cs="Times New Roman" w:eastAsiaTheme="minorEastAsia"/>
                      <w:color w:val="auto"/>
                      <w:sz w:val="21"/>
                      <w:szCs w:val="21"/>
                    </w:rPr>
                    <w:t>Z</w:t>
                  </w:r>
                </w:p>
              </w:tc>
              <w:tc>
                <w:tcPr>
                  <w:tcW w:w="438" w:type="pct"/>
                  <w:vMerge w:val="continue"/>
                  <w:shd w:val="clear" w:color="auto" w:fill="FFFFFF"/>
                  <w:vAlign w:val="center"/>
                </w:tcPr>
                <w:p w14:paraId="3F5881A7">
                  <w:pPr>
                    <w:jc w:val="center"/>
                    <w:rPr>
                      <w:rFonts w:ascii="Times New Roman" w:hAnsi="Times New Roman" w:cs="Times New Roman" w:eastAsiaTheme="minorEastAsia"/>
                      <w:color w:val="auto"/>
                      <w:sz w:val="21"/>
                      <w:szCs w:val="21"/>
                    </w:rPr>
                  </w:pPr>
                </w:p>
              </w:tc>
              <w:tc>
                <w:tcPr>
                  <w:tcW w:w="816" w:type="pct"/>
                  <w:vMerge w:val="continue"/>
                  <w:shd w:val="clear" w:color="auto" w:fill="FFFFFF"/>
                  <w:vAlign w:val="center"/>
                </w:tcPr>
                <w:p w14:paraId="22923A03">
                  <w:pPr>
                    <w:jc w:val="center"/>
                    <w:rPr>
                      <w:rFonts w:ascii="Times New Roman" w:hAnsi="Times New Roman" w:cs="Times New Roman" w:eastAsiaTheme="minorEastAsia"/>
                      <w:color w:val="auto"/>
                      <w:sz w:val="21"/>
                      <w:szCs w:val="21"/>
                    </w:rPr>
                  </w:pPr>
                </w:p>
              </w:tc>
              <w:tc>
                <w:tcPr>
                  <w:tcW w:w="816" w:type="pct"/>
                  <w:vMerge w:val="continue"/>
                  <w:shd w:val="clear" w:color="auto" w:fill="FFFFFF"/>
                  <w:vAlign w:val="center"/>
                </w:tcPr>
                <w:p w14:paraId="2B01256B">
                  <w:pPr>
                    <w:jc w:val="center"/>
                    <w:rPr>
                      <w:rFonts w:ascii="Times New Roman" w:hAnsi="Times New Roman" w:cs="Times New Roman" w:eastAsiaTheme="minorEastAsia"/>
                      <w:color w:val="auto"/>
                      <w:sz w:val="21"/>
                      <w:szCs w:val="21"/>
                    </w:rPr>
                  </w:pPr>
                </w:p>
              </w:tc>
              <w:tc>
                <w:tcPr>
                  <w:tcW w:w="731" w:type="pct"/>
                  <w:vMerge w:val="continue"/>
                  <w:shd w:val="clear" w:color="auto" w:fill="FFFFFF"/>
                  <w:vAlign w:val="center"/>
                </w:tcPr>
                <w:p w14:paraId="63954C3C">
                  <w:pPr>
                    <w:jc w:val="center"/>
                    <w:rPr>
                      <w:rFonts w:ascii="Times New Roman" w:hAnsi="Times New Roman" w:cs="Times New Roman" w:eastAsiaTheme="minorEastAsia"/>
                      <w:color w:val="auto"/>
                      <w:sz w:val="21"/>
                      <w:szCs w:val="21"/>
                    </w:rPr>
                  </w:pPr>
                </w:p>
              </w:tc>
            </w:tr>
            <w:tr w14:paraId="353A7D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90" w:hRule="atLeast"/>
                <w:jc w:val="center"/>
              </w:trPr>
              <w:tc>
                <w:tcPr>
                  <w:tcW w:w="436" w:type="pct"/>
                  <w:vMerge w:val="restart"/>
                  <w:shd w:val="clear" w:color="auto" w:fill="FFFFFF"/>
                  <w:vAlign w:val="center"/>
                </w:tcPr>
                <w:p w14:paraId="261A4305">
                  <w:pPr>
                    <w:jc w:val="center"/>
                    <w:rPr>
                      <w:color w:val="auto"/>
                    </w:rPr>
                  </w:pPr>
                  <w:r>
                    <w:rPr>
                      <w:rFonts w:ascii="Arial" w:hAnsi="Arial" w:eastAsia="Arial" w:cs="Arial"/>
                      <w:color w:val="auto"/>
                      <w:sz w:val="20"/>
                    </w:rPr>
                    <w:t>东侧</w:t>
                  </w:r>
                </w:p>
              </w:tc>
              <w:tc>
                <w:tcPr>
                  <w:tcW w:w="644" w:type="pct"/>
                  <w:shd w:val="clear" w:color="auto" w:fill="FFFFFF"/>
                  <w:vAlign w:val="center"/>
                </w:tcPr>
                <w:p w14:paraId="60C7513F">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27.56</w:t>
                  </w:r>
                </w:p>
              </w:tc>
              <w:tc>
                <w:tcPr>
                  <w:tcW w:w="644" w:type="pct"/>
                  <w:shd w:val="clear" w:color="auto" w:fill="FFFFFF"/>
                  <w:vAlign w:val="center"/>
                </w:tcPr>
                <w:p w14:paraId="038FCE48">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28.18</w:t>
                  </w:r>
                </w:p>
              </w:tc>
              <w:tc>
                <w:tcPr>
                  <w:tcW w:w="473" w:type="pct"/>
                  <w:shd w:val="clear" w:color="auto" w:fill="FFFFFF"/>
                  <w:vAlign w:val="center"/>
                </w:tcPr>
                <w:p w14:paraId="707F1618">
                  <w:pPr>
                    <w:jc w:val="center"/>
                    <w:rPr>
                      <w:rFonts w:hint="default" w:ascii="Times New Roman" w:hAnsi="Times New Roman" w:cs="Times New Roman"/>
                      <w:color w:val="auto"/>
                      <w:sz w:val="21"/>
                      <w:szCs w:val="21"/>
                    </w:rPr>
                  </w:pPr>
                  <w:r>
                    <w:rPr>
                      <w:rFonts w:hint="default" w:ascii="Times New Roman" w:hAnsi="Times New Roman" w:eastAsia="Arial" w:cs="Times New Roman"/>
                      <w:color w:val="auto"/>
                      <w:sz w:val="21"/>
                      <w:szCs w:val="21"/>
                    </w:rPr>
                    <w:t>1.2</w:t>
                  </w:r>
                </w:p>
              </w:tc>
              <w:tc>
                <w:tcPr>
                  <w:tcW w:w="438" w:type="pct"/>
                  <w:shd w:val="clear" w:color="auto" w:fill="FFFFFF"/>
                  <w:vAlign w:val="center"/>
                </w:tcPr>
                <w:p w14:paraId="0AF6AE6D">
                  <w:pPr>
                    <w:jc w:val="center"/>
                    <w:rPr>
                      <w:rFonts w:hint="default" w:ascii="Times New Roman" w:hAnsi="Times New Roman" w:cs="Times New Roman"/>
                      <w:color w:val="auto"/>
                      <w:sz w:val="21"/>
                      <w:szCs w:val="21"/>
                    </w:rPr>
                  </w:pPr>
                  <w:r>
                    <w:rPr>
                      <w:rFonts w:hint="default" w:ascii="Times New Roman" w:hAnsi="Times New Roman" w:eastAsia="Arial" w:cs="Times New Roman"/>
                      <w:color w:val="auto"/>
                      <w:sz w:val="21"/>
                      <w:szCs w:val="21"/>
                    </w:rPr>
                    <w:t>昼间</w:t>
                  </w:r>
                </w:p>
              </w:tc>
              <w:tc>
                <w:tcPr>
                  <w:tcW w:w="816" w:type="pct"/>
                  <w:shd w:val="clear" w:color="auto" w:fill="FFFFFF"/>
                  <w:vAlign w:val="center"/>
                </w:tcPr>
                <w:p w14:paraId="528989D9">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47.21</w:t>
                  </w:r>
                </w:p>
              </w:tc>
              <w:tc>
                <w:tcPr>
                  <w:tcW w:w="816" w:type="pct"/>
                  <w:shd w:val="clear" w:color="auto" w:fill="FFFFFF"/>
                  <w:vAlign w:val="center"/>
                </w:tcPr>
                <w:p w14:paraId="132C9243">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60</w:t>
                  </w:r>
                </w:p>
              </w:tc>
              <w:tc>
                <w:tcPr>
                  <w:tcW w:w="731" w:type="pct"/>
                  <w:shd w:val="clear" w:color="auto" w:fill="FFFFFF"/>
                  <w:vAlign w:val="center"/>
                </w:tcPr>
                <w:p w14:paraId="10231D3F">
                  <w:pPr>
                    <w:jc w:val="center"/>
                    <w:rPr>
                      <w:rFonts w:hint="default" w:ascii="Times New Roman" w:hAnsi="Times New Roman" w:cs="Times New Roman"/>
                      <w:color w:val="auto"/>
                      <w:sz w:val="21"/>
                      <w:szCs w:val="21"/>
                    </w:rPr>
                  </w:pPr>
                  <w:r>
                    <w:rPr>
                      <w:rFonts w:hint="default" w:ascii="Times New Roman" w:hAnsi="Times New Roman" w:eastAsia="Arial" w:cs="Times New Roman"/>
                      <w:color w:val="auto"/>
                      <w:sz w:val="21"/>
                      <w:szCs w:val="21"/>
                    </w:rPr>
                    <w:t>达标</w:t>
                  </w:r>
                </w:p>
              </w:tc>
            </w:tr>
            <w:tr w14:paraId="17E81E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90" w:hRule="atLeast"/>
                <w:jc w:val="center"/>
              </w:trPr>
              <w:tc>
                <w:tcPr>
                  <w:tcW w:w="436" w:type="pct"/>
                  <w:vMerge w:val="continue"/>
                  <w:shd w:val="clear" w:color="auto" w:fill="FFFFFF"/>
                  <w:vAlign w:val="center"/>
                </w:tcPr>
                <w:p w14:paraId="2BF38DB8">
                  <w:pPr>
                    <w:jc w:val="center"/>
                    <w:rPr>
                      <w:rFonts w:ascii="Arial" w:hAnsi="Arial" w:eastAsia="Arial" w:cs="Arial"/>
                      <w:color w:val="auto"/>
                      <w:sz w:val="20"/>
                    </w:rPr>
                  </w:pPr>
                </w:p>
              </w:tc>
              <w:tc>
                <w:tcPr>
                  <w:tcW w:w="644" w:type="pct"/>
                  <w:shd w:val="clear" w:color="auto" w:fill="FFFFFF"/>
                  <w:vAlign w:val="center"/>
                </w:tcPr>
                <w:p w14:paraId="69B5AB9E">
                  <w:pPr>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27.56</w:t>
                  </w:r>
                </w:p>
              </w:tc>
              <w:tc>
                <w:tcPr>
                  <w:tcW w:w="644" w:type="pct"/>
                  <w:shd w:val="clear" w:color="auto" w:fill="FFFFFF"/>
                  <w:vAlign w:val="center"/>
                </w:tcPr>
                <w:p w14:paraId="75D9CE69">
                  <w:pPr>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28.18</w:t>
                  </w:r>
                </w:p>
              </w:tc>
              <w:tc>
                <w:tcPr>
                  <w:tcW w:w="473" w:type="pct"/>
                  <w:shd w:val="clear" w:color="auto" w:fill="FFFFFF"/>
                  <w:vAlign w:val="center"/>
                </w:tcPr>
                <w:p w14:paraId="42AC455A">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Arial" w:cs="Times New Roman"/>
                      <w:color w:val="auto"/>
                      <w:sz w:val="21"/>
                      <w:szCs w:val="21"/>
                    </w:rPr>
                    <w:t>1.2</w:t>
                  </w:r>
                </w:p>
              </w:tc>
              <w:tc>
                <w:tcPr>
                  <w:tcW w:w="438" w:type="pct"/>
                  <w:shd w:val="clear" w:color="auto" w:fill="FFFFFF"/>
                  <w:vAlign w:val="center"/>
                </w:tcPr>
                <w:p w14:paraId="1A72A6FE">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夜间</w:t>
                  </w:r>
                </w:p>
              </w:tc>
              <w:tc>
                <w:tcPr>
                  <w:tcW w:w="816" w:type="pct"/>
                  <w:shd w:val="clear" w:color="auto" w:fill="FFFFFF"/>
                  <w:vAlign w:val="center"/>
                </w:tcPr>
                <w:p w14:paraId="358ED8D3">
                  <w:pPr>
                    <w:jc w:val="center"/>
                    <w:rPr>
                      <w:rFonts w:hint="eastAsia" w:ascii="Times New Roman" w:hAnsi="Times New Roman" w:cs="Times New Roman"/>
                      <w:color w:val="auto"/>
                      <w:sz w:val="21"/>
                      <w:szCs w:val="21"/>
                      <w:lang w:val="en-US" w:eastAsia="zh-CN"/>
                    </w:rPr>
                  </w:pPr>
                  <w:r>
                    <w:rPr>
                      <w:rFonts w:hint="eastAsia" w:cs="Times New Roman"/>
                      <w:color w:val="auto"/>
                      <w:sz w:val="21"/>
                      <w:szCs w:val="21"/>
                      <w:lang w:val="en-US" w:eastAsia="zh-CN"/>
                    </w:rPr>
                    <w:t>47.21</w:t>
                  </w:r>
                </w:p>
              </w:tc>
              <w:tc>
                <w:tcPr>
                  <w:tcW w:w="816" w:type="pct"/>
                  <w:shd w:val="clear" w:color="auto" w:fill="FFFFFF"/>
                  <w:vAlign w:val="center"/>
                </w:tcPr>
                <w:p w14:paraId="1AC0E468">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50</w:t>
                  </w:r>
                </w:p>
              </w:tc>
              <w:tc>
                <w:tcPr>
                  <w:tcW w:w="731" w:type="pct"/>
                  <w:shd w:val="clear" w:color="auto" w:fill="FFFFFF"/>
                  <w:vAlign w:val="center"/>
                </w:tcPr>
                <w:p w14:paraId="5B2EA9F8">
                  <w:pPr>
                    <w:jc w:val="center"/>
                    <w:rPr>
                      <w:rFonts w:hint="eastAsia"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达标</w:t>
                  </w:r>
                </w:p>
              </w:tc>
            </w:tr>
            <w:tr w14:paraId="0BBBE4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90" w:hRule="atLeast"/>
                <w:jc w:val="center"/>
              </w:trPr>
              <w:tc>
                <w:tcPr>
                  <w:tcW w:w="436" w:type="pct"/>
                  <w:vMerge w:val="restart"/>
                  <w:shd w:val="clear" w:color="auto" w:fill="FFFFFF"/>
                  <w:vAlign w:val="center"/>
                </w:tcPr>
                <w:p w14:paraId="6F15FF89">
                  <w:pPr>
                    <w:jc w:val="center"/>
                    <w:rPr>
                      <w:color w:val="auto"/>
                    </w:rPr>
                  </w:pPr>
                  <w:r>
                    <w:rPr>
                      <w:rFonts w:ascii="Arial" w:hAnsi="Arial" w:eastAsia="Arial" w:cs="Arial"/>
                      <w:color w:val="auto"/>
                      <w:sz w:val="20"/>
                    </w:rPr>
                    <w:t>南侧</w:t>
                  </w:r>
                </w:p>
              </w:tc>
              <w:tc>
                <w:tcPr>
                  <w:tcW w:w="644" w:type="pct"/>
                  <w:shd w:val="clear" w:color="auto" w:fill="FFFFFF"/>
                  <w:vAlign w:val="center"/>
                </w:tcPr>
                <w:p w14:paraId="358CDF63">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20.60</w:t>
                  </w:r>
                </w:p>
              </w:tc>
              <w:tc>
                <w:tcPr>
                  <w:tcW w:w="644" w:type="pct"/>
                  <w:shd w:val="clear" w:color="auto" w:fill="FFFFFF"/>
                  <w:vAlign w:val="center"/>
                </w:tcPr>
                <w:p w14:paraId="1C1EDD59">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-0.27</w:t>
                  </w:r>
                </w:p>
              </w:tc>
              <w:tc>
                <w:tcPr>
                  <w:tcW w:w="473" w:type="pct"/>
                  <w:shd w:val="clear" w:color="auto" w:fill="FFFFFF"/>
                  <w:vAlign w:val="center"/>
                </w:tcPr>
                <w:p w14:paraId="13B93E54">
                  <w:pPr>
                    <w:jc w:val="center"/>
                    <w:rPr>
                      <w:rFonts w:hint="default" w:ascii="Times New Roman" w:hAnsi="Times New Roman" w:cs="Times New Roman"/>
                      <w:color w:val="auto"/>
                      <w:sz w:val="21"/>
                      <w:szCs w:val="21"/>
                    </w:rPr>
                  </w:pPr>
                  <w:r>
                    <w:rPr>
                      <w:rFonts w:hint="default" w:ascii="Times New Roman" w:hAnsi="Times New Roman" w:eastAsia="Arial" w:cs="Times New Roman"/>
                      <w:color w:val="auto"/>
                      <w:sz w:val="21"/>
                      <w:szCs w:val="21"/>
                    </w:rPr>
                    <w:t>1.2</w:t>
                  </w:r>
                </w:p>
              </w:tc>
              <w:tc>
                <w:tcPr>
                  <w:tcW w:w="438" w:type="pct"/>
                  <w:shd w:val="clear" w:color="auto" w:fill="FFFFFF"/>
                  <w:vAlign w:val="center"/>
                </w:tcPr>
                <w:p w14:paraId="5021A7E8">
                  <w:pPr>
                    <w:jc w:val="center"/>
                    <w:rPr>
                      <w:rFonts w:hint="default" w:ascii="Times New Roman" w:hAnsi="Times New Roman" w:cs="Times New Roman"/>
                      <w:color w:val="auto"/>
                      <w:sz w:val="21"/>
                      <w:szCs w:val="21"/>
                    </w:rPr>
                  </w:pPr>
                  <w:r>
                    <w:rPr>
                      <w:rFonts w:hint="default" w:ascii="Times New Roman" w:hAnsi="Times New Roman" w:eastAsia="Arial" w:cs="Times New Roman"/>
                      <w:color w:val="auto"/>
                      <w:sz w:val="21"/>
                      <w:szCs w:val="21"/>
                    </w:rPr>
                    <w:t>昼间</w:t>
                  </w:r>
                </w:p>
              </w:tc>
              <w:tc>
                <w:tcPr>
                  <w:tcW w:w="816" w:type="pct"/>
                  <w:shd w:val="clear" w:color="auto" w:fill="FFFFFF"/>
                  <w:vAlign w:val="center"/>
                </w:tcPr>
                <w:p w14:paraId="67063CC3">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28.95</w:t>
                  </w:r>
                </w:p>
              </w:tc>
              <w:tc>
                <w:tcPr>
                  <w:tcW w:w="816" w:type="pct"/>
                  <w:shd w:val="clear" w:color="auto" w:fill="FFFFFF"/>
                  <w:vAlign w:val="center"/>
                </w:tcPr>
                <w:p w14:paraId="504B3233">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60</w:t>
                  </w:r>
                </w:p>
              </w:tc>
              <w:tc>
                <w:tcPr>
                  <w:tcW w:w="731" w:type="pct"/>
                  <w:shd w:val="clear" w:color="auto" w:fill="FFFFFF"/>
                  <w:vAlign w:val="center"/>
                </w:tcPr>
                <w:p w14:paraId="684600D0">
                  <w:pPr>
                    <w:jc w:val="center"/>
                    <w:rPr>
                      <w:rFonts w:hint="default" w:ascii="Times New Roman" w:hAnsi="Times New Roman" w:cs="Times New Roman"/>
                      <w:color w:val="auto"/>
                      <w:sz w:val="21"/>
                      <w:szCs w:val="21"/>
                    </w:rPr>
                  </w:pPr>
                  <w:r>
                    <w:rPr>
                      <w:rFonts w:hint="default" w:ascii="Times New Roman" w:hAnsi="Times New Roman" w:eastAsia="Arial" w:cs="Times New Roman"/>
                      <w:color w:val="auto"/>
                      <w:sz w:val="21"/>
                      <w:szCs w:val="21"/>
                    </w:rPr>
                    <w:t>达标</w:t>
                  </w:r>
                </w:p>
              </w:tc>
            </w:tr>
            <w:tr w14:paraId="721AAE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90" w:hRule="atLeast"/>
                <w:jc w:val="center"/>
              </w:trPr>
              <w:tc>
                <w:tcPr>
                  <w:tcW w:w="436" w:type="pct"/>
                  <w:vMerge w:val="continue"/>
                  <w:shd w:val="clear" w:color="auto" w:fill="FFFFFF"/>
                  <w:vAlign w:val="center"/>
                </w:tcPr>
                <w:p w14:paraId="2E05D4F2">
                  <w:pPr>
                    <w:jc w:val="center"/>
                    <w:rPr>
                      <w:rFonts w:ascii="Arial" w:hAnsi="Arial" w:eastAsia="Arial" w:cs="Arial"/>
                      <w:color w:val="auto"/>
                      <w:sz w:val="20"/>
                    </w:rPr>
                  </w:pPr>
                </w:p>
              </w:tc>
              <w:tc>
                <w:tcPr>
                  <w:tcW w:w="644" w:type="pct"/>
                  <w:shd w:val="clear" w:color="auto" w:fill="FFFFFF"/>
                  <w:vAlign w:val="center"/>
                </w:tcPr>
                <w:p w14:paraId="6A72087E">
                  <w:pPr>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20.60</w:t>
                  </w:r>
                </w:p>
              </w:tc>
              <w:tc>
                <w:tcPr>
                  <w:tcW w:w="644" w:type="pct"/>
                  <w:shd w:val="clear" w:color="auto" w:fill="FFFFFF"/>
                  <w:vAlign w:val="center"/>
                </w:tcPr>
                <w:p w14:paraId="2DD5F921">
                  <w:pPr>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-0.27</w:t>
                  </w:r>
                </w:p>
              </w:tc>
              <w:tc>
                <w:tcPr>
                  <w:tcW w:w="473" w:type="pct"/>
                  <w:shd w:val="clear" w:color="auto" w:fill="FFFFFF"/>
                  <w:vAlign w:val="center"/>
                </w:tcPr>
                <w:p w14:paraId="222BE92D">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Arial" w:cs="Times New Roman"/>
                      <w:color w:val="auto"/>
                      <w:sz w:val="21"/>
                      <w:szCs w:val="21"/>
                    </w:rPr>
                    <w:t>1.2</w:t>
                  </w:r>
                </w:p>
              </w:tc>
              <w:tc>
                <w:tcPr>
                  <w:tcW w:w="438" w:type="pct"/>
                  <w:shd w:val="clear" w:color="auto" w:fill="FFFFFF"/>
                  <w:vAlign w:val="center"/>
                </w:tcPr>
                <w:p w14:paraId="0A8EB274">
                  <w:pPr>
                    <w:jc w:val="center"/>
                    <w:rPr>
                      <w:rFonts w:hint="default" w:ascii="Times New Roman" w:hAnsi="Times New Roman" w:eastAsia="Arial" w:cs="Times New Roman"/>
                      <w:color w:val="auto"/>
                      <w:sz w:val="21"/>
                      <w:szCs w:val="21"/>
                    </w:rPr>
                  </w:pPr>
                  <w:r>
                    <w:rPr>
                      <w:rFonts w:hint="eastAsia" w:ascii="Times New Roman" w:hAnsi="Times New Roman" w:eastAsia="宋体" w:cs="Times New Roman"/>
                      <w:color w:val="auto"/>
                      <w:sz w:val="21"/>
                      <w:szCs w:val="21"/>
                      <w:lang w:val="en-US" w:eastAsia="zh-CN"/>
                    </w:rPr>
                    <w:t>夜间</w:t>
                  </w:r>
                </w:p>
              </w:tc>
              <w:tc>
                <w:tcPr>
                  <w:tcW w:w="816" w:type="pct"/>
                  <w:shd w:val="clear" w:color="auto" w:fill="FFFFFF"/>
                  <w:vAlign w:val="center"/>
                </w:tcPr>
                <w:p w14:paraId="594C7D91">
                  <w:pPr>
                    <w:jc w:val="center"/>
                    <w:rPr>
                      <w:rFonts w:hint="eastAsia" w:ascii="Times New Roman" w:hAnsi="Times New Roman" w:cs="Times New Roman"/>
                      <w:color w:val="auto"/>
                      <w:sz w:val="21"/>
                      <w:szCs w:val="21"/>
                      <w:lang w:val="en-US" w:eastAsia="zh-CN"/>
                    </w:rPr>
                  </w:pPr>
                  <w:r>
                    <w:rPr>
                      <w:rFonts w:hint="eastAsia" w:cs="Times New Roman"/>
                      <w:color w:val="auto"/>
                      <w:sz w:val="21"/>
                      <w:szCs w:val="21"/>
                      <w:lang w:val="en-US" w:eastAsia="zh-CN"/>
                    </w:rPr>
                    <w:t>28.95</w:t>
                  </w:r>
                </w:p>
              </w:tc>
              <w:tc>
                <w:tcPr>
                  <w:tcW w:w="816" w:type="pct"/>
                  <w:shd w:val="clear" w:color="auto" w:fill="FFFFFF"/>
                  <w:vAlign w:val="center"/>
                </w:tcPr>
                <w:p w14:paraId="102301F9">
                  <w:pPr>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50</w:t>
                  </w:r>
                </w:p>
              </w:tc>
              <w:tc>
                <w:tcPr>
                  <w:tcW w:w="731" w:type="pct"/>
                  <w:shd w:val="clear" w:color="auto" w:fill="FFFFFF"/>
                  <w:vAlign w:val="center"/>
                </w:tcPr>
                <w:p w14:paraId="12E249FB">
                  <w:pPr>
                    <w:jc w:val="center"/>
                    <w:rPr>
                      <w:rFonts w:hint="eastAsia"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达标</w:t>
                  </w:r>
                </w:p>
              </w:tc>
            </w:tr>
            <w:tr w14:paraId="2C48EA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90" w:hRule="atLeast"/>
                <w:jc w:val="center"/>
              </w:trPr>
              <w:tc>
                <w:tcPr>
                  <w:tcW w:w="436" w:type="pct"/>
                  <w:vMerge w:val="restart"/>
                  <w:shd w:val="clear" w:color="auto" w:fill="FFFFFF"/>
                  <w:vAlign w:val="center"/>
                </w:tcPr>
                <w:p w14:paraId="2611E694">
                  <w:pPr>
                    <w:jc w:val="center"/>
                    <w:rPr>
                      <w:color w:val="auto"/>
                    </w:rPr>
                  </w:pPr>
                  <w:r>
                    <w:rPr>
                      <w:rFonts w:ascii="Arial" w:hAnsi="Arial" w:eastAsia="Arial" w:cs="Arial"/>
                      <w:color w:val="auto"/>
                      <w:sz w:val="20"/>
                    </w:rPr>
                    <w:t>西侧</w:t>
                  </w:r>
                </w:p>
              </w:tc>
              <w:tc>
                <w:tcPr>
                  <w:tcW w:w="644" w:type="pct"/>
                  <w:shd w:val="clear" w:color="auto" w:fill="FFFFFF"/>
                  <w:vAlign w:val="center"/>
                </w:tcPr>
                <w:p w14:paraId="75911206">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-3.06</w:t>
                  </w:r>
                </w:p>
              </w:tc>
              <w:tc>
                <w:tcPr>
                  <w:tcW w:w="644" w:type="pct"/>
                  <w:shd w:val="clear" w:color="auto" w:fill="FFFFFF"/>
                  <w:vAlign w:val="center"/>
                </w:tcPr>
                <w:p w14:paraId="72F7765B">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27.44</w:t>
                  </w:r>
                </w:p>
              </w:tc>
              <w:tc>
                <w:tcPr>
                  <w:tcW w:w="473" w:type="pct"/>
                  <w:shd w:val="clear" w:color="auto" w:fill="FFFFFF"/>
                  <w:vAlign w:val="center"/>
                </w:tcPr>
                <w:p w14:paraId="6E18D929">
                  <w:pPr>
                    <w:jc w:val="center"/>
                    <w:rPr>
                      <w:rFonts w:hint="default" w:ascii="Times New Roman" w:hAnsi="Times New Roman" w:cs="Times New Roman"/>
                      <w:color w:val="auto"/>
                      <w:sz w:val="21"/>
                      <w:szCs w:val="21"/>
                    </w:rPr>
                  </w:pPr>
                  <w:r>
                    <w:rPr>
                      <w:rFonts w:hint="default" w:ascii="Times New Roman" w:hAnsi="Times New Roman" w:eastAsia="Arial" w:cs="Times New Roman"/>
                      <w:color w:val="auto"/>
                      <w:sz w:val="21"/>
                      <w:szCs w:val="21"/>
                    </w:rPr>
                    <w:t>1.2</w:t>
                  </w:r>
                </w:p>
              </w:tc>
              <w:tc>
                <w:tcPr>
                  <w:tcW w:w="438" w:type="pct"/>
                  <w:shd w:val="clear" w:color="auto" w:fill="FFFFFF"/>
                  <w:vAlign w:val="center"/>
                </w:tcPr>
                <w:p w14:paraId="25C82D82">
                  <w:pPr>
                    <w:jc w:val="center"/>
                    <w:rPr>
                      <w:rFonts w:hint="default" w:ascii="Times New Roman" w:hAnsi="Times New Roman" w:cs="Times New Roman"/>
                      <w:color w:val="auto"/>
                      <w:sz w:val="21"/>
                      <w:szCs w:val="21"/>
                    </w:rPr>
                  </w:pPr>
                  <w:r>
                    <w:rPr>
                      <w:rFonts w:hint="default" w:ascii="Times New Roman" w:hAnsi="Times New Roman" w:eastAsia="Arial" w:cs="Times New Roman"/>
                      <w:color w:val="auto"/>
                      <w:sz w:val="21"/>
                      <w:szCs w:val="21"/>
                    </w:rPr>
                    <w:t>昼间</w:t>
                  </w:r>
                </w:p>
              </w:tc>
              <w:tc>
                <w:tcPr>
                  <w:tcW w:w="816" w:type="pct"/>
                  <w:shd w:val="clear" w:color="auto" w:fill="FFFFFF"/>
                  <w:vAlign w:val="center"/>
                </w:tcPr>
                <w:p w14:paraId="4CF3DB9D">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28.77</w:t>
                  </w:r>
                </w:p>
              </w:tc>
              <w:tc>
                <w:tcPr>
                  <w:tcW w:w="816" w:type="pct"/>
                  <w:shd w:val="clear" w:color="auto" w:fill="FFFFFF"/>
                  <w:vAlign w:val="center"/>
                </w:tcPr>
                <w:p w14:paraId="58EC2CF4">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60</w:t>
                  </w:r>
                </w:p>
              </w:tc>
              <w:tc>
                <w:tcPr>
                  <w:tcW w:w="731" w:type="pct"/>
                  <w:shd w:val="clear" w:color="auto" w:fill="FFFFFF"/>
                  <w:vAlign w:val="center"/>
                </w:tcPr>
                <w:p w14:paraId="4FF0409B">
                  <w:pPr>
                    <w:jc w:val="center"/>
                    <w:rPr>
                      <w:rFonts w:hint="default" w:ascii="Times New Roman" w:hAnsi="Times New Roman" w:cs="Times New Roman"/>
                      <w:color w:val="auto"/>
                      <w:sz w:val="21"/>
                      <w:szCs w:val="21"/>
                    </w:rPr>
                  </w:pPr>
                  <w:r>
                    <w:rPr>
                      <w:rFonts w:hint="default" w:ascii="Times New Roman" w:hAnsi="Times New Roman" w:eastAsia="Arial" w:cs="Times New Roman"/>
                      <w:color w:val="auto"/>
                      <w:sz w:val="21"/>
                      <w:szCs w:val="21"/>
                    </w:rPr>
                    <w:t>达标</w:t>
                  </w:r>
                </w:p>
              </w:tc>
            </w:tr>
            <w:tr w14:paraId="67006C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90" w:hRule="atLeast"/>
                <w:jc w:val="center"/>
              </w:trPr>
              <w:tc>
                <w:tcPr>
                  <w:tcW w:w="436" w:type="pct"/>
                  <w:vMerge w:val="continue"/>
                  <w:shd w:val="clear" w:color="auto" w:fill="FFFFFF"/>
                  <w:vAlign w:val="center"/>
                </w:tcPr>
                <w:p w14:paraId="7EE85C34">
                  <w:pPr>
                    <w:jc w:val="center"/>
                    <w:rPr>
                      <w:rFonts w:ascii="Arial" w:hAnsi="Arial" w:eastAsia="Arial" w:cs="Arial"/>
                      <w:color w:val="auto"/>
                      <w:sz w:val="20"/>
                    </w:rPr>
                  </w:pPr>
                </w:p>
              </w:tc>
              <w:tc>
                <w:tcPr>
                  <w:tcW w:w="644" w:type="pct"/>
                  <w:shd w:val="clear" w:color="auto" w:fill="FFFFFF"/>
                  <w:vAlign w:val="center"/>
                </w:tcPr>
                <w:p w14:paraId="499382AB">
                  <w:pPr>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-3.06</w:t>
                  </w:r>
                </w:p>
              </w:tc>
              <w:tc>
                <w:tcPr>
                  <w:tcW w:w="644" w:type="pct"/>
                  <w:shd w:val="clear" w:color="auto" w:fill="FFFFFF"/>
                  <w:vAlign w:val="center"/>
                </w:tcPr>
                <w:p w14:paraId="1485954F">
                  <w:pPr>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27.44</w:t>
                  </w:r>
                </w:p>
              </w:tc>
              <w:tc>
                <w:tcPr>
                  <w:tcW w:w="473" w:type="pct"/>
                  <w:shd w:val="clear" w:color="auto" w:fill="FFFFFF"/>
                  <w:vAlign w:val="center"/>
                </w:tcPr>
                <w:p w14:paraId="43C9A622">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Arial" w:cs="Times New Roman"/>
                      <w:color w:val="auto"/>
                      <w:sz w:val="21"/>
                      <w:szCs w:val="21"/>
                    </w:rPr>
                    <w:t>1.2</w:t>
                  </w:r>
                </w:p>
              </w:tc>
              <w:tc>
                <w:tcPr>
                  <w:tcW w:w="438" w:type="pct"/>
                  <w:shd w:val="clear" w:color="auto" w:fill="FFFFFF"/>
                  <w:vAlign w:val="center"/>
                </w:tcPr>
                <w:p w14:paraId="20871BE6">
                  <w:pPr>
                    <w:jc w:val="center"/>
                    <w:rPr>
                      <w:rFonts w:hint="default" w:ascii="Times New Roman" w:hAnsi="Times New Roman" w:eastAsia="Arial" w:cs="Times New Roman"/>
                      <w:color w:val="auto"/>
                      <w:sz w:val="21"/>
                      <w:szCs w:val="21"/>
                    </w:rPr>
                  </w:pPr>
                  <w:r>
                    <w:rPr>
                      <w:rFonts w:hint="eastAsia" w:ascii="Times New Roman" w:hAnsi="Times New Roman" w:eastAsia="宋体" w:cs="Times New Roman"/>
                      <w:color w:val="auto"/>
                      <w:sz w:val="21"/>
                      <w:szCs w:val="21"/>
                      <w:lang w:val="en-US" w:eastAsia="zh-CN"/>
                    </w:rPr>
                    <w:t>夜间</w:t>
                  </w:r>
                </w:p>
              </w:tc>
              <w:tc>
                <w:tcPr>
                  <w:tcW w:w="816" w:type="pct"/>
                  <w:shd w:val="clear" w:color="auto" w:fill="FFFFFF"/>
                  <w:vAlign w:val="center"/>
                </w:tcPr>
                <w:p w14:paraId="756C9F25">
                  <w:pPr>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28.77</w:t>
                  </w:r>
                </w:p>
              </w:tc>
              <w:tc>
                <w:tcPr>
                  <w:tcW w:w="816" w:type="pct"/>
                  <w:shd w:val="clear" w:color="auto" w:fill="FFFFFF"/>
                  <w:vAlign w:val="center"/>
                </w:tcPr>
                <w:p w14:paraId="492F0690">
                  <w:pPr>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50</w:t>
                  </w:r>
                </w:p>
              </w:tc>
              <w:tc>
                <w:tcPr>
                  <w:tcW w:w="731" w:type="pct"/>
                  <w:shd w:val="clear" w:color="auto" w:fill="FFFFFF"/>
                  <w:vAlign w:val="center"/>
                </w:tcPr>
                <w:p w14:paraId="02A6A4FA">
                  <w:pPr>
                    <w:jc w:val="center"/>
                    <w:rPr>
                      <w:rFonts w:hint="default" w:ascii="Times New Roman" w:hAnsi="Times New Roman" w:eastAsia="Arial" w:cs="Times New Roman"/>
                      <w:color w:val="auto"/>
                      <w:sz w:val="21"/>
                      <w:szCs w:val="21"/>
                    </w:rPr>
                  </w:pPr>
                  <w:r>
                    <w:rPr>
                      <w:rFonts w:hint="default" w:ascii="Times New Roman" w:hAnsi="Times New Roman" w:eastAsia="Arial" w:cs="Times New Roman"/>
                      <w:color w:val="auto"/>
                      <w:sz w:val="21"/>
                      <w:szCs w:val="21"/>
                    </w:rPr>
                    <w:t>达标</w:t>
                  </w:r>
                </w:p>
              </w:tc>
            </w:tr>
            <w:tr w14:paraId="390555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90" w:hRule="atLeast"/>
                <w:jc w:val="center"/>
              </w:trPr>
              <w:tc>
                <w:tcPr>
                  <w:tcW w:w="436" w:type="pct"/>
                  <w:vMerge w:val="restart"/>
                  <w:shd w:val="clear" w:color="auto" w:fill="FFFFFF"/>
                  <w:vAlign w:val="center"/>
                </w:tcPr>
                <w:p w14:paraId="4F66F2A3">
                  <w:pPr>
                    <w:jc w:val="center"/>
                    <w:rPr>
                      <w:rFonts w:hint="default" w:ascii="Times New Roman" w:hAnsi="Times New Roman" w:eastAsia="Arial" w:cs="Times New Roman"/>
                      <w:color w:val="auto"/>
                      <w:sz w:val="21"/>
                      <w:szCs w:val="21"/>
                    </w:rPr>
                  </w:pPr>
                  <w:r>
                    <w:rPr>
                      <w:rFonts w:hint="default" w:ascii="Times New Roman" w:hAnsi="Times New Roman" w:eastAsia="Arial" w:cs="Times New Roman"/>
                      <w:color w:val="auto"/>
                      <w:sz w:val="21"/>
                      <w:szCs w:val="21"/>
                    </w:rPr>
                    <w:t>北侧</w:t>
                  </w:r>
                </w:p>
              </w:tc>
              <w:tc>
                <w:tcPr>
                  <w:tcW w:w="644" w:type="pct"/>
                  <w:shd w:val="clear" w:color="auto" w:fill="FFFFFF"/>
                  <w:vAlign w:val="center"/>
                </w:tcPr>
                <w:p w14:paraId="5025A03B">
                  <w:pPr>
                    <w:jc w:val="center"/>
                    <w:rPr>
                      <w:rFonts w:hint="default" w:ascii="Times New Roman" w:hAnsi="Times New Roman" w:eastAsia="Arial" w:cs="Times New Roman"/>
                      <w:color w:val="auto"/>
                      <w:sz w:val="21"/>
                      <w:szCs w:val="21"/>
                      <w:lang w:val="en-US" w:eastAsia="zh-CN"/>
                    </w:rPr>
                  </w:pPr>
                  <w:r>
                    <w:rPr>
                      <w:rFonts w:hint="eastAsia" w:eastAsia="Arial" w:cs="Times New Roman"/>
                      <w:color w:val="auto"/>
                      <w:sz w:val="21"/>
                      <w:szCs w:val="21"/>
                      <w:lang w:val="en-US" w:eastAsia="zh-CN"/>
                    </w:rPr>
                    <w:t>27.49</w:t>
                  </w:r>
                </w:p>
              </w:tc>
              <w:tc>
                <w:tcPr>
                  <w:tcW w:w="644" w:type="pct"/>
                  <w:shd w:val="clear" w:color="auto" w:fill="FFFFFF"/>
                  <w:vAlign w:val="center"/>
                </w:tcPr>
                <w:p w14:paraId="414D63D2">
                  <w:pPr>
                    <w:jc w:val="center"/>
                    <w:rPr>
                      <w:rFonts w:hint="default" w:ascii="Times New Roman" w:hAnsi="Times New Roman" w:eastAsia="Arial" w:cs="Times New Roman"/>
                      <w:color w:val="auto"/>
                      <w:sz w:val="21"/>
                      <w:szCs w:val="21"/>
                      <w:lang w:val="en-US" w:eastAsia="zh-CN"/>
                    </w:rPr>
                  </w:pPr>
                  <w:r>
                    <w:rPr>
                      <w:rFonts w:hint="eastAsia" w:eastAsia="Arial" w:cs="Times New Roman"/>
                      <w:color w:val="auto"/>
                      <w:sz w:val="21"/>
                      <w:szCs w:val="21"/>
                      <w:lang w:val="en-US" w:eastAsia="zh-CN"/>
                    </w:rPr>
                    <w:t>28.11</w:t>
                  </w:r>
                </w:p>
              </w:tc>
              <w:tc>
                <w:tcPr>
                  <w:tcW w:w="473" w:type="pct"/>
                  <w:shd w:val="clear" w:color="auto" w:fill="FFFFFF"/>
                  <w:vAlign w:val="center"/>
                </w:tcPr>
                <w:p w14:paraId="44CBEFDA">
                  <w:pPr>
                    <w:jc w:val="center"/>
                    <w:rPr>
                      <w:rFonts w:hint="default" w:ascii="Times New Roman" w:hAnsi="Times New Roman" w:eastAsia="Arial" w:cs="Times New Roman"/>
                      <w:color w:val="auto"/>
                      <w:sz w:val="21"/>
                      <w:szCs w:val="21"/>
                    </w:rPr>
                  </w:pPr>
                  <w:r>
                    <w:rPr>
                      <w:rFonts w:hint="default" w:ascii="Times New Roman" w:hAnsi="Times New Roman" w:eastAsia="Arial" w:cs="Times New Roman"/>
                      <w:color w:val="auto"/>
                      <w:sz w:val="21"/>
                      <w:szCs w:val="21"/>
                    </w:rPr>
                    <w:t>1.2</w:t>
                  </w:r>
                </w:p>
              </w:tc>
              <w:tc>
                <w:tcPr>
                  <w:tcW w:w="438" w:type="pct"/>
                  <w:shd w:val="clear" w:color="auto" w:fill="FFFFFF"/>
                  <w:vAlign w:val="center"/>
                </w:tcPr>
                <w:p w14:paraId="267FD32A">
                  <w:pPr>
                    <w:jc w:val="center"/>
                    <w:rPr>
                      <w:rFonts w:hint="default" w:ascii="Times New Roman" w:hAnsi="Times New Roman" w:eastAsia="Arial" w:cs="Times New Roman"/>
                      <w:color w:val="auto"/>
                      <w:sz w:val="21"/>
                      <w:szCs w:val="21"/>
                    </w:rPr>
                  </w:pPr>
                  <w:r>
                    <w:rPr>
                      <w:rFonts w:hint="default" w:ascii="Times New Roman" w:hAnsi="Times New Roman" w:eastAsia="Arial" w:cs="Times New Roman"/>
                      <w:color w:val="auto"/>
                      <w:sz w:val="21"/>
                      <w:szCs w:val="21"/>
                    </w:rPr>
                    <w:t>昼间</w:t>
                  </w:r>
                </w:p>
              </w:tc>
              <w:tc>
                <w:tcPr>
                  <w:tcW w:w="816" w:type="pct"/>
                  <w:shd w:val="clear" w:color="auto" w:fill="FFFFFF"/>
                  <w:vAlign w:val="center"/>
                </w:tcPr>
                <w:p w14:paraId="73289817">
                  <w:pPr>
                    <w:jc w:val="center"/>
                    <w:rPr>
                      <w:rFonts w:hint="default" w:ascii="Times New Roman" w:hAnsi="Times New Roman" w:eastAsia="Arial" w:cs="Times New Roman"/>
                      <w:color w:val="auto"/>
                      <w:sz w:val="21"/>
                      <w:szCs w:val="21"/>
                      <w:lang w:val="en-US" w:eastAsia="zh-CN"/>
                    </w:rPr>
                  </w:pPr>
                  <w:r>
                    <w:rPr>
                      <w:rFonts w:hint="eastAsia" w:eastAsia="Arial" w:cs="Times New Roman"/>
                      <w:color w:val="auto"/>
                      <w:sz w:val="21"/>
                      <w:szCs w:val="21"/>
                      <w:lang w:val="en-US" w:eastAsia="zh-CN"/>
                    </w:rPr>
                    <w:t>47.40</w:t>
                  </w:r>
                </w:p>
              </w:tc>
              <w:tc>
                <w:tcPr>
                  <w:tcW w:w="816" w:type="pct"/>
                  <w:shd w:val="clear" w:color="auto" w:fill="FFFFFF"/>
                  <w:vAlign w:val="center"/>
                </w:tcPr>
                <w:p w14:paraId="0D75D08C">
                  <w:pPr>
                    <w:jc w:val="center"/>
                    <w:rPr>
                      <w:rFonts w:hint="default" w:ascii="Times New Roman" w:hAnsi="Times New Roman" w:eastAsia="Arial" w:cs="Times New Roman"/>
                      <w:color w:val="auto"/>
                      <w:sz w:val="21"/>
                      <w:szCs w:val="21"/>
                      <w:lang w:val="en-US" w:eastAsia="zh-CN"/>
                    </w:rPr>
                  </w:pPr>
                  <w:r>
                    <w:rPr>
                      <w:rFonts w:hint="eastAsia" w:ascii="Times New Roman" w:hAnsi="Times New Roman" w:eastAsia="Arial" w:cs="Times New Roman"/>
                      <w:color w:val="auto"/>
                      <w:sz w:val="21"/>
                      <w:szCs w:val="21"/>
                      <w:lang w:val="en-US" w:eastAsia="zh-CN"/>
                    </w:rPr>
                    <w:t>60</w:t>
                  </w:r>
                </w:p>
              </w:tc>
              <w:tc>
                <w:tcPr>
                  <w:tcW w:w="731" w:type="pct"/>
                  <w:shd w:val="clear" w:color="auto" w:fill="FFFFFF"/>
                  <w:vAlign w:val="center"/>
                </w:tcPr>
                <w:p w14:paraId="180FE5BF">
                  <w:pPr>
                    <w:jc w:val="center"/>
                    <w:rPr>
                      <w:rFonts w:hint="default" w:ascii="Times New Roman" w:hAnsi="Times New Roman" w:eastAsia="Arial" w:cs="Times New Roman"/>
                      <w:color w:val="auto"/>
                      <w:sz w:val="21"/>
                      <w:szCs w:val="21"/>
                    </w:rPr>
                  </w:pPr>
                  <w:r>
                    <w:rPr>
                      <w:rFonts w:hint="default" w:ascii="Times New Roman" w:hAnsi="Times New Roman" w:eastAsia="Arial" w:cs="Times New Roman"/>
                      <w:color w:val="auto"/>
                      <w:sz w:val="21"/>
                      <w:szCs w:val="21"/>
                    </w:rPr>
                    <w:t>达标</w:t>
                  </w:r>
                </w:p>
              </w:tc>
            </w:tr>
            <w:tr w14:paraId="6382C3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90" w:hRule="atLeast"/>
                <w:jc w:val="center"/>
              </w:trPr>
              <w:tc>
                <w:tcPr>
                  <w:tcW w:w="436" w:type="pct"/>
                  <w:vMerge w:val="continue"/>
                  <w:shd w:val="clear" w:color="auto" w:fill="FFFFFF"/>
                  <w:vAlign w:val="center"/>
                </w:tcPr>
                <w:p w14:paraId="3A6A3872">
                  <w:pPr>
                    <w:jc w:val="center"/>
                    <w:rPr>
                      <w:rFonts w:hint="default" w:ascii="Times New Roman" w:hAnsi="Times New Roman" w:eastAsia="Arial" w:cs="Times New Roman"/>
                      <w:color w:val="auto"/>
                      <w:sz w:val="21"/>
                      <w:szCs w:val="21"/>
                    </w:rPr>
                  </w:pPr>
                </w:p>
              </w:tc>
              <w:tc>
                <w:tcPr>
                  <w:tcW w:w="644" w:type="pct"/>
                  <w:shd w:val="clear" w:color="auto" w:fill="FFFFFF"/>
                  <w:vAlign w:val="center"/>
                </w:tcPr>
                <w:p w14:paraId="75EEAA31">
                  <w:pPr>
                    <w:jc w:val="center"/>
                    <w:rPr>
                      <w:rFonts w:hint="eastAsia" w:ascii="Times New Roman" w:hAnsi="Times New Roman" w:eastAsia="Arial" w:cs="Times New Roman"/>
                      <w:color w:val="auto"/>
                      <w:kern w:val="2"/>
                      <w:sz w:val="21"/>
                      <w:szCs w:val="21"/>
                      <w:lang w:val="en-US" w:eastAsia="zh-CN" w:bidi="ar-SA"/>
                    </w:rPr>
                  </w:pPr>
                  <w:r>
                    <w:rPr>
                      <w:rFonts w:hint="eastAsia" w:eastAsia="Arial" w:cs="Times New Roman"/>
                      <w:color w:val="auto"/>
                      <w:sz w:val="21"/>
                      <w:szCs w:val="21"/>
                      <w:lang w:val="en-US" w:eastAsia="zh-CN"/>
                    </w:rPr>
                    <w:t>27.49</w:t>
                  </w:r>
                </w:p>
              </w:tc>
              <w:tc>
                <w:tcPr>
                  <w:tcW w:w="644" w:type="pct"/>
                  <w:shd w:val="clear" w:color="auto" w:fill="FFFFFF"/>
                  <w:vAlign w:val="center"/>
                </w:tcPr>
                <w:p w14:paraId="2F787703">
                  <w:pPr>
                    <w:jc w:val="center"/>
                    <w:rPr>
                      <w:rFonts w:hint="eastAsia" w:ascii="Times New Roman" w:hAnsi="Times New Roman" w:eastAsia="Arial" w:cs="Times New Roman"/>
                      <w:color w:val="auto"/>
                      <w:kern w:val="2"/>
                      <w:sz w:val="21"/>
                      <w:szCs w:val="21"/>
                      <w:lang w:val="en-US" w:eastAsia="zh-CN" w:bidi="ar-SA"/>
                    </w:rPr>
                  </w:pPr>
                  <w:r>
                    <w:rPr>
                      <w:rFonts w:hint="eastAsia" w:eastAsia="Arial" w:cs="Times New Roman"/>
                      <w:color w:val="auto"/>
                      <w:sz w:val="21"/>
                      <w:szCs w:val="21"/>
                      <w:lang w:val="en-US" w:eastAsia="zh-CN"/>
                    </w:rPr>
                    <w:t>28.11</w:t>
                  </w:r>
                </w:p>
              </w:tc>
              <w:tc>
                <w:tcPr>
                  <w:tcW w:w="473" w:type="pct"/>
                  <w:shd w:val="clear" w:color="auto" w:fill="FFFFFF"/>
                  <w:vAlign w:val="center"/>
                </w:tcPr>
                <w:p w14:paraId="6C2D55CD">
                  <w:pPr>
                    <w:jc w:val="center"/>
                    <w:rPr>
                      <w:rFonts w:hint="default" w:ascii="Times New Roman" w:hAnsi="Times New Roman" w:eastAsia="Arial" w:cs="Times New Roman"/>
                      <w:color w:val="auto"/>
                      <w:kern w:val="2"/>
                      <w:sz w:val="21"/>
                      <w:szCs w:val="21"/>
                      <w:lang w:val="en-US" w:eastAsia="zh-CN" w:bidi="ar-SA"/>
                    </w:rPr>
                  </w:pPr>
                  <w:r>
                    <w:rPr>
                      <w:rFonts w:hint="default" w:ascii="Times New Roman" w:hAnsi="Times New Roman" w:eastAsia="Arial" w:cs="Times New Roman"/>
                      <w:color w:val="auto"/>
                      <w:sz w:val="21"/>
                      <w:szCs w:val="21"/>
                    </w:rPr>
                    <w:t>1.2</w:t>
                  </w:r>
                </w:p>
              </w:tc>
              <w:tc>
                <w:tcPr>
                  <w:tcW w:w="438" w:type="pct"/>
                  <w:shd w:val="clear" w:color="auto" w:fill="FFFFFF"/>
                  <w:vAlign w:val="center"/>
                </w:tcPr>
                <w:p w14:paraId="6FC60FB6">
                  <w:pPr>
                    <w:jc w:val="center"/>
                    <w:rPr>
                      <w:rFonts w:hint="default" w:ascii="Times New Roman" w:hAnsi="Times New Roman" w:eastAsia="Arial" w:cs="Times New Roman"/>
                      <w:color w:val="auto"/>
                      <w:sz w:val="21"/>
                      <w:szCs w:val="21"/>
                    </w:rPr>
                  </w:pPr>
                  <w:r>
                    <w:rPr>
                      <w:rFonts w:hint="eastAsia" w:ascii="Times New Roman" w:hAnsi="Times New Roman" w:eastAsia="Arial" w:cs="Times New Roman"/>
                      <w:color w:val="auto"/>
                      <w:sz w:val="21"/>
                      <w:szCs w:val="21"/>
                      <w:lang w:val="en-US" w:eastAsia="zh-CN"/>
                    </w:rPr>
                    <w:t>夜间</w:t>
                  </w:r>
                </w:p>
              </w:tc>
              <w:tc>
                <w:tcPr>
                  <w:tcW w:w="816" w:type="pct"/>
                  <w:shd w:val="clear" w:color="auto" w:fill="FFFFFF"/>
                  <w:vAlign w:val="center"/>
                </w:tcPr>
                <w:p w14:paraId="2BD6CAC9">
                  <w:pPr>
                    <w:jc w:val="center"/>
                    <w:rPr>
                      <w:rFonts w:hint="eastAsia" w:ascii="Times New Roman" w:hAnsi="Times New Roman" w:eastAsia="Arial" w:cs="Times New Roman"/>
                      <w:color w:val="auto"/>
                      <w:sz w:val="21"/>
                      <w:szCs w:val="21"/>
                      <w:lang w:val="en-US" w:eastAsia="zh-CN"/>
                    </w:rPr>
                  </w:pPr>
                  <w:r>
                    <w:rPr>
                      <w:rFonts w:hint="eastAsia" w:eastAsia="Arial" w:cs="Times New Roman"/>
                      <w:color w:val="auto"/>
                      <w:sz w:val="21"/>
                      <w:szCs w:val="21"/>
                      <w:lang w:val="en-US" w:eastAsia="zh-CN"/>
                    </w:rPr>
                    <w:t>47.40</w:t>
                  </w:r>
                </w:p>
              </w:tc>
              <w:tc>
                <w:tcPr>
                  <w:tcW w:w="816" w:type="pct"/>
                  <w:shd w:val="clear" w:color="auto" w:fill="FFFFFF"/>
                  <w:vAlign w:val="center"/>
                </w:tcPr>
                <w:p w14:paraId="4AD349C0">
                  <w:pPr>
                    <w:jc w:val="center"/>
                    <w:rPr>
                      <w:rFonts w:hint="default" w:ascii="Times New Roman" w:hAnsi="Times New Roman" w:eastAsia="Arial" w:cs="Times New Roman"/>
                      <w:color w:val="auto"/>
                      <w:sz w:val="21"/>
                      <w:szCs w:val="21"/>
                      <w:lang w:val="en-US" w:eastAsia="zh-CN"/>
                    </w:rPr>
                  </w:pPr>
                  <w:r>
                    <w:rPr>
                      <w:rFonts w:hint="eastAsia" w:eastAsia="Arial" w:cs="Times New Roman"/>
                      <w:color w:val="auto"/>
                      <w:sz w:val="21"/>
                      <w:szCs w:val="21"/>
                      <w:lang w:val="en-US" w:eastAsia="zh-CN"/>
                    </w:rPr>
                    <w:t>50</w:t>
                  </w:r>
                </w:p>
              </w:tc>
              <w:tc>
                <w:tcPr>
                  <w:tcW w:w="731" w:type="pct"/>
                  <w:shd w:val="clear" w:color="auto" w:fill="FFFFFF"/>
                  <w:vAlign w:val="center"/>
                </w:tcPr>
                <w:p w14:paraId="00FDD0AF">
                  <w:pPr>
                    <w:jc w:val="center"/>
                    <w:rPr>
                      <w:rFonts w:hint="default" w:ascii="Times New Roman" w:hAnsi="Times New Roman" w:eastAsia="Arial" w:cs="Times New Roman"/>
                      <w:color w:val="auto"/>
                      <w:sz w:val="21"/>
                      <w:szCs w:val="21"/>
                    </w:rPr>
                  </w:pPr>
                  <w:r>
                    <w:rPr>
                      <w:rFonts w:hint="default" w:ascii="Times New Roman" w:hAnsi="Times New Roman" w:eastAsia="Arial" w:cs="Times New Roman"/>
                      <w:color w:val="auto"/>
                      <w:sz w:val="21"/>
                      <w:szCs w:val="21"/>
                    </w:rPr>
                    <w:t>达标</w:t>
                  </w:r>
                </w:p>
              </w:tc>
            </w:tr>
          </w:tbl>
          <w:p w14:paraId="5B7626CB">
            <w:pPr>
              <w:keepNext w:val="0"/>
              <w:keepLines w:val="0"/>
              <w:pageBreakBefore w:val="0"/>
              <w:widowControl w:val="0"/>
              <w:kinsoku/>
              <w:wordWrap/>
              <w:overflowPunct/>
              <w:topLinePunct w:val="0"/>
              <w:autoSpaceDE/>
              <w:autoSpaceDN/>
              <w:bidi w:val="0"/>
              <w:adjustRightInd/>
              <w:snapToGrid/>
              <w:spacing w:line="360" w:lineRule="auto"/>
              <w:ind w:firstLine="360" w:firstLineChars="200"/>
              <w:textAlignment w:val="auto"/>
              <w:rPr>
                <w:rFonts w:hint="default" w:ascii="Times New Roman" w:hAnsi="Times New Roman" w:cs="Times New Roman"/>
                <w:color w:val="auto"/>
                <w:sz w:val="18"/>
                <w:szCs w:val="18"/>
                <w:highlight w:val="none"/>
              </w:rPr>
            </w:pPr>
            <w:r>
              <w:rPr>
                <w:rFonts w:hint="default" w:ascii="Times New Roman" w:hAnsi="Times New Roman" w:eastAsia="宋体" w:cs="Times New Roman"/>
                <w:b w:val="0"/>
                <w:bCs/>
                <w:color w:val="auto"/>
                <w:sz w:val="18"/>
                <w:szCs w:val="18"/>
                <w:highlight w:val="none"/>
                <w:lang w:val="en-US" w:eastAsia="zh-CN"/>
              </w:rPr>
              <w:t>表中坐标以</w:t>
            </w:r>
            <w:r>
              <w:rPr>
                <w:rFonts w:hint="eastAsia" w:ascii="Times New Roman" w:hAnsi="Times New Roman" w:eastAsia="宋体" w:cs="Times New Roman"/>
                <w:b w:val="0"/>
                <w:bCs/>
                <w:color w:val="auto"/>
                <w:sz w:val="18"/>
                <w:szCs w:val="18"/>
                <w:highlight w:val="none"/>
                <w:lang w:val="en-US" w:eastAsia="zh-CN"/>
              </w:rPr>
              <w:t>厂区西南角</w:t>
            </w:r>
            <w:r>
              <w:rPr>
                <w:rFonts w:hint="default" w:ascii="Times New Roman" w:hAnsi="Times New Roman" w:eastAsia="宋体" w:cs="Times New Roman"/>
                <w:b w:val="0"/>
                <w:bCs/>
                <w:color w:val="auto"/>
                <w:sz w:val="18"/>
                <w:szCs w:val="18"/>
                <w:highlight w:val="none"/>
                <w:lang w:val="en-US" w:eastAsia="zh-CN"/>
              </w:rPr>
              <w:t>为坐标原点，正东向为X轴正方向，正北向为Y轴正方向</w:t>
            </w:r>
          </w:p>
          <w:p w14:paraId="049C3764">
            <w:pPr>
              <w:keepNext w:val="0"/>
              <w:keepLines w:val="0"/>
              <w:kinsoku/>
              <w:wordWrap/>
              <w:overflowPunct/>
              <w:topLinePunct w:val="0"/>
              <w:autoSpaceDE/>
              <w:autoSpaceDN/>
              <w:bidi w:val="0"/>
              <w:snapToGrid/>
              <w:spacing w:line="360" w:lineRule="auto"/>
              <w:ind w:firstLine="480" w:firstLineChars="200"/>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由上表可知，正常工况下，项目厂界噪声满足《工业企业厂界环境噪声排放标准》</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eastAsia="zh-CN"/>
              </w:rPr>
              <w:t>GB12348</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eastAsia="zh-CN"/>
              </w:rPr>
              <w:t>2008</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eastAsia="zh-CN"/>
              </w:rPr>
              <w:t xml:space="preserve"> </w:t>
            </w:r>
            <w:r>
              <w:rPr>
                <w:rFonts w:hint="eastAsia"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lang w:eastAsia="zh-CN"/>
              </w:rPr>
              <w:t>类标准。</w:t>
            </w:r>
          </w:p>
          <w:p w14:paraId="64B9D6AA">
            <w:pPr>
              <w:keepNext w:val="0"/>
              <w:keepLines w:val="0"/>
              <w:pageBreakBefore/>
              <w:widowControl/>
              <w:numPr>
                <w:ilvl w:val="0"/>
                <w:numId w:val="32"/>
              </w:numPr>
              <w:kinsoku/>
              <w:wordWrap/>
              <w:overflowPunct/>
              <w:topLinePunct w:val="0"/>
              <w:autoSpaceDE/>
              <w:autoSpaceDN/>
              <w:bidi w:val="0"/>
              <w:snapToGrid/>
              <w:spacing w:line="360" w:lineRule="auto"/>
              <w:ind w:left="0" w:leftChars="0" w:firstLine="442" w:firstLineChars="200"/>
              <w:textAlignment w:val="auto"/>
              <w:rPr>
                <w:rFonts w:hint="default" w:ascii="Times New Roman" w:hAnsi="Times New Roman" w:eastAsia="宋体" w:cs="Times New Roman"/>
                <w:b/>
                <w:bCs/>
                <w:color w:val="auto"/>
                <w:spacing w:val="-10"/>
                <w:sz w:val="24"/>
                <w:szCs w:val="24"/>
                <w:highlight w:val="none"/>
              </w:rPr>
            </w:pPr>
            <w:r>
              <w:rPr>
                <w:rFonts w:hint="eastAsia" w:ascii="Times New Roman" w:hAnsi="Times New Roman" w:eastAsia="宋体" w:cs="Times New Roman"/>
                <w:b/>
                <w:bCs/>
                <w:color w:val="auto"/>
                <w:spacing w:val="-10"/>
                <w:sz w:val="24"/>
                <w:szCs w:val="24"/>
                <w:highlight w:val="none"/>
                <w:lang w:val="en-US" w:eastAsia="zh-CN"/>
              </w:rPr>
              <w:t>监测计划</w:t>
            </w:r>
          </w:p>
          <w:p w14:paraId="691001D7">
            <w:pPr>
              <w:keepNext w:val="0"/>
              <w:keepLines w:val="0"/>
              <w:kinsoku/>
              <w:wordWrap/>
              <w:overflowPunct/>
              <w:topLinePunct w:val="0"/>
              <w:autoSpaceDE/>
              <w:autoSpaceDN/>
              <w:bidi w:val="0"/>
              <w:snapToGrid/>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根据《排污单位自行监测技术指南</w:t>
            </w:r>
            <w:r>
              <w:rPr>
                <w:rFonts w:hint="eastAsia" w:cs="Times New Roman"/>
                <w:color w:val="auto"/>
                <w:sz w:val="24"/>
                <w:szCs w:val="24"/>
                <w:highlight w:val="none"/>
                <w:lang w:val="en-US" w:eastAsia="zh-CN"/>
              </w:rPr>
              <w:t>---</w:t>
            </w:r>
            <w:r>
              <w:rPr>
                <w:rFonts w:hint="default" w:ascii="Times New Roman" w:hAnsi="Times New Roman" w:cs="Times New Roman"/>
                <w:color w:val="auto"/>
                <w:sz w:val="24"/>
                <w:szCs w:val="24"/>
                <w:highlight w:val="none"/>
              </w:rPr>
              <w:t>工业固体废物和危险废物治理》（HJ1250-2022）</w:t>
            </w:r>
            <w:r>
              <w:rPr>
                <w:rFonts w:hint="eastAsia" w:ascii="Times New Roman" w:hAnsi="Times New Roman" w:cs="Times New Roman"/>
                <w:color w:val="auto"/>
                <w:sz w:val="24"/>
                <w:szCs w:val="24"/>
                <w:highlight w:val="none"/>
                <w:lang w:val="en-US" w:eastAsia="zh-CN"/>
              </w:rPr>
              <w:t>以及《排污许可证申请与核发技术规范 工业噪声》（HJ 1301-2023）中</w:t>
            </w:r>
            <w:r>
              <w:rPr>
                <w:rFonts w:hint="default" w:ascii="Times New Roman" w:hAnsi="Times New Roman" w:cs="Times New Roman"/>
                <w:color w:val="auto"/>
                <w:sz w:val="24"/>
                <w:szCs w:val="24"/>
                <w:highlight w:val="none"/>
              </w:rPr>
              <w:t>相关要求，厂区噪声监测要求如下：</w:t>
            </w:r>
          </w:p>
          <w:p w14:paraId="120911B6">
            <w:pPr>
              <w:keepNext w:val="0"/>
              <w:keepLines w:val="0"/>
              <w:pageBreakBefore w:val="0"/>
              <w:widowControl w:val="0"/>
              <w:numPr>
                <w:ilvl w:val="0"/>
                <w:numId w:val="31"/>
              </w:numPr>
              <w:kinsoku/>
              <w:wordWrap/>
              <w:overflowPunct/>
              <w:topLinePunct w:val="0"/>
              <w:autoSpaceDE w:val="0"/>
              <w:autoSpaceDN w:val="0"/>
              <w:bidi w:val="0"/>
              <w:adjustRightInd w:val="0"/>
              <w:snapToGrid/>
              <w:spacing w:line="360" w:lineRule="auto"/>
              <w:ind w:left="3150" w:leftChars="0" w:hanging="3110" w:firstLineChars="0"/>
              <w:jc w:val="center"/>
              <w:textAlignment w:val="auto"/>
              <w:rPr>
                <w:rFonts w:hint="default" w:ascii="宋体" w:hAnsi="宋体" w:eastAsia="宋体" w:cs="宋体"/>
                <w:b/>
                <w:bCs/>
                <w:color w:val="auto"/>
                <w:kern w:val="0"/>
                <w:sz w:val="24"/>
                <w:szCs w:val="24"/>
                <w:lang w:val="en-US" w:eastAsia="zh-CN" w:bidi="ar"/>
              </w:rPr>
            </w:pPr>
            <w:r>
              <w:rPr>
                <w:rFonts w:hint="default" w:ascii="宋体" w:hAnsi="宋体" w:eastAsia="宋体" w:cs="宋体"/>
                <w:b/>
                <w:bCs/>
                <w:color w:val="auto"/>
                <w:kern w:val="0"/>
                <w:sz w:val="24"/>
                <w:szCs w:val="24"/>
                <w:lang w:val="en-US" w:eastAsia="zh-CN" w:bidi="ar"/>
              </w:rPr>
              <w:t>厂界噪声监测要求</w:t>
            </w:r>
          </w:p>
          <w:tbl>
            <w:tblPr>
              <w:tblStyle w:val="27"/>
              <w:tblW w:w="4998" w:type="pct"/>
              <w:jc w:val="center"/>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Layout w:type="autofit"/>
              <w:tblCellMar>
                <w:top w:w="0" w:type="dxa"/>
                <w:left w:w="108" w:type="dxa"/>
                <w:bottom w:w="0" w:type="dxa"/>
                <w:right w:w="108" w:type="dxa"/>
              </w:tblCellMar>
            </w:tblPr>
            <w:tblGrid>
              <w:gridCol w:w="2407"/>
              <w:gridCol w:w="2280"/>
              <w:gridCol w:w="2673"/>
              <w:gridCol w:w="1345"/>
            </w:tblGrid>
            <w:tr w14:paraId="205BF1FE">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82" w:type="pct"/>
                  <w:tcBorders>
                    <w:tl2br w:val="nil"/>
                    <w:tr2bl w:val="nil"/>
                  </w:tcBorders>
                  <w:noWrap w:val="0"/>
                  <w:vAlign w:val="center"/>
                </w:tcPr>
                <w:p w14:paraId="4DBC8BE6">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监测项目</w:t>
                  </w:r>
                </w:p>
              </w:tc>
              <w:tc>
                <w:tcPr>
                  <w:tcW w:w="1309" w:type="pct"/>
                  <w:tcBorders>
                    <w:tl2br w:val="nil"/>
                    <w:tr2bl w:val="nil"/>
                  </w:tcBorders>
                  <w:noWrap w:val="0"/>
                  <w:vAlign w:val="center"/>
                </w:tcPr>
                <w:p w14:paraId="2EB1E067">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监测方位</w:t>
                  </w:r>
                </w:p>
              </w:tc>
              <w:tc>
                <w:tcPr>
                  <w:tcW w:w="1535" w:type="pct"/>
                  <w:tcBorders>
                    <w:tl2br w:val="nil"/>
                    <w:tr2bl w:val="nil"/>
                  </w:tcBorders>
                  <w:noWrap w:val="0"/>
                  <w:vAlign w:val="center"/>
                </w:tcPr>
                <w:p w14:paraId="5E9A1161">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监测频次</w:t>
                  </w:r>
                </w:p>
              </w:tc>
              <w:tc>
                <w:tcPr>
                  <w:tcW w:w="772" w:type="pct"/>
                  <w:tcBorders>
                    <w:tl2br w:val="nil"/>
                    <w:tr2bl w:val="nil"/>
                  </w:tcBorders>
                  <w:noWrap w:val="0"/>
                  <w:vAlign w:val="center"/>
                </w:tcPr>
                <w:p w14:paraId="49FC60A1">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cs="Times New Roman"/>
                      <w:b/>
                      <w:bCs/>
                      <w:color w:val="auto"/>
                      <w:sz w:val="21"/>
                      <w:szCs w:val="21"/>
                      <w:highlight w:val="none"/>
                      <w:lang w:val="en-US" w:eastAsia="zh-CN"/>
                    </w:rPr>
                    <w:t>监测</w:t>
                  </w:r>
                  <w:r>
                    <w:rPr>
                      <w:rFonts w:hint="eastAsia" w:cs="Times New Roman"/>
                      <w:b/>
                      <w:bCs/>
                      <w:color w:val="auto"/>
                      <w:sz w:val="21"/>
                      <w:szCs w:val="21"/>
                      <w:highlight w:val="none"/>
                      <w:lang w:val="en-US" w:eastAsia="zh-CN"/>
                    </w:rPr>
                    <w:t>指标</w:t>
                  </w:r>
                </w:p>
              </w:tc>
            </w:tr>
            <w:tr w14:paraId="595033CB">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82" w:type="pct"/>
                  <w:tcBorders>
                    <w:tl2br w:val="nil"/>
                    <w:tr2bl w:val="nil"/>
                  </w:tcBorders>
                  <w:noWrap w:val="0"/>
                  <w:vAlign w:val="center"/>
                </w:tcPr>
                <w:p w14:paraId="2102CD1B">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厂界昼间</w:t>
                  </w:r>
                  <w:r>
                    <w:rPr>
                      <w:rFonts w:hint="eastAsia" w:cs="Times New Roman"/>
                      <w:color w:val="auto"/>
                      <w:sz w:val="21"/>
                      <w:szCs w:val="21"/>
                      <w:highlight w:val="none"/>
                      <w:lang w:val="en-US" w:eastAsia="zh-CN"/>
                    </w:rPr>
                    <w:t>等效声级</w:t>
                  </w:r>
                </w:p>
              </w:tc>
              <w:tc>
                <w:tcPr>
                  <w:tcW w:w="1309" w:type="pct"/>
                  <w:tcBorders>
                    <w:tl2br w:val="nil"/>
                    <w:tr2bl w:val="nil"/>
                  </w:tcBorders>
                  <w:noWrap w:val="0"/>
                  <w:vAlign w:val="center"/>
                </w:tcPr>
                <w:p w14:paraId="108B8F58">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四方向厂界外1m</w:t>
                  </w:r>
                </w:p>
              </w:tc>
              <w:tc>
                <w:tcPr>
                  <w:tcW w:w="1535" w:type="pct"/>
                  <w:tcBorders>
                    <w:tl2br w:val="nil"/>
                    <w:tr2bl w:val="nil"/>
                  </w:tcBorders>
                  <w:noWrap w:val="0"/>
                  <w:vAlign w:val="center"/>
                </w:tcPr>
                <w:p w14:paraId="494380DB">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每季度开展一次监测</w:t>
                  </w:r>
                </w:p>
              </w:tc>
              <w:tc>
                <w:tcPr>
                  <w:tcW w:w="772" w:type="pct"/>
                  <w:tcBorders>
                    <w:tl2br w:val="nil"/>
                    <w:tr2bl w:val="nil"/>
                  </w:tcBorders>
                  <w:noWrap w:val="0"/>
                  <w:vAlign w:val="center"/>
                </w:tcPr>
                <w:p w14:paraId="78E2655D">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昼间</w:t>
                  </w:r>
                  <w:r>
                    <w:rPr>
                      <w:rFonts w:hint="eastAsia" w:ascii="Times New Roman" w:hAnsi="Times New Roman" w:eastAsia="宋体" w:cs="Times New Roman"/>
                      <w:color w:val="auto"/>
                      <w:sz w:val="21"/>
                      <w:szCs w:val="21"/>
                      <w:highlight w:val="none"/>
                      <w:lang w:val="en-US" w:eastAsia="zh-CN"/>
                    </w:rPr>
                    <w:t>Leq</w:t>
                  </w:r>
                </w:p>
              </w:tc>
            </w:tr>
            <w:tr w14:paraId="6C408B2E">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82" w:type="pct"/>
                  <w:tcBorders>
                    <w:tl2br w:val="nil"/>
                    <w:tr2bl w:val="nil"/>
                  </w:tcBorders>
                  <w:shd w:val="clear" w:color="auto" w:fill="auto"/>
                  <w:noWrap w:val="0"/>
                  <w:vAlign w:val="center"/>
                </w:tcPr>
                <w:p w14:paraId="79455EB5">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厂界</w:t>
                  </w:r>
                  <w:r>
                    <w:rPr>
                      <w:rFonts w:hint="eastAsia" w:cs="Times New Roman"/>
                      <w:color w:val="auto"/>
                      <w:sz w:val="21"/>
                      <w:szCs w:val="21"/>
                      <w:highlight w:val="none"/>
                      <w:lang w:val="en-US" w:eastAsia="zh-CN"/>
                    </w:rPr>
                    <w:t>夜</w:t>
                  </w:r>
                  <w:r>
                    <w:rPr>
                      <w:rFonts w:hint="default" w:ascii="Times New Roman" w:hAnsi="Times New Roman" w:cs="Times New Roman"/>
                      <w:color w:val="auto"/>
                      <w:sz w:val="21"/>
                      <w:szCs w:val="21"/>
                      <w:highlight w:val="none"/>
                    </w:rPr>
                    <w:t>间</w:t>
                  </w:r>
                  <w:r>
                    <w:rPr>
                      <w:rFonts w:hint="eastAsia" w:cs="Times New Roman"/>
                      <w:color w:val="auto"/>
                      <w:sz w:val="21"/>
                      <w:szCs w:val="21"/>
                      <w:highlight w:val="none"/>
                      <w:lang w:val="en-US" w:eastAsia="zh-CN"/>
                    </w:rPr>
                    <w:t>等效声级</w:t>
                  </w:r>
                </w:p>
              </w:tc>
              <w:tc>
                <w:tcPr>
                  <w:tcW w:w="1309" w:type="pct"/>
                  <w:tcBorders>
                    <w:tl2br w:val="nil"/>
                    <w:tr2bl w:val="nil"/>
                  </w:tcBorders>
                  <w:shd w:val="clear" w:color="auto" w:fill="auto"/>
                  <w:noWrap w:val="0"/>
                  <w:vAlign w:val="center"/>
                </w:tcPr>
                <w:p w14:paraId="1B66700B">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四方向厂界外1m</w:t>
                  </w:r>
                </w:p>
              </w:tc>
              <w:tc>
                <w:tcPr>
                  <w:tcW w:w="1535" w:type="pct"/>
                  <w:tcBorders>
                    <w:tl2br w:val="nil"/>
                    <w:tr2bl w:val="nil"/>
                  </w:tcBorders>
                  <w:shd w:val="clear" w:color="auto" w:fill="auto"/>
                  <w:noWrap w:val="0"/>
                  <w:vAlign w:val="center"/>
                </w:tcPr>
                <w:p w14:paraId="2970D3A3">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每季度开展一次监测</w:t>
                  </w:r>
                </w:p>
              </w:tc>
              <w:tc>
                <w:tcPr>
                  <w:tcW w:w="772" w:type="pct"/>
                  <w:tcBorders>
                    <w:tl2br w:val="nil"/>
                    <w:tr2bl w:val="nil"/>
                  </w:tcBorders>
                  <w:shd w:val="clear" w:color="auto" w:fill="auto"/>
                  <w:noWrap w:val="0"/>
                  <w:vAlign w:val="center"/>
                </w:tcPr>
                <w:p w14:paraId="5A10FB36">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夜间</w:t>
                  </w:r>
                  <w:r>
                    <w:rPr>
                      <w:rFonts w:hint="eastAsia" w:ascii="Times New Roman" w:hAnsi="Times New Roman" w:eastAsia="宋体" w:cs="Times New Roman"/>
                      <w:color w:val="auto"/>
                      <w:sz w:val="21"/>
                      <w:szCs w:val="21"/>
                      <w:highlight w:val="none"/>
                      <w:lang w:val="en-US" w:eastAsia="zh-CN"/>
                    </w:rPr>
                    <w:t>Leq</w:t>
                  </w:r>
                </w:p>
              </w:tc>
            </w:tr>
            <w:tr w14:paraId="4A9B60FC">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82" w:type="pct"/>
                  <w:tcBorders>
                    <w:tl2br w:val="nil"/>
                    <w:tr2bl w:val="nil"/>
                  </w:tcBorders>
                  <w:shd w:val="clear" w:color="auto" w:fill="auto"/>
                  <w:noWrap w:val="0"/>
                  <w:vAlign w:val="center"/>
                </w:tcPr>
                <w:p w14:paraId="727CA2D8">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夜间最大A声级</w:t>
                  </w:r>
                </w:p>
              </w:tc>
              <w:tc>
                <w:tcPr>
                  <w:tcW w:w="1309" w:type="pct"/>
                  <w:tcBorders>
                    <w:tl2br w:val="nil"/>
                    <w:tr2bl w:val="nil"/>
                  </w:tcBorders>
                  <w:shd w:val="clear" w:color="auto" w:fill="auto"/>
                  <w:noWrap w:val="0"/>
                  <w:vAlign w:val="center"/>
                </w:tcPr>
                <w:p w14:paraId="5977D641">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四方向厂界外1m</w:t>
                  </w:r>
                </w:p>
              </w:tc>
              <w:tc>
                <w:tcPr>
                  <w:tcW w:w="1535" w:type="pct"/>
                  <w:tcBorders>
                    <w:tl2br w:val="nil"/>
                    <w:tr2bl w:val="nil"/>
                  </w:tcBorders>
                  <w:shd w:val="clear" w:color="auto" w:fill="auto"/>
                  <w:noWrap w:val="0"/>
                  <w:vAlign w:val="center"/>
                </w:tcPr>
                <w:p w14:paraId="2B2431E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频发噪声、偶发噪声</w:t>
                  </w:r>
                </w:p>
                <w:p w14:paraId="7903063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在发生时进行监测。</w:t>
                  </w:r>
                </w:p>
              </w:tc>
              <w:tc>
                <w:tcPr>
                  <w:tcW w:w="772" w:type="pct"/>
                  <w:tcBorders>
                    <w:tl2br w:val="nil"/>
                    <w:tr2bl w:val="nil"/>
                  </w:tcBorders>
                  <w:shd w:val="clear" w:color="auto" w:fill="auto"/>
                  <w:noWrap w:val="0"/>
                  <w:vAlign w:val="center"/>
                </w:tcPr>
                <w:p w14:paraId="34A44DB7">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Lmax</w:t>
                  </w:r>
                </w:p>
              </w:tc>
            </w:tr>
          </w:tbl>
          <w:p w14:paraId="44E73993">
            <w:pPr>
              <w:keepNext w:val="0"/>
              <w:keepLines w:val="0"/>
              <w:pageBreakBefore w:val="0"/>
              <w:widowControl w:val="0"/>
              <w:numPr>
                <w:ilvl w:val="0"/>
                <w:numId w:val="29"/>
              </w:numPr>
              <w:kinsoku/>
              <w:wordWrap/>
              <w:overflowPunct/>
              <w:topLinePunct w:val="0"/>
              <w:autoSpaceDE/>
              <w:autoSpaceDN/>
              <w:bidi w:val="0"/>
              <w:adjustRightInd w:val="0"/>
              <w:snapToGrid/>
              <w:spacing w:line="360" w:lineRule="auto"/>
              <w:ind w:left="0" w:leftChars="0" w:firstLine="420" w:firstLineChars="0"/>
              <w:jc w:val="left"/>
              <w:textAlignment w:val="auto"/>
              <w:rPr>
                <w:rFonts w:hint="eastAsia" w:ascii="Times New Roman" w:hAnsi="Times New Roman" w:eastAsia="宋体" w:cs="Times New Roman"/>
                <w:b/>
                <w:bCs/>
                <w:color w:val="auto"/>
                <w:sz w:val="24"/>
                <w:szCs w:val="24"/>
                <w:highlight w:val="none"/>
                <w:lang w:eastAsia="zh-CN"/>
              </w:rPr>
            </w:pPr>
            <w:r>
              <w:rPr>
                <w:rFonts w:hint="eastAsia" w:ascii="Times New Roman" w:hAnsi="Times New Roman" w:eastAsia="宋体" w:cs="Times New Roman"/>
                <w:b/>
                <w:bCs/>
                <w:color w:val="auto"/>
                <w:sz w:val="24"/>
                <w:szCs w:val="24"/>
                <w:highlight w:val="none"/>
                <w:lang w:eastAsia="zh-CN"/>
              </w:rPr>
              <w:t>固体废物</w:t>
            </w:r>
          </w:p>
          <w:p w14:paraId="582E2FB9">
            <w:pPr>
              <w:pStyle w:val="5"/>
              <w:spacing w:before="0" w:beforeAutospacing="0" w:after="0" w:line="360" w:lineRule="auto"/>
              <w:ind w:firstLine="480"/>
              <w:jc w:val="both"/>
              <w:rPr>
                <w:rFonts w:hint="eastAsia" w:eastAsiaTheme="minorEastAsia"/>
                <w:color w:val="auto"/>
                <w:kern w:val="0"/>
                <w:sz w:val="24"/>
                <w:lang w:val="en-US" w:eastAsia="zh-CN"/>
              </w:rPr>
            </w:pPr>
            <w:r>
              <w:rPr>
                <w:rFonts w:hint="eastAsia" w:eastAsiaTheme="minorEastAsia"/>
                <w:color w:val="auto"/>
                <w:kern w:val="0"/>
                <w:sz w:val="24"/>
                <w:lang w:val="en-US" w:eastAsia="zh-CN"/>
              </w:rPr>
              <w:t>项目固废为收集贮存过程产生的废抹布手套，废气治理设施产生的废活性炭，以及职工生活垃圾。</w:t>
            </w:r>
          </w:p>
          <w:p w14:paraId="41CA579D">
            <w:pPr>
              <w:pStyle w:val="5"/>
              <w:keepNext w:val="0"/>
              <w:keepLines w:val="0"/>
              <w:pageBreakBefore w:val="0"/>
              <w:widowControl/>
              <w:numPr>
                <w:ilvl w:val="0"/>
                <w:numId w:val="33"/>
              </w:numPr>
              <w:kinsoku/>
              <w:wordWrap/>
              <w:overflowPunct/>
              <w:topLinePunct w:val="0"/>
              <w:autoSpaceDE/>
              <w:autoSpaceDN/>
              <w:bidi w:val="0"/>
              <w:adjustRightInd/>
              <w:snapToGrid/>
              <w:spacing w:before="0" w:beforeAutospacing="0" w:after="0" w:line="360" w:lineRule="auto"/>
              <w:ind w:left="0" w:leftChars="0" w:firstLine="425" w:firstLineChars="0"/>
              <w:jc w:val="both"/>
              <w:textAlignment w:val="auto"/>
              <w:rPr>
                <w:rFonts w:hint="default" w:ascii="Times New Roman" w:hAnsi="Times New Roman" w:cs="Times New Roman" w:eastAsiaTheme="minorEastAsia"/>
                <w:color w:val="auto"/>
                <w:kern w:val="0"/>
                <w:sz w:val="24"/>
                <w:lang w:val="en-US" w:eastAsia="zh-CN"/>
              </w:rPr>
            </w:pPr>
            <w:r>
              <w:rPr>
                <w:rFonts w:hint="default" w:ascii="Times New Roman" w:hAnsi="Times New Roman" w:cs="Times New Roman" w:eastAsiaTheme="minorEastAsia"/>
                <w:color w:val="auto"/>
                <w:kern w:val="0"/>
                <w:sz w:val="24"/>
                <w:lang w:val="en-US" w:eastAsia="zh-CN"/>
              </w:rPr>
              <w:t>废抹布手套</w:t>
            </w:r>
          </w:p>
          <w:p w14:paraId="2C9AF8AD">
            <w:pPr>
              <w:pStyle w:val="5"/>
              <w:spacing w:before="0" w:beforeAutospacing="0" w:after="0" w:line="360" w:lineRule="auto"/>
              <w:ind w:firstLine="480"/>
              <w:jc w:val="both"/>
              <w:rPr>
                <w:rFonts w:hint="default" w:ascii="Times New Roman" w:hAnsi="Times New Roman" w:cs="Times New Roman" w:eastAsiaTheme="minorEastAsia"/>
                <w:color w:val="auto"/>
                <w:kern w:val="0"/>
                <w:sz w:val="24"/>
                <w:lang w:val="en-US" w:eastAsia="zh-CN"/>
              </w:rPr>
            </w:pPr>
            <w:r>
              <w:rPr>
                <w:rFonts w:hint="default" w:ascii="Times New Roman" w:hAnsi="Times New Roman" w:cs="Times New Roman" w:eastAsiaTheme="minorEastAsia"/>
                <w:color w:val="auto"/>
                <w:kern w:val="0"/>
                <w:sz w:val="24"/>
                <w:lang w:val="en-US" w:eastAsia="zh-CN"/>
              </w:rPr>
              <w:t>项目危险废物装卸、贮存过程</w:t>
            </w:r>
            <w:r>
              <w:rPr>
                <w:rFonts w:hint="default" w:ascii="Times New Roman" w:hAnsi="Times New Roman" w:cs="Times New Roman"/>
                <w:color w:val="auto"/>
                <w:sz w:val="24"/>
                <w:lang w:val="en-US" w:eastAsia="zh-CN"/>
              </w:rPr>
              <w:t>会用抹布擦拭地面、手套</w:t>
            </w:r>
            <w:r>
              <w:rPr>
                <w:rFonts w:hint="eastAsia" w:ascii="Times New Roman" w:cs="Times New Roman"/>
                <w:color w:val="auto"/>
                <w:sz w:val="24"/>
                <w:lang w:val="en-US" w:eastAsia="zh-CN"/>
              </w:rPr>
              <w:t>擦拭</w:t>
            </w:r>
            <w:r>
              <w:rPr>
                <w:rFonts w:hint="default" w:ascii="Times New Roman" w:hAnsi="Times New Roman" w:cs="Times New Roman"/>
                <w:color w:val="auto"/>
                <w:sz w:val="24"/>
                <w:lang w:val="en-US" w:eastAsia="zh-CN"/>
              </w:rPr>
              <w:t>包装物表面，</w:t>
            </w:r>
            <w:r>
              <w:rPr>
                <w:rFonts w:hint="default" w:ascii="Times New Roman" w:hAnsi="Times New Roman" w:cs="Times New Roman" w:eastAsiaTheme="minorEastAsia"/>
                <w:color w:val="auto"/>
                <w:kern w:val="0"/>
                <w:sz w:val="24"/>
                <w:lang w:val="en-US" w:eastAsia="zh-CN"/>
              </w:rPr>
              <w:t>产生的废抹布</w:t>
            </w:r>
            <w:r>
              <w:rPr>
                <w:rFonts w:hint="eastAsia" w:ascii="Times New Roman" w:cs="Times New Roman" w:eastAsiaTheme="minorEastAsia"/>
                <w:color w:val="auto"/>
                <w:kern w:val="0"/>
                <w:sz w:val="24"/>
                <w:lang w:val="en-US" w:eastAsia="zh-CN"/>
              </w:rPr>
              <w:t>、</w:t>
            </w:r>
            <w:r>
              <w:rPr>
                <w:rFonts w:hint="default" w:ascii="Times New Roman" w:hAnsi="Times New Roman" w:cs="Times New Roman" w:eastAsiaTheme="minorEastAsia"/>
                <w:color w:val="auto"/>
                <w:kern w:val="0"/>
                <w:sz w:val="24"/>
                <w:lang w:val="en-US" w:eastAsia="zh-CN"/>
              </w:rPr>
              <w:t>手套，可能沾染有废酸、废碱、废矿物油等，属于《国家危险废物名录</w:t>
            </w:r>
            <w:r>
              <w:rPr>
                <w:rFonts w:hint="eastAsia" w:ascii="Times New Roman" w:cs="Times New Roman" w:eastAsiaTheme="minorEastAsia"/>
                <w:color w:val="auto"/>
                <w:kern w:val="0"/>
                <w:sz w:val="24"/>
                <w:lang w:val="en-US" w:eastAsia="zh-CN"/>
              </w:rPr>
              <w:t>（</w:t>
            </w:r>
            <w:r>
              <w:rPr>
                <w:rFonts w:hint="default" w:ascii="Times New Roman" w:hAnsi="Times New Roman" w:cs="Times New Roman" w:eastAsiaTheme="minorEastAsia"/>
                <w:color w:val="auto"/>
                <w:kern w:val="0"/>
                <w:sz w:val="24"/>
                <w:lang w:val="en-US" w:eastAsia="zh-CN"/>
              </w:rPr>
              <w:t>2021年版</w:t>
            </w:r>
            <w:r>
              <w:rPr>
                <w:rFonts w:hint="eastAsia" w:ascii="Times New Roman" w:cs="Times New Roman" w:eastAsiaTheme="minorEastAsia"/>
                <w:color w:val="auto"/>
                <w:kern w:val="0"/>
                <w:sz w:val="24"/>
                <w:lang w:val="en-US" w:eastAsia="zh-CN"/>
              </w:rPr>
              <w:t>）</w:t>
            </w:r>
            <w:r>
              <w:rPr>
                <w:rFonts w:hint="default" w:ascii="Times New Roman" w:hAnsi="Times New Roman" w:cs="Times New Roman" w:eastAsiaTheme="minorEastAsia"/>
                <w:color w:val="auto"/>
                <w:kern w:val="0"/>
                <w:sz w:val="24"/>
                <w:lang w:val="en-US" w:eastAsia="zh-CN"/>
              </w:rPr>
              <w:t>》中的“HW49其他废物900-041-49含有或沾染毒性、感染性危险废物的废弃包装物、容器、过滤吸附介质”，类比现有项目产生量预计为0.01t/a。收集后暂存于相应的危险废物贮存区，委托给有资质单位利用处置。</w:t>
            </w:r>
          </w:p>
          <w:p w14:paraId="57BF7218">
            <w:pPr>
              <w:pStyle w:val="5"/>
              <w:keepNext w:val="0"/>
              <w:keepLines w:val="0"/>
              <w:pageBreakBefore w:val="0"/>
              <w:widowControl/>
              <w:numPr>
                <w:ilvl w:val="0"/>
                <w:numId w:val="33"/>
              </w:numPr>
              <w:kinsoku/>
              <w:wordWrap/>
              <w:overflowPunct/>
              <w:topLinePunct w:val="0"/>
              <w:autoSpaceDE/>
              <w:autoSpaceDN/>
              <w:bidi w:val="0"/>
              <w:adjustRightInd/>
              <w:snapToGrid/>
              <w:spacing w:before="0" w:beforeAutospacing="0" w:after="0" w:line="360" w:lineRule="auto"/>
              <w:ind w:left="0" w:leftChars="0" w:firstLine="425" w:firstLineChars="0"/>
              <w:jc w:val="both"/>
              <w:textAlignment w:val="auto"/>
              <w:rPr>
                <w:rFonts w:hint="default" w:ascii="Times New Roman" w:hAnsi="Times New Roman" w:cs="Times New Roman" w:eastAsiaTheme="minorEastAsia"/>
                <w:color w:val="auto"/>
                <w:kern w:val="0"/>
                <w:sz w:val="24"/>
                <w:lang w:val="en-US" w:eastAsia="zh-CN"/>
              </w:rPr>
            </w:pPr>
            <w:r>
              <w:rPr>
                <w:rFonts w:hint="default" w:ascii="Times New Roman" w:hAnsi="Times New Roman" w:cs="Times New Roman" w:eastAsiaTheme="minorEastAsia"/>
                <w:color w:val="auto"/>
                <w:kern w:val="0"/>
                <w:sz w:val="24"/>
                <w:lang w:val="en-US" w:eastAsia="zh-CN"/>
              </w:rPr>
              <w:t>废活性炭</w:t>
            </w:r>
          </w:p>
          <w:p w14:paraId="07D0DF42">
            <w:pPr>
              <w:pStyle w:val="5"/>
              <w:spacing w:before="0" w:beforeAutospacing="0" w:after="0" w:line="360" w:lineRule="auto"/>
              <w:ind w:firstLine="480"/>
              <w:jc w:val="both"/>
              <w:rPr>
                <w:rFonts w:hint="default" w:ascii="Times New Roman" w:hAnsi="Times New Roman" w:cs="Times New Roman" w:eastAsiaTheme="minorEastAsia"/>
                <w:color w:val="auto"/>
                <w:kern w:val="0"/>
                <w:sz w:val="24"/>
                <w:lang w:val="en-US" w:eastAsia="zh-CN"/>
              </w:rPr>
            </w:pPr>
            <w:r>
              <w:rPr>
                <w:rFonts w:hint="default" w:ascii="Times New Roman" w:hAnsi="Times New Roman" w:cs="Times New Roman"/>
                <w:color w:val="auto"/>
                <w:sz w:val="24"/>
                <w:lang w:val="en-US" w:eastAsia="zh-CN"/>
              </w:rPr>
              <w:t>项目搬迁前后收集范围、经营规模、收集的废物类别等均不发生变化，仍采用活性炭吸附工艺处理贮存废气，类比现有项目产排情况，活性炭一年一换，每次更换量为</w:t>
            </w:r>
            <w:r>
              <w:rPr>
                <w:rFonts w:hint="eastAsia" w:ascii="Times New Roman" w:cs="Times New Roman"/>
                <w:color w:val="auto"/>
                <w:sz w:val="24"/>
                <w:lang w:val="en-US" w:eastAsia="zh-CN"/>
              </w:rPr>
              <w:t>8</w:t>
            </w:r>
            <w:r>
              <w:rPr>
                <w:rFonts w:hint="default" w:ascii="Times New Roman" w:hAnsi="Times New Roman" w:cs="Times New Roman"/>
                <w:color w:val="auto"/>
                <w:sz w:val="24"/>
                <w:lang w:val="en-US" w:eastAsia="zh-CN"/>
              </w:rPr>
              <w:t xml:space="preserve">0kg，属于危险废物，危废编号为HW49，废物代码为900-039-49 </w:t>
            </w:r>
            <w:r>
              <w:rPr>
                <w:rFonts w:hint="eastAsia" w:ascii="Times New Roman" w:cs="Times New Roman"/>
                <w:color w:val="auto"/>
                <w:sz w:val="24"/>
                <w:lang w:val="en-US" w:eastAsia="zh-CN"/>
              </w:rPr>
              <w:t>VOCs（以非甲烷总烃计）</w:t>
            </w:r>
            <w:r>
              <w:rPr>
                <w:rFonts w:hint="default" w:ascii="Times New Roman" w:hAnsi="Times New Roman" w:cs="Times New Roman"/>
                <w:color w:val="auto"/>
                <w:sz w:val="24"/>
                <w:lang w:val="en-US" w:eastAsia="zh-CN"/>
              </w:rPr>
              <w:t>治理过程产生的废活性炭，在贮存库内暂存后，委托相关资质单位处理。</w:t>
            </w:r>
          </w:p>
          <w:p w14:paraId="623F7681">
            <w:pPr>
              <w:pStyle w:val="5"/>
              <w:keepNext w:val="0"/>
              <w:keepLines w:val="0"/>
              <w:pageBreakBefore w:val="0"/>
              <w:widowControl/>
              <w:numPr>
                <w:ilvl w:val="0"/>
                <w:numId w:val="33"/>
              </w:numPr>
              <w:kinsoku/>
              <w:wordWrap/>
              <w:overflowPunct/>
              <w:topLinePunct w:val="0"/>
              <w:autoSpaceDE/>
              <w:autoSpaceDN/>
              <w:bidi w:val="0"/>
              <w:adjustRightInd/>
              <w:snapToGrid/>
              <w:spacing w:before="0" w:beforeAutospacing="0" w:after="0" w:line="360" w:lineRule="auto"/>
              <w:ind w:left="0" w:leftChars="0" w:firstLine="425" w:firstLineChars="0"/>
              <w:jc w:val="both"/>
              <w:textAlignment w:val="auto"/>
              <w:rPr>
                <w:rFonts w:hint="default" w:ascii="Times New Roman" w:hAnsi="Times New Roman" w:cs="Times New Roman" w:eastAsiaTheme="minorEastAsia"/>
                <w:color w:val="auto"/>
                <w:kern w:val="0"/>
                <w:sz w:val="24"/>
                <w:lang w:val="en-US" w:eastAsia="zh-CN"/>
              </w:rPr>
            </w:pPr>
            <w:r>
              <w:rPr>
                <w:rFonts w:hint="default" w:ascii="Times New Roman" w:hAnsi="Times New Roman" w:cs="Times New Roman" w:eastAsiaTheme="minorEastAsia"/>
                <w:color w:val="auto"/>
                <w:kern w:val="0"/>
                <w:sz w:val="24"/>
                <w:lang w:val="en-US" w:eastAsia="zh-CN"/>
              </w:rPr>
              <w:t>生活垃圾</w:t>
            </w:r>
          </w:p>
          <w:p w14:paraId="034A8DB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全厂职工定员5人，生活垃圾产生系数以0.5kg/（人.天）计，产生量为0.75t/a，集中收集至垃圾桶，由环卫部门定期清运。</w:t>
            </w:r>
          </w:p>
          <w:p w14:paraId="1E2A0F6F">
            <w:pPr>
              <w:keepNext w:val="0"/>
              <w:keepLines w:val="0"/>
              <w:pageBreakBefore w:val="0"/>
              <w:widowControl w:val="0"/>
              <w:numPr>
                <w:ilvl w:val="0"/>
                <w:numId w:val="31"/>
              </w:numPr>
              <w:kinsoku/>
              <w:wordWrap/>
              <w:overflowPunct/>
              <w:topLinePunct w:val="0"/>
              <w:autoSpaceDE w:val="0"/>
              <w:autoSpaceDN w:val="0"/>
              <w:bidi w:val="0"/>
              <w:adjustRightInd w:val="0"/>
              <w:snapToGrid/>
              <w:spacing w:line="360" w:lineRule="auto"/>
              <w:ind w:left="3150" w:leftChars="0" w:hanging="3110" w:firstLineChars="0"/>
              <w:jc w:val="center"/>
              <w:textAlignment w:val="auto"/>
              <w:rPr>
                <w:rFonts w:hint="default" w:ascii="宋体" w:hAnsi="宋体" w:eastAsia="宋体" w:cs="宋体"/>
                <w:b/>
                <w:bCs/>
                <w:color w:val="auto"/>
                <w:kern w:val="0"/>
                <w:sz w:val="24"/>
                <w:szCs w:val="24"/>
                <w:lang w:val="en-US" w:eastAsia="zh-CN" w:bidi="ar"/>
              </w:rPr>
            </w:pPr>
            <w:r>
              <w:rPr>
                <w:rFonts w:hint="default" w:ascii="宋体" w:hAnsi="宋体" w:eastAsia="宋体" w:cs="宋体"/>
                <w:b/>
                <w:bCs/>
                <w:color w:val="auto"/>
                <w:kern w:val="0"/>
                <w:sz w:val="24"/>
                <w:szCs w:val="24"/>
                <w:lang w:val="en-US" w:eastAsia="zh-CN" w:bidi="ar"/>
              </w:rPr>
              <w:t>项目危险废物汇总表</w:t>
            </w:r>
          </w:p>
          <w:tbl>
            <w:tblPr>
              <w:tblStyle w:val="28"/>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3"/>
              <w:gridCol w:w="829"/>
              <w:gridCol w:w="829"/>
              <w:gridCol w:w="1160"/>
              <w:gridCol w:w="845"/>
              <w:gridCol w:w="1231"/>
              <w:gridCol w:w="423"/>
              <w:gridCol w:w="731"/>
              <w:gridCol w:w="777"/>
              <w:gridCol w:w="625"/>
              <w:gridCol w:w="825"/>
            </w:tblGrid>
            <w:tr w14:paraId="114B90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3" w:type="pct"/>
                  <w:vAlign w:val="center"/>
                </w:tcPr>
                <w:p w14:paraId="539DC1F0">
                  <w:pPr>
                    <w:pStyle w:val="115"/>
                    <w:spacing w:line="240" w:lineRule="auto"/>
                    <w:ind w:firstLine="0" w:firstLineChars="0"/>
                    <w:jc w:val="center"/>
                    <w:rPr>
                      <w:rFonts w:hint="default" w:ascii="Times New Roman" w:hAnsi="Times New Roman" w:cs="Times New Roman"/>
                      <w:b/>
                      <w:bCs/>
                      <w:color w:val="auto"/>
                      <w:spacing w:val="-6"/>
                      <w:sz w:val="21"/>
                      <w:szCs w:val="21"/>
                    </w:rPr>
                  </w:pPr>
                  <w:r>
                    <w:rPr>
                      <w:rFonts w:hint="default" w:ascii="Times New Roman" w:hAnsi="Times New Roman" w:cs="Times New Roman"/>
                      <w:b/>
                      <w:bCs/>
                      <w:color w:val="auto"/>
                      <w:spacing w:val="-6"/>
                      <w:sz w:val="21"/>
                      <w:szCs w:val="21"/>
                    </w:rPr>
                    <w:t>序</w:t>
                  </w:r>
                </w:p>
                <w:p w14:paraId="6C97DF73">
                  <w:pPr>
                    <w:pStyle w:val="115"/>
                    <w:spacing w:line="240" w:lineRule="auto"/>
                    <w:ind w:firstLine="0" w:firstLineChars="0"/>
                    <w:jc w:val="center"/>
                    <w:rPr>
                      <w:rFonts w:hint="default" w:ascii="Times New Roman" w:hAnsi="Times New Roman" w:cs="Times New Roman"/>
                      <w:b/>
                      <w:bCs/>
                      <w:color w:val="auto"/>
                      <w:spacing w:val="-6"/>
                      <w:sz w:val="21"/>
                      <w:szCs w:val="21"/>
                    </w:rPr>
                  </w:pPr>
                  <w:r>
                    <w:rPr>
                      <w:rFonts w:hint="default" w:ascii="Times New Roman" w:hAnsi="Times New Roman" w:cs="Times New Roman"/>
                      <w:b/>
                      <w:bCs/>
                      <w:color w:val="auto"/>
                      <w:spacing w:val="-6"/>
                      <w:sz w:val="21"/>
                      <w:szCs w:val="21"/>
                    </w:rPr>
                    <w:t>号</w:t>
                  </w:r>
                </w:p>
              </w:tc>
              <w:tc>
                <w:tcPr>
                  <w:tcW w:w="476" w:type="pct"/>
                  <w:vAlign w:val="center"/>
                </w:tcPr>
                <w:p w14:paraId="721F07BF">
                  <w:pPr>
                    <w:pStyle w:val="115"/>
                    <w:spacing w:line="240" w:lineRule="auto"/>
                    <w:ind w:firstLine="0" w:firstLineChars="0"/>
                    <w:jc w:val="center"/>
                    <w:rPr>
                      <w:rFonts w:hint="default" w:ascii="Times New Roman" w:hAnsi="Times New Roman" w:cs="Times New Roman"/>
                      <w:b/>
                      <w:bCs/>
                      <w:color w:val="auto"/>
                      <w:spacing w:val="-6"/>
                      <w:sz w:val="21"/>
                      <w:szCs w:val="21"/>
                    </w:rPr>
                  </w:pPr>
                  <w:r>
                    <w:rPr>
                      <w:rFonts w:hint="default" w:ascii="Times New Roman" w:hAnsi="Times New Roman" w:cs="Times New Roman"/>
                      <w:b/>
                      <w:bCs/>
                      <w:color w:val="auto"/>
                      <w:spacing w:val="-6"/>
                      <w:sz w:val="21"/>
                      <w:szCs w:val="21"/>
                    </w:rPr>
                    <w:t>危险废</w:t>
                  </w:r>
                </w:p>
                <w:p w14:paraId="598C9AF2">
                  <w:pPr>
                    <w:pStyle w:val="115"/>
                    <w:spacing w:line="240" w:lineRule="auto"/>
                    <w:ind w:firstLine="0" w:firstLineChars="0"/>
                    <w:jc w:val="center"/>
                    <w:rPr>
                      <w:rFonts w:hint="default" w:ascii="Times New Roman" w:hAnsi="Times New Roman" w:cs="Times New Roman"/>
                      <w:b/>
                      <w:bCs/>
                      <w:color w:val="auto"/>
                      <w:spacing w:val="-6"/>
                      <w:sz w:val="21"/>
                      <w:szCs w:val="21"/>
                    </w:rPr>
                  </w:pPr>
                  <w:r>
                    <w:rPr>
                      <w:rFonts w:hint="default" w:ascii="Times New Roman" w:hAnsi="Times New Roman" w:cs="Times New Roman"/>
                      <w:b/>
                      <w:bCs/>
                      <w:color w:val="auto"/>
                      <w:spacing w:val="-6"/>
                      <w:sz w:val="21"/>
                      <w:szCs w:val="21"/>
                    </w:rPr>
                    <w:t>物名称</w:t>
                  </w:r>
                </w:p>
              </w:tc>
              <w:tc>
                <w:tcPr>
                  <w:tcW w:w="476" w:type="pct"/>
                  <w:vAlign w:val="center"/>
                </w:tcPr>
                <w:p w14:paraId="2015118C">
                  <w:pPr>
                    <w:pStyle w:val="115"/>
                    <w:spacing w:line="240" w:lineRule="auto"/>
                    <w:ind w:firstLine="0" w:firstLineChars="0"/>
                    <w:jc w:val="center"/>
                    <w:rPr>
                      <w:rFonts w:hint="default" w:ascii="Times New Roman" w:hAnsi="Times New Roman" w:cs="Times New Roman"/>
                      <w:b/>
                      <w:bCs/>
                      <w:color w:val="auto"/>
                      <w:spacing w:val="-6"/>
                      <w:sz w:val="21"/>
                      <w:szCs w:val="21"/>
                    </w:rPr>
                  </w:pPr>
                  <w:r>
                    <w:rPr>
                      <w:rFonts w:hint="default" w:ascii="Times New Roman" w:hAnsi="Times New Roman" w:cs="Times New Roman"/>
                      <w:b/>
                      <w:bCs/>
                      <w:color w:val="auto"/>
                      <w:spacing w:val="-6"/>
                      <w:sz w:val="21"/>
                      <w:szCs w:val="21"/>
                    </w:rPr>
                    <w:t>危险废</w:t>
                  </w:r>
                </w:p>
                <w:p w14:paraId="2FB5E795">
                  <w:pPr>
                    <w:pStyle w:val="115"/>
                    <w:spacing w:line="240" w:lineRule="auto"/>
                    <w:ind w:firstLine="0" w:firstLineChars="0"/>
                    <w:jc w:val="center"/>
                    <w:rPr>
                      <w:rFonts w:hint="default" w:ascii="Times New Roman" w:hAnsi="Times New Roman" w:cs="Times New Roman"/>
                      <w:b/>
                      <w:bCs/>
                      <w:color w:val="auto"/>
                      <w:spacing w:val="-6"/>
                      <w:sz w:val="21"/>
                      <w:szCs w:val="21"/>
                    </w:rPr>
                  </w:pPr>
                  <w:r>
                    <w:rPr>
                      <w:rFonts w:hint="default" w:ascii="Times New Roman" w:hAnsi="Times New Roman" w:cs="Times New Roman"/>
                      <w:b/>
                      <w:bCs/>
                      <w:color w:val="auto"/>
                      <w:spacing w:val="-6"/>
                      <w:sz w:val="21"/>
                      <w:szCs w:val="21"/>
                    </w:rPr>
                    <w:t>物类别</w:t>
                  </w:r>
                </w:p>
              </w:tc>
              <w:tc>
                <w:tcPr>
                  <w:tcW w:w="666" w:type="pct"/>
                  <w:vAlign w:val="center"/>
                </w:tcPr>
                <w:p w14:paraId="44CD0B05">
                  <w:pPr>
                    <w:pStyle w:val="115"/>
                    <w:spacing w:line="240" w:lineRule="auto"/>
                    <w:ind w:firstLine="0" w:firstLineChars="0"/>
                    <w:jc w:val="center"/>
                    <w:rPr>
                      <w:rFonts w:hint="default" w:ascii="Times New Roman" w:hAnsi="Times New Roman" w:cs="Times New Roman"/>
                      <w:b/>
                      <w:bCs/>
                      <w:color w:val="auto"/>
                      <w:spacing w:val="-6"/>
                      <w:sz w:val="21"/>
                      <w:szCs w:val="21"/>
                    </w:rPr>
                  </w:pPr>
                  <w:r>
                    <w:rPr>
                      <w:rFonts w:hint="default" w:ascii="Times New Roman" w:hAnsi="Times New Roman" w:cs="Times New Roman"/>
                      <w:b/>
                      <w:bCs/>
                      <w:color w:val="auto"/>
                      <w:spacing w:val="-6"/>
                      <w:sz w:val="21"/>
                      <w:szCs w:val="21"/>
                    </w:rPr>
                    <w:t>危险废</w:t>
                  </w:r>
                </w:p>
                <w:p w14:paraId="1CA9AB6C">
                  <w:pPr>
                    <w:pStyle w:val="115"/>
                    <w:spacing w:line="240" w:lineRule="auto"/>
                    <w:ind w:firstLine="0" w:firstLineChars="0"/>
                    <w:jc w:val="center"/>
                    <w:rPr>
                      <w:rFonts w:hint="default" w:ascii="Times New Roman" w:hAnsi="Times New Roman" w:cs="Times New Roman"/>
                      <w:b/>
                      <w:bCs/>
                      <w:color w:val="auto"/>
                      <w:spacing w:val="-6"/>
                      <w:sz w:val="21"/>
                      <w:szCs w:val="21"/>
                    </w:rPr>
                  </w:pPr>
                  <w:r>
                    <w:rPr>
                      <w:rFonts w:hint="default" w:ascii="Times New Roman" w:hAnsi="Times New Roman" w:cs="Times New Roman"/>
                      <w:b/>
                      <w:bCs/>
                      <w:color w:val="auto"/>
                      <w:spacing w:val="-6"/>
                      <w:sz w:val="21"/>
                      <w:szCs w:val="21"/>
                    </w:rPr>
                    <w:t>物代码</w:t>
                  </w:r>
                </w:p>
              </w:tc>
              <w:tc>
                <w:tcPr>
                  <w:tcW w:w="485" w:type="pct"/>
                  <w:vAlign w:val="center"/>
                </w:tcPr>
                <w:p w14:paraId="2A58C673">
                  <w:pPr>
                    <w:pStyle w:val="115"/>
                    <w:spacing w:line="240" w:lineRule="auto"/>
                    <w:ind w:firstLine="0" w:firstLineChars="0"/>
                    <w:jc w:val="center"/>
                    <w:rPr>
                      <w:rFonts w:hint="default" w:ascii="Times New Roman" w:hAnsi="Times New Roman" w:cs="Times New Roman"/>
                      <w:b/>
                      <w:bCs/>
                      <w:color w:val="auto"/>
                      <w:spacing w:val="-6"/>
                      <w:sz w:val="21"/>
                      <w:szCs w:val="21"/>
                    </w:rPr>
                  </w:pPr>
                  <w:r>
                    <w:rPr>
                      <w:rFonts w:hint="default" w:ascii="Times New Roman" w:hAnsi="Times New Roman" w:cs="Times New Roman"/>
                      <w:b/>
                      <w:bCs/>
                      <w:color w:val="auto"/>
                      <w:spacing w:val="-6"/>
                      <w:sz w:val="21"/>
                      <w:szCs w:val="21"/>
                    </w:rPr>
                    <w:t>产量</w:t>
                  </w:r>
                </w:p>
                <w:p w14:paraId="4E6EFE28">
                  <w:pPr>
                    <w:pStyle w:val="115"/>
                    <w:spacing w:line="240" w:lineRule="auto"/>
                    <w:ind w:firstLine="0" w:firstLineChars="0"/>
                    <w:jc w:val="center"/>
                    <w:rPr>
                      <w:rFonts w:hint="default" w:ascii="Times New Roman" w:hAnsi="Times New Roman" w:cs="Times New Roman"/>
                      <w:b/>
                      <w:bCs/>
                      <w:color w:val="auto"/>
                      <w:spacing w:val="-6"/>
                      <w:sz w:val="21"/>
                      <w:szCs w:val="21"/>
                    </w:rPr>
                  </w:pPr>
                  <w:r>
                    <w:rPr>
                      <w:rFonts w:hint="default" w:ascii="Times New Roman" w:hAnsi="Times New Roman" w:cs="Times New Roman"/>
                      <w:b/>
                      <w:bCs/>
                      <w:color w:val="auto"/>
                      <w:spacing w:val="-6"/>
                      <w:sz w:val="21"/>
                      <w:szCs w:val="21"/>
                    </w:rPr>
                    <w:t>（t/a）</w:t>
                  </w:r>
                </w:p>
              </w:tc>
              <w:tc>
                <w:tcPr>
                  <w:tcW w:w="707" w:type="pct"/>
                  <w:vAlign w:val="center"/>
                </w:tcPr>
                <w:p w14:paraId="11AD3712">
                  <w:pPr>
                    <w:pStyle w:val="115"/>
                    <w:spacing w:line="240" w:lineRule="auto"/>
                    <w:ind w:firstLine="0" w:firstLineChars="0"/>
                    <w:jc w:val="center"/>
                    <w:rPr>
                      <w:rFonts w:hint="default" w:ascii="Times New Roman" w:hAnsi="Times New Roman" w:cs="Times New Roman"/>
                      <w:b/>
                      <w:bCs/>
                      <w:color w:val="auto"/>
                      <w:spacing w:val="-6"/>
                      <w:sz w:val="21"/>
                      <w:szCs w:val="21"/>
                    </w:rPr>
                  </w:pPr>
                  <w:r>
                    <w:rPr>
                      <w:rFonts w:hint="default" w:ascii="Times New Roman" w:hAnsi="Times New Roman" w:cs="Times New Roman"/>
                      <w:b/>
                      <w:bCs/>
                      <w:color w:val="auto"/>
                      <w:spacing w:val="-6"/>
                      <w:sz w:val="21"/>
                      <w:szCs w:val="21"/>
                    </w:rPr>
                    <w:t>产生工序</w:t>
                  </w:r>
                </w:p>
                <w:p w14:paraId="36F832EA">
                  <w:pPr>
                    <w:pStyle w:val="115"/>
                    <w:spacing w:line="240" w:lineRule="auto"/>
                    <w:ind w:firstLine="0" w:firstLineChars="0"/>
                    <w:jc w:val="center"/>
                    <w:rPr>
                      <w:rFonts w:hint="default" w:ascii="Times New Roman" w:hAnsi="Times New Roman" w:cs="Times New Roman"/>
                      <w:b/>
                      <w:bCs/>
                      <w:color w:val="auto"/>
                      <w:spacing w:val="-6"/>
                      <w:sz w:val="21"/>
                      <w:szCs w:val="21"/>
                    </w:rPr>
                  </w:pPr>
                  <w:r>
                    <w:rPr>
                      <w:rFonts w:hint="default" w:ascii="Times New Roman" w:hAnsi="Times New Roman" w:cs="Times New Roman"/>
                      <w:b/>
                      <w:bCs/>
                      <w:color w:val="auto"/>
                      <w:spacing w:val="-6"/>
                      <w:sz w:val="21"/>
                      <w:szCs w:val="21"/>
                    </w:rPr>
                    <w:t>及装置</w:t>
                  </w:r>
                </w:p>
              </w:tc>
              <w:tc>
                <w:tcPr>
                  <w:tcW w:w="243" w:type="pct"/>
                  <w:vAlign w:val="center"/>
                </w:tcPr>
                <w:p w14:paraId="23C5E6F7">
                  <w:pPr>
                    <w:pStyle w:val="115"/>
                    <w:spacing w:line="240" w:lineRule="auto"/>
                    <w:ind w:firstLine="0" w:firstLineChars="0"/>
                    <w:jc w:val="center"/>
                    <w:rPr>
                      <w:rFonts w:hint="default" w:ascii="Times New Roman" w:hAnsi="Times New Roman" w:cs="Times New Roman"/>
                      <w:b/>
                      <w:bCs/>
                      <w:color w:val="auto"/>
                      <w:spacing w:val="-6"/>
                      <w:sz w:val="21"/>
                      <w:szCs w:val="21"/>
                    </w:rPr>
                  </w:pPr>
                  <w:r>
                    <w:rPr>
                      <w:rFonts w:hint="default" w:ascii="Times New Roman" w:hAnsi="Times New Roman" w:cs="Times New Roman"/>
                      <w:b/>
                      <w:bCs/>
                      <w:color w:val="auto"/>
                      <w:spacing w:val="-6"/>
                      <w:sz w:val="21"/>
                      <w:szCs w:val="21"/>
                    </w:rPr>
                    <w:t>形</w:t>
                  </w:r>
                </w:p>
                <w:p w14:paraId="042FEDC6">
                  <w:pPr>
                    <w:pStyle w:val="115"/>
                    <w:spacing w:line="240" w:lineRule="auto"/>
                    <w:ind w:firstLine="0" w:firstLineChars="0"/>
                    <w:jc w:val="center"/>
                    <w:rPr>
                      <w:rFonts w:hint="default" w:ascii="Times New Roman" w:hAnsi="Times New Roman" w:cs="Times New Roman"/>
                      <w:b/>
                      <w:bCs/>
                      <w:color w:val="auto"/>
                      <w:spacing w:val="-6"/>
                      <w:sz w:val="21"/>
                      <w:szCs w:val="21"/>
                    </w:rPr>
                  </w:pPr>
                  <w:r>
                    <w:rPr>
                      <w:rFonts w:hint="default" w:ascii="Times New Roman" w:hAnsi="Times New Roman" w:cs="Times New Roman"/>
                      <w:b/>
                      <w:bCs/>
                      <w:color w:val="auto"/>
                      <w:spacing w:val="-6"/>
                      <w:sz w:val="21"/>
                      <w:szCs w:val="21"/>
                    </w:rPr>
                    <w:t>态</w:t>
                  </w:r>
                </w:p>
              </w:tc>
              <w:tc>
                <w:tcPr>
                  <w:tcW w:w="420" w:type="pct"/>
                  <w:vAlign w:val="center"/>
                </w:tcPr>
                <w:p w14:paraId="6E202A88">
                  <w:pPr>
                    <w:pStyle w:val="115"/>
                    <w:spacing w:line="240" w:lineRule="auto"/>
                    <w:ind w:firstLine="0" w:firstLineChars="0"/>
                    <w:jc w:val="center"/>
                    <w:rPr>
                      <w:rFonts w:hint="default" w:ascii="Times New Roman" w:hAnsi="Times New Roman" w:cs="Times New Roman"/>
                      <w:b/>
                      <w:bCs/>
                      <w:color w:val="auto"/>
                      <w:spacing w:val="-6"/>
                      <w:sz w:val="21"/>
                      <w:szCs w:val="21"/>
                    </w:rPr>
                  </w:pPr>
                  <w:r>
                    <w:rPr>
                      <w:rFonts w:hint="default" w:ascii="Times New Roman" w:hAnsi="Times New Roman" w:cs="Times New Roman"/>
                      <w:b/>
                      <w:bCs/>
                      <w:color w:val="auto"/>
                      <w:spacing w:val="-6"/>
                      <w:sz w:val="21"/>
                      <w:szCs w:val="21"/>
                    </w:rPr>
                    <w:t>有害</w:t>
                  </w:r>
                </w:p>
                <w:p w14:paraId="2BFE2C9A">
                  <w:pPr>
                    <w:pStyle w:val="115"/>
                    <w:spacing w:line="240" w:lineRule="auto"/>
                    <w:ind w:firstLine="0" w:firstLineChars="0"/>
                    <w:jc w:val="center"/>
                    <w:rPr>
                      <w:rFonts w:hint="default" w:ascii="Times New Roman" w:hAnsi="Times New Roman" w:cs="Times New Roman"/>
                      <w:b/>
                      <w:bCs/>
                      <w:color w:val="auto"/>
                      <w:spacing w:val="-6"/>
                      <w:sz w:val="21"/>
                      <w:szCs w:val="21"/>
                    </w:rPr>
                  </w:pPr>
                  <w:r>
                    <w:rPr>
                      <w:rFonts w:hint="default" w:ascii="Times New Roman" w:hAnsi="Times New Roman" w:cs="Times New Roman"/>
                      <w:b/>
                      <w:bCs/>
                      <w:color w:val="auto"/>
                      <w:spacing w:val="-6"/>
                      <w:sz w:val="21"/>
                      <w:szCs w:val="21"/>
                    </w:rPr>
                    <w:t>成分</w:t>
                  </w:r>
                </w:p>
              </w:tc>
              <w:tc>
                <w:tcPr>
                  <w:tcW w:w="446" w:type="pct"/>
                  <w:vAlign w:val="center"/>
                </w:tcPr>
                <w:p w14:paraId="69E39936">
                  <w:pPr>
                    <w:pStyle w:val="115"/>
                    <w:spacing w:line="240" w:lineRule="auto"/>
                    <w:ind w:firstLine="0" w:firstLineChars="0"/>
                    <w:jc w:val="center"/>
                    <w:rPr>
                      <w:rFonts w:hint="eastAsia" w:ascii="Times New Roman" w:hAnsi="Times New Roman" w:cs="Times New Roman"/>
                      <w:b/>
                      <w:bCs/>
                      <w:color w:val="auto"/>
                      <w:spacing w:val="-6"/>
                      <w:sz w:val="21"/>
                      <w:szCs w:val="21"/>
                      <w:lang w:val="en-US" w:eastAsia="zh-CN"/>
                    </w:rPr>
                  </w:pPr>
                  <w:r>
                    <w:rPr>
                      <w:rFonts w:hint="eastAsia" w:ascii="Times New Roman" w:hAnsi="Times New Roman" w:cs="Times New Roman"/>
                      <w:b/>
                      <w:bCs/>
                      <w:color w:val="auto"/>
                      <w:spacing w:val="-6"/>
                      <w:sz w:val="21"/>
                      <w:szCs w:val="21"/>
                      <w:lang w:val="en-US" w:eastAsia="zh-CN"/>
                    </w:rPr>
                    <w:t>产废</w:t>
                  </w:r>
                </w:p>
                <w:p w14:paraId="75B1FC78">
                  <w:pPr>
                    <w:pStyle w:val="115"/>
                    <w:spacing w:line="240" w:lineRule="auto"/>
                    <w:ind w:firstLine="0" w:firstLineChars="0"/>
                    <w:jc w:val="center"/>
                    <w:rPr>
                      <w:rFonts w:hint="default" w:ascii="Times New Roman" w:hAnsi="Times New Roman" w:cs="Times New Roman"/>
                      <w:b/>
                      <w:bCs/>
                      <w:color w:val="auto"/>
                      <w:spacing w:val="-6"/>
                      <w:sz w:val="21"/>
                      <w:szCs w:val="21"/>
                    </w:rPr>
                  </w:pPr>
                  <w:r>
                    <w:rPr>
                      <w:rFonts w:hint="default" w:ascii="Times New Roman" w:hAnsi="Times New Roman" w:cs="Times New Roman"/>
                      <w:b/>
                      <w:bCs/>
                      <w:color w:val="auto"/>
                      <w:spacing w:val="-6"/>
                      <w:sz w:val="21"/>
                      <w:szCs w:val="21"/>
                    </w:rPr>
                    <w:t>周期</w:t>
                  </w:r>
                </w:p>
              </w:tc>
              <w:tc>
                <w:tcPr>
                  <w:tcW w:w="359" w:type="pct"/>
                  <w:vAlign w:val="center"/>
                </w:tcPr>
                <w:p w14:paraId="538983B9">
                  <w:pPr>
                    <w:pStyle w:val="115"/>
                    <w:spacing w:line="240" w:lineRule="auto"/>
                    <w:ind w:firstLine="0" w:firstLineChars="0"/>
                    <w:jc w:val="center"/>
                    <w:rPr>
                      <w:rFonts w:hint="default" w:ascii="Times New Roman" w:hAnsi="Times New Roman" w:cs="Times New Roman"/>
                      <w:b/>
                      <w:bCs/>
                      <w:color w:val="auto"/>
                      <w:spacing w:val="-6"/>
                      <w:sz w:val="21"/>
                      <w:szCs w:val="21"/>
                    </w:rPr>
                  </w:pPr>
                  <w:r>
                    <w:rPr>
                      <w:rFonts w:hint="default" w:ascii="Times New Roman" w:hAnsi="Times New Roman" w:cs="Times New Roman"/>
                      <w:b/>
                      <w:bCs/>
                      <w:color w:val="auto"/>
                      <w:spacing w:val="-6"/>
                      <w:sz w:val="21"/>
                      <w:szCs w:val="21"/>
                    </w:rPr>
                    <w:t>危险</w:t>
                  </w:r>
                </w:p>
                <w:p w14:paraId="2C746E6F">
                  <w:pPr>
                    <w:pStyle w:val="115"/>
                    <w:spacing w:line="240" w:lineRule="auto"/>
                    <w:ind w:firstLine="0" w:firstLineChars="0"/>
                    <w:jc w:val="center"/>
                    <w:rPr>
                      <w:rFonts w:hint="default" w:ascii="Times New Roman" w:hAnsi="Times New Roman" w:cs="Times New Roman"/>
                      <w:b/>
                      <w:bCs/>
                      <w:color w:val="auto"/>
                      <w:spacing w:val="-6"/>
                      <w:sz w:val="21"/>
                      <w:szCs w:val="21"/>
                    </w:rPr>
                  </w:pPr>
                  <w:r>
                    <w:rPr>
                      <w:rFonts w:hint="default" w:ascii="Times New Roman" w:hAnsi="Times New Roman" w:cs="Times New Roman"/>
                      <w:b/>
                      <w:bCs/>
                      <w:color w:val="auto"/>
                      <w:spacing w:val="-6"/>
                      <w:sz w:val="21"/>
                      <w:szCs w:val="21"/>
                    </w:rPr>
                    <w:t>特性</w:t>
                  </w:r>
                </w:p>
              </w:tc>
              <w:tc>
                <w:tcPr>
                  <w:tcW w:w="474" w:type="pct"/>
                  <w:vAlign w:val="center"/>
                </w:tcPr>
                <w:p w14:paraId="23D7769C">
                  <w:pPr>
                    <w:pStyle w:val="115"/>
                    <w:spacing w:line="240" w:lineRule="auto"/>
                    <w:ind w:firstLine="0" w:firstLineChars="0"/>
                    <w:jc w:val="center"/>
                    <w:rPr>
                      <w:rFonts w:hint="default" w:ascii="Times New Roman" w:hAnsi="Times New Roman" w:cs="Times New Roman"/>
                      <w:b/>
                      <w:bCs/>
                      <w:color w:val="auto"/>
                      <w:spacing w:val="-6"/>
                      <w:sz w:val="21"/>
                      <w:szCs w:val="21"/>
                    </w:rPr>
                  </w:pPr>
                  <w:r>
                    <w:rPr>
                      <w:rFonts w:hint="default" w:ascii="Times New Roman" w:hAnsi="Times New Roman" w:cs="Times New Roman"/>
                      <w:b/>
                      <w:bCs/>
                      <w:color w:val="auto"/>
                      <w:spacing w:val="-6"/>
                      <w:sz w:val="21"/>
                      <w:szCs w:val="21"/>
                    </w:rPr>
                    <w:t>防治</w:t>
                  </w:r>
                </w:p>
                <w:p w14:paraId="1802FE21">
                  <w:pPr>
                    <w:pStyle w:val="115"/>
                    <w:spacing w:line="240" w:lineRule="auto"/>
                    <w:ind w:firstLine="0" w:firstLineChars="0"/>
                    <w:jc w:val="center"/>
                    <w:rPr>
                      <w:rFonts w:hint="default" w:ascii="Times New Roman" w:hAnsi="Times New Roman" w:cs="Times New Roman"/>
                      <w:b/>
                      <w:bCs/>
                      <w:color w:val="auto"/>
                      <w:spacing w:val="-6"/>
                      <w:sz w:val="21"/>
                      <w:szCs w:val="21"/>
                    </w:rPr>
                  </w:pPr>
                  <w:r>
                    <w:rPr>
                      <w:rFonts w:hint="default" w:ascii="Times New Roman" w:hAnsi="Times New Roman" w:cs="Times New Roman"/>
                      <w:b/>
                      <w:bCs/>
                      <w:color w:val="auto"/>
                      <w:spacing w:val="-6"/>
                      <w:sz w:val="21"/>
                      <w:szCs w:val="21"/>
                    </w:rPr>
                    <w:t>措施</w:t>
                  </w:r>
                </w:p>
              </w:tc>
            </w:tr>
            <w:tr w14:paraId="486614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3" w:type="pct"/>
                  <w:vAlign w:val="center"/>
                </w:tcPr>
                <w:p w14:paraId="0B30D768">
                  <w:pPr>
                    <w:pStyle w:val="115"/>
                    <w:spacing w:line="240" w:lineRule="auto"/>
                    <w:ind w:firstLine="0" w:firstLineChars="0"/>
                    <w:jc w:val="center"/>
                    <w:rPr>
                      <w:rFonts w:hint="default" w:ascii="Times New Roman" w:hAnsi="Times New Roman" w:cs="Times New Roman"/>
                      <w:color w:val="auto"/>
                      <w:spacing w:val="-6"/>
                      <w:sz w:val="21"/>
                      <w:szCs w:val="21"/>
                    </w:rPr>
                  </w:pPr>
                  <w:r>
                    <w:rPr>
                      <w:rFonts w:hint="default" w:ascii="Times New Roman" w:hAnsi="Times New Roman" w:cs="Times New Roman"/>
                      <w:color w:val="auto"/>
                      <w:spacing w:val="-6"/>
                      <w:sz w:val="21"/>
                      <w:szCs w:val="21"/>
                    </w:rPr>
                    <w:t>1</w:t>
                  </w:r>
                </w:p>
              </w:tc>
              <w:tc>
                <w:tcPr>
                  <w:tcW w:w="476" w:type="pct"/>
                  <w:shd w:val="clear" w:color="auto" w:fill="auto"/>
                  <w:vAlign w:val="center"/>
                </w:tcPr>
                <w:p w14:paraId="62163140">
                  <w:pPr>
                    <w:pStyle w:val="115"/>
                    <w:spacing w:line="240" w:lineRule="auto"/>
                    <w:ind w:firstLine="0" w:firstLineChars="0"/>
                    <w:jc w:val="center"/>
                    <w:rPr>
                      <w:rFonts w:hint="eastAsia" w:ascii="Times New Roman" w:hAnsi="Times New Roman" w:cs="Times New Roman"/>
                      <w:color w:val="auto"/>
                      <w:spacing w:val="-6"/>
                      <w:sz w:val="21"/>
                      <w:szCs w:val="21"/>
                      <w:lang w:val="en-US" w:eastAsia="zh-CN"/>
                    </w:rPr>
                  </w:pPr>
                  <w:r>
                    <w:rPr>
                      <w:rFonts w:hint="eastAsia" w:ascii="Times New Roman" w:hAnsi="Times New Roman" w:cs="Times New Roman"/>
                      <w:color w:val="auto"/>
                      <w:spacing w:val="-6"/>
                      <w:sz w:val="21"/>
                      <w:szCs w:val="21"/>
                      <w:lang w:eastAsia="zh-CN"/>
                    </w:rPr>
                    <w:t>废</w:t>
                  </w:r>
                  <w:r>
                    <w:rPr>
                      <w:rFonts w:hint="eastAsia" w:ascii="Times New Roman" w:hAnsi="Times New Roman" w:cs="Times New Roman"/>
                      <w:color w:val="auto"/>
                      <w:spacing w:val="-6"/>
                      <w:sz w:val="21"/>
                      <w:szCs w:val="21"/>
                      <w:lang w:val="en-US" w:eastAsia="zh-CN"/>
                    </w:rPr>
                    <w:t>抹布</w:t>
                  </w:r>
                </w:p>
                <w:p w14:paraId="7FDB1778">
                  <w:pPr>
                    <w:pStyle w:val="115"/>
                    <w:spacing w:line="240" w:lineRule="auto"/>
                    <w:ind w:firstLine="0" w:firstLineChars="0"/>
                    <w:jc w:val="center"/>
                    <w:rPr>
                      <w:rFonts w:hint="default" w:ascii="Times New Roman" w:hAnsi="Times New Roman" w:eastAsia="宋体" w:cs="Times New Roman"/>
                      <w:color w:val="auto"/>
                      <w:spacing w:val="-6"/>
                      <w:kern w:val="0"/>
                      <w:sz w:val="21"/>
                      <w:szCs w:val="21"/>
                      <w:lang w:val="en-US" w:eastAsia="zh-CN" w:bidi="ar-SA"/>
                    </w:rPr>
                  </w:pPr>
                  <w:r>
                    <w:rPr>
                      <w:rFonts w:hint="eastAsia" w:ascii="Times New Roman" w:hAnsi="Times New Roman" w:cs="Times New Roman"/>
                      <w:color w:val="auto"/>
                      <w:spacing w:val="-6"/>
                      <w:sz w:val="21"/>
                      <w:szCs w:val="21"/>
                      <w:lang w:val="en-US" w:eastAsia="zh-CN"/>
                    </w:rPr>
                    <w:t>手套</w:t>
                  </w:r>
                </w:p>
              </w:tc>
              <w:tc>
                <w:tcPr>
                  <w:tcW w:w="476" w:type="pct"/>
                  <w:shd w:val="clear" w:color="auto" w:fill="auto"/>
                  <w:vAlign w:val="center"/>
                </w:tcPr>
                <w:p w14:paraId="760A8DB0">
                  <w:pPr>
                    <w:pStyle w:val="115"/>
                    <w:spacing w:line="240" w:lineRule="auto"/>
                    <w:ind w:firstLine="0" w:firstLineChars="0"/>
                    <w:jc w:val="center"/>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cs="Times New Roman"/>
                      <w:color w:val="auto"/>
                      <w:spacing w:val="-6"/>
                      <w:sz w:val="21"/>
                      <w:szCs w:val="21"/>
                    </w:rPr>
                    <w:t>HW49</w:t>
                  </w:r>
                </w:p>
              </w:tc>
              <w:tc>
                <w:tcPr>
                  <w:tcW w:w="666" w:type="pct"/>
                  <w:shd w:val="clear" w:color="auto" w:fill="auto"/>
                  <w:vAlign w:val="center"/>
                </w:tcPr>
                <w:p w14:paraId="160B93E3">
                  <w:pPr>
                    <w:widowControl/>
                    <w:jc w:val="center"/>
                    <w:rPr>
                      <w:rFonts w:ascii="Times New Roman" w:hAnsi="Times New Roman" w:eastAsia="宋体" w:cs="Times New Roman"/>
                      <w:color w:val="auto"/>
                      <w:spacing w:val="-6"/>
                      <w:kern w:val="2"/>
                      <w:sz w:val="21"/>
                      <w:szCs w:val="21"/>
                      <w:lang w:val="en-US" w:eastAsia="zh-CN" w:bidi="ar-SA"/>
                    </w:rPr>
                  </w:pPr>
                  <w:r>
                    <w:rPr>
                      <w:color w:val="auto"/>
                      <w:spacing w:val="-6"/>
                      <w:sz w:val="21"/>
                      <w:szCs w:val="21"/>
                    </w:rPr>
                    <w:t>900-041-49</w:t>
                  </w:r>
                </w:p>
              </w:tc>
              <w:tc>
                <w:tcPr>
                  <w:tcW w:w="485" w:type="pct"/>
                  <w:shd w:val="clear" w:color="auto" w:fill="auto"/>
                  <w:vAlign w:val="center"/>
                </w:tcPr>
                <w:p w14:paraId="3EF5072E">
                  <w:pPr>
                    <w:pStyle w:val="115"/>
                    <w:spacing w:line="240" w:lineRule="auto"/>
                    <w:ind w:firstLine="0" w:firstLineChars="0"/>
                    <w:jc w:val="center"/>
                    <w:rPr>
                      <w:rFonts w:hint="default" w:ascii="Times New Roman" w:hAnsi="Times New Roman" w:eastAsia="宋体" w:cs="Times New Roman"/>
                      <w:color w:val="auto"/>
                      <w:spacing w:val="-6"/>
                      <w:kern w:val="0"/>
                      <w:sz w:val="21"/>
                      <w:szCs w:val="21"/>
                      <w:lang w:val="en-US" w:eastAsia="zh-CN" w:bidi="ar-SA"/>
                    </w:rPr>
                  </w:pPr>
                  <w:r>
                    <w:rPr>
                      <w:rFonts w:hint="eastAsia" w:ascii="Times New Roman" w:hAnsi="Times New Roman" w:cs="Times New Roman"/>
                      <w:color w:val="auto"/>
                      <w:spacing w:val="-6"/>
                      <w:sz w:val="21"/>
                      <w:szCs w:val="21"/>
                      <w:lang w:val="en-US" w:eastAsia="zh-CN"/>
                    </w:rPr>
                    <w:t>0.01</w:t>
                  </w:r>
                </w:p>
              </w:tc>
              <w:tc>
                <w:tcPr>
                  <w:tcW w:w="707" w:type="pct"/>
                  <w:shd w:val="clear" w:color="auto" w:fill="auto"/>
                  <w:vAlign w:val="center"/>
                </w:tcPr>
                <w:p w14:paraId="3E556502">
                  <w:pPr>
                    <w:pStyle w:val="115"/>
                    <w:spacing w:line="240" w:lineRule="auto"/>
                    <w:ind w:firstLine="0" w:firstLineChars="0"/>
                    <w:jc w:val="center"/>
                    <w:rPr>
                      <w:rFonts w:hint="default" w:ascii="Times New Roman" w:hAnsi="Times New Roman" w:eastAsia="宋体" w:cs="Times New Roman"/>
                      <w:color w:val="auto"/>
                      <w:spacing w:val="-6"/>
                      <w:kern w:val="0"/>
                      <w:sz w:val="21"/>
                      <w:szCs w:val="21"/>
                      <w:lang w:val="en-US" w:eastAsia="zh-CN" w:bidi="ar-SA"/>
                    </w:rPr>
                  </w:pPr>
                  <w:r>
                    <w:rPr>
                      <w:rFonts w:hint="eastAsia" w:ascii="Times New Roman" w:hAnsi="Times New Roman" w:cs="Times New Roman"/>
                      <w:color w:val="auto"/>
                      <w:spacing w:val="-6"/>
                      <w:sz w:val="21"/>
                      <w:szCs w:val="21"/>
                      <w:lang w:val="en-US" w:eastAsia="zh-CN"/>
                    </w:rPr>
                    <w:t>收集、贮存</w:t>
                  </w:r>
                </w:p>
              </w:tc>
              <w:tc>
                <w:tcPr>
                  <w:tcW w:w="243" w:type="pct"/>
                  <w:shd w:val="clear" w:color="auto" w:fill="auto"/>
                  <w:vAlign w:val="center"/>
                </w:tcPr>
                <w:p w14:paraId="029FA34E">
                  <w:pPr>
                    <w:pStyle w:val="115"/>
                    <w:spacing w:line="240" w:lineRule="auto"/>
                    <w:ind w:firstLine="0" w:firstLineChars="0"/>
                    <w:jc w:val="center"/>
                    <w:rPr>
                      <w:rFonts w:hint="eastAsia" w:ascii="Times New Roman" w:hAnsi="Times New Roman" w:cs="Times New Roman"/>
                      <w:color w:val="auto"/>
                      <w:spacing w:val="-6"/>
                      <w:kern w:val="0"/>
                      <w:sz w:val="21"/>
                      <w:szCs w:val="21"/>
                      <w:lang w:val="en-US" w:eastAsia="zh-CN" w:bidi="ar-SA"/>
                    </w:rPr>
                  </w:pPr>
                  <w:r>
                    <w:rPr>
                      <w:rFonts w:hint="eastAsia" w:ascii="Times New Roman" w:hAnsi="Times New Roman" w:cs="Times New Roman"/>
                      <w:color w:val="auto"/>
                      <w:spacing w:val="-6"/>
                      <w:kern w:val="0"/>
                      <w:sz w:val="21"/>
                      <w:szCs w:val="21"/>
                      <w:lang w:val="en-US" w:eastAsia="zh-CN" w:bidi="ar-SA"/>
                    </w:rPr>
                    <w:t>固</w:t>
                  </w:r>
                </w:p>
                <w:p w14:paraId="4DEC847F">
                  <w:pPr>
                    <w:pStyle w:val="115"/>
                    <w:spacing w:line="240" w:lineRule="auto"/>
                    <w:ind w:firstLine="0" w:firstLineChars="0"/>
                    <w:jc w:val="center"/>
                    <w:rPr>
                      <w:rFonts w:hint="default" w:ascii="Times New Roman" w:hAnsi="Times New Roman" w:eastAsia="宋体" w:cs="Times New Roman"/>
                      <w:color w:val="auto"/>
                      <w:spacing w:val="-6"/>
                      <w:kern w:val="0"/>
                      <w:sz w:val="21"/>
                      <w:szCs w:val="21"/>
                      <w:lang w:val="en-US" w:eastAsia="zh-CN" w:bidi="ar-SA"/>
                    </w:rPr>
                  </w:pPr>
                  <w:r>
                    <w:rPr>
                      <w:rFonts w:hint="eastAsia" w:ascii="Times New Roman" w:hAnsi="Times New Roman" w:cs="Times New Roman"/>
                      <w:color w:val="auto"/>
                      <w:spacing w:val="-6"/>
                      <w:kern w:val="0"/>
                      <w:sz w:val="21"/>
                      <w:szCs w:val="21"/>
                      <w:lang w:val="en-US" w:eastAsia="zh-CN" w:bidi="ar-SA"/>
                    </w:rPr>
                    <w:t>态</w:t>
                  </w:r>
                </w:p>
              </w:tc>
              <w:tc>
                <w:tcPr>
                  <w:tcW w:w="420" w:type="pct"/>
                  <w:shd w:val="clear" w:color="auto" w:fill="auto"/>
                  <w:vAlign w:val="center"/>
                </w:tcPr>
                <w:p w14:paraId="38CAC7A7">
                  <w:pPr>
                    <w:pStyle w:val="115"/>
                    <w:spacing w:line="240" w:lineRule="auto"/>
                    <w:ind w:firstLine="0" w:firstLineChars="0"/>
                    <w:jc w:val="center"/>
                    <w:rPr>
                      <w:rFonts w:hint="default" w:ascii="Times New Roman" w:hAnsi="Times New Roman" w:cs="Times New Roman"/>
                      <w:color w:val="auto"/>
                      <w:spacing w:val="-6"/>
                      <w:sz w:val="21"/>
                      <w:szCs w:val="21"/>
                    </w:rPr>
                  </w:pPr>
                  <w:r>
                    <w:rPr>
                      <w:rFonts w:hint="default" w:ascii="Times New Roman" w:hAnsi="Times New Roman" w:cs="Times New Roman"/>
                      <w:color w:val="auto"/>
                      <w:spacing w:val="-6"/>
                      <w:sz w:val="21"/>
                      <w:szCs w:val="21"/>
                    </w:rPr>
                    <w:t>危险</w:t>
                  </w:r>
                </w:p>
                <w:p w14:paraId="628AD55F">
                  <w:pPr>
                    <w:pStyle w:val="115"/>
                    <w:spacing w:line="240" w:lineRule="auto"/>
                    <w:ind w:firstLine="0" w:firstLineChars="0"/>
                    <w:jc w:val="center"/>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cs="Times New Roman"/>
                      <w:color w:val="auto"/>
                      <w:spacing w:val="-6"/>
                      <w:sz w:val="21"/>
                      <w:szCs w:val="21"/>
                    </w:rPr>
                    <w:t>废物</w:t>
                  </w:r>
                </w:p>
              </w:tc>
              <w:tc>
                <w:tcPr>
                  <w:tcW w:w="446" w:type="pct"/>
                  <w:shd w:val="clear" w:color="auto" w:fill="auto"/>
                  <w:vAlign w:val="center"/>
                </w:tcPr>
                <w:p w14:paraId="247BC3A3">
                  <w:pPr>
                    <w:pStyle w:val="115"/>
                    <w:spacing w:line="240" w:lineRule="auto"/>
                    <w:ind w:firstLine="0" w:firstLineChars="0"/>
                    <w:jc w:val="center"/>
                    <w:rPr>
                      <w:rFonts w:hint="default" w:ascii="Times New Roman" w:hAnsi="Times New Roman" w:eastAsia="宋体" w:cs="Times New Roman"/>
                      <w:color w:val="auto"/>
                      <w:spacing w:val="-6"/>
                      <w:kern w:val="0"/>
                      <w:sz w:val="21"/>
                      <w:szCs w:val="21"/>
                      <w:lang w:val="en-US" w:eastAsia="zh-CN" w:bidi="ar-SA"/>
                    </w:rPr>
                  </w:pPr>
                  <w:r>
                    <w:rPr>
                      <w:rFonts w:hint="eastAsia" w:ascii="Times New Roman" w:hAnsi="Times New Roman" w:cs="Times New Roman"/>
                      <w:color w:val="auto"/>
                      <w:spacing w:val="-6"/>
                      <w:sz w:val="21"/>
                      <w:szCs w:val="21"/>
                      <w:lang w:val="en-US" w:eastAsia="zh-CN"/>
                    </w:rPr>
                    <w:t>6个月</w:t>
                  </w:r>
                </w:p>
              </w:tc>
              <w:tc>
                <w:tcPr>
                  <w:tcW w:w="359" w:type="pct"/>
                  <w:shd w:val="clear" w:color="auto" w:fill="auto"/>
                  <w:vAlign w:val="center"/>
                </w:tcPr>
                <w:p w14:paraId="3A344FAF">
                  <w:pPr>
                    <w:pStyle w:val="115"/>
                    <w:spacing w:line="240" w:lineRule="auto"/>
                    <w:ind w:firstLine="0" w:firstLineChars="0"/>
                    <w:jc w:val="center"/>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cs="Times New Roman"/>
                      <w:color w:val="auto"/>
                      <w:spacing w:val="-6"/>
                      <w:sz w:val="21"/>
                      <w:szCs w:val="21"/>
                    </w:rPr>
                    <w:t>T/In</w:t>
                  </w:r>
                </w:p>
              </w:tc>
              <w:tc>
                <w:tcPr>
                  <w:tcW w:w="474" w:type="pct"/>
                  <w:vMerge w:val="restart"/>
                  <w:vAlign w:val="center"/>
                </w:tcPr>
                <w:p w14:paraId="279102FB">
                  <w:pPr>
                    <w:pStyle w:val="115"/>
                    <w:spacing w:line="240" w:lineRule="auto"/>
                    <w:ind w:firstLine="0" w:firstLineChars="0"/>
                    <w:jc w:val="center"/>
                    <w:rPr>
                      <w:rFonts w:hint="default" w:ascii="Times New Roman" w:hAnsi="Times New Roman" w:cs="Times New Roman"/>
                      <w:color w:val="auto"/>
                      <w:spacing w:val="-6"/>
                      <w:sz w:val="21"/>
                      <w:szCs w:val="21"/>
                    </w:rPr>
                  </w:pPr>
                  <w:r>
                    <w:rPr>
                      <w:rFonts w:hint="default" w:ascii="Times New Roman" w:hAnsi="Times New Roman" w:cs="Times New Roman"/>
                      <w:color w:val="auto"/>
                      <w:spacing w:val="-6"/>
                      <w:sz w:val="21"/>
                      <w:szCs w:val="21"/>
                    </w:rPr>
                    <w:t>委托有</w:t>
                  </w:r>
                </w:p>
                <w:p w14:paraId="68FB3A05">
                  <w:pPr>
                    <w:pStyle w:val="115"/>
                    <w:spacing w:line="240" w:lineRule="auto"/>
                    <w:ind w:firstLine="0" w:firstLineChars="0"/>
                    <w:jc w:val="center"/>
                    <w:rPr>
                      <w:rFonts w:hint="default" w:ascii="Times New Roman" w:hAnsi="Times New Roman" w:cs="Times New Roman"/>
                      <w:color w:val="auto"/>
                      <w:spacing w:val="-6"/>
                      <w:sz w:val="21"/>
                      <w:szCs w:val="21"/>
                    </w:rPr>
                  </w:pPr>
                  <w:r>
                    <w:rPr>
                      <w:rFonts w:hint="default" w:ascii="Times New Roman" w:hAnsi="Times New Roman" w:cs="Times New Roman"/>
                      <w:color w:val="auto"/>
                      <w:spacing w:val="-6"/>
                      <w:sz w:val="21"/>
                      <w:szCs w:val="21"/>
                    </w:rPr>
                    <w:t>相关危</w:t>
                  </w:r>
                </w:p>
                <w:p w14:paraId="1F310204">
                  <w:pPr>
                    <w:pStyle w:val="115"/>
                    <w:spacing w:line="240" w:lineRule="auto"/>
                    <w:ind w:firstLine="0" w:firstLineChars="0"/>
                    <w:jc w:val="center"/>
                    <w:rPr>
                      <w:rFonts w:hint="default" w:ascii="Times New Roman" w:hAnsi="Times New Roman" w:cs="Times New Roman"/>
                      <w:color w:val="auto"/>
                      <w:spacing w:val="-6"/>
                      <w:sz w:val="21"/>
                      <w:szCs w:val="21"/>
                    </w:rPr>
                  </w:pPr>
                  <w:r>
                    <w:rPr>
                      <w:rFonts w:hint="default" w:ascii="Times New Roman" w:hAnsi="Times New Roman" w:cs="Times New Roman"/>
                      <w:color w:val="auto"/>
                      <w:spacing w:val="-6"/>
                      <w:sz w:val="21"/>
                      <w:szCs w:val="21"/>
                    </w:rPr>
                    <w:t>废处理</w:t>
                  </w:r>
                </w:p>
                <w:p w14:paraId="72F5EF1A">
                  <w:pPr>
                    <w:pStyle w:val="115"/>
                    <w:spacing w:line="240" w:lineRule="auto"/>
                    <w:ind w:firstLine="0" w:firstLineChars="0"/>
                    <w:jc w:val="center"/>
                    <w:rPr>
                      <w:rFonts w:hint="default" w:ascii="Times New Roman" w:hAnsi="Times New Roman" w:cs="Times New Roman"/>
                      <w:color w:val="auto"/>
                      <w:spacing w:val="-6"/>
                      <w:sz w:val="21"/>
                      <w:szCs w:val="21"/>
                    </w:rPr>
                  </w:pPr>
                  <w:r>
                    <w:rPr>
                      <w:rFonts w:hint="default" w:ascii="Times New Roman" w:hAnsi="Times New Roman" w:cs="Times New Roman"/>
                      <w:color w:val="auto"/>
                      <w:spacing w:val="-6"/>
                      <w:sz w:val="21"/>
                      <w:szCs w:val="21"/>
                    </w:rPr>
                    <w:t>资质单</w:t>
                  </w:r>
                </w:p>
                <w:p w14:paraId="47D6AC88">
                  <w:pPr>
                    <w:pStyle w:val="115"/>
                    <w:spacing w:line="240" w:lineRule="auto"/>
                    <w:ind w:firstLine="0" w:firstLineChars="0"/>
                    <w:jc w:val="center"/>
                    <w:rPr>
                      <w:rFonts w:hint="eastAsia" w:ascii="Times New Roman" w:hAnsi="Times New Roman" w:eastAsia="宋体" w:cs="Times New Roman"/>
                      <w:color w:val="auto"/>
                      <w:spacing w:val="-6"/>
                      <w:sz w:val="21"/>
                      <w:szCs w:val="21"/>
                      <w:lang w:eastAsia="zh-CN"/>
                    </w:rPr>
                  </w:pPr>
                  <w:r>
                    <w:rPr>
                      <w:rFonts w:hint="default" w:ascii="Times New Roman" w:hAnsi="Times New Roman" w:cs="Times New Roman"/>
                      <w:color w:val="auto"/>
                      <w:spacing w:val="-6"/>
                      <w:sz w:val="21"/>
                      <w:szCs w:val="21"/>
                    </w:rPr>
                    <w:t>位</w:t>
                  </w:r>
                  <w:r>
                    <w:rPr>
                      <w:rFonts w:hint="eastAsia" w:ascii="Times New Roman" w:hAnsi="Times New Roman" w:cs="Times New Roman"/>
                      <w:color w:val="auto"/>
                      <w:spacing w:val="-6"/>
                      <w:sz w:val="21"/>
                      <w:szCs w:val="21"/>
                      <w:lang w:val="en-US" w:eastAsia="zh-CN"/>
                    </w:rPr>
                    <w:t>处置</w:t>
                  </w:r>
                </w:p>
              </w:tc>
            </w:tr>
            <w:tr w14:paraId="27B44C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3" w:type="pct"/>
                  <w:vAlign w:val="center"/>
                </w:tcPr>
                <w:p w14:paraId="7AF2A418">
                  <w:pPr>
                    <w:pStyle w:val="115"/>
                    <w:spacing w:line="240" w:lineRule="auto"/>
                    <w:ind w:firstLine="0" w:firstLineChars="0"/>
                    <w:jc w:val="center"/>
                    <w:rPr>
                      <w:rFonts w:hint="default" w:ascii="Times New Roman" w:hAnsi="Times New Roman" w:cs="Times New Roman"/>
                      <w:color w:val="auto"/>
                      <w:spacing w:val="-6"/>
                      <w:sz w:val="21"/>
                      <w:szCs w:val="21"/>
                    </w:rPr>
                  </w:pPr>
                  <w:r>
                    <w:rPr>
                      <w:rFonts w:hint="default" w:ascii="Times New Roman" w:hAnsi="Times New Roman" w:cs="Times New Roman"/>
                      <w:color w:val="auto"/>
                      <w:spacing w:val="-6"/>
                      <w:sz w:val="21"/>
                      <w:szCs w:val="21"/>
                    </w:rPr>
                    <w:t>2</w:t>
                  </w:r>
                </w:p>
              </w:tc>
              <w:tc>
                <w:tcPr>
                  <w:tcW w:w="476" w:type="pct"/>
                  <w:shd w:val="clear" w:color="auto" w:fill="auto"/>
                  <w:vAlign w:val="center"/>
                </w:tcPr>
                <w:p w14:paraId="30CE9CF7">
                  <w:pPr>
                    <w:pStyle w:val="115"/>
                    <w:spacing w:line="240" w:lineRule="auto"/>
                    <w:ind w:firstLine="0" w:firstLineChars="0"/>
                    <w:jc w:val="center"/>
                    <w:rPr>
                      <w:rFonts w:ascii="Times New Roman" w:hAnsi="Times New Roman" w:cs="Times New Roman"/>
                      <w:color w:val="auto"/>
                      <w:spacing w:val="-6"/>
                      <w:sz w:val="21"/>
                      <w:szCs w:val="21"/>
                    </w:rPr>
                  </w:pPr>
                  <w:r>
                    <w:rPr>
                      <w:rFonts w:ascii="Times New Roman" w:hAnsi="Times New Roman" w:cs="Times New Roman"/>
                      <w:color w:val="auto"/>
                      <w:spacing w:val="-6"/>
                      <w:sz w:val="21"/>
                      <w:szCs w:val="21"/>
                    </w:rPr>
                    <w:t>废活</w:t>
                  </w:r>
                </w:p>
                <w:p w14:paraId="7A3FBFFA">
                  <w:pPr>
                    <w:pStyle w:val="115"/>
                    <w:spacing w:line="240" w:lineRule="auto"/>
                    <w:ind w:firstLine="0" w:firstLineChars="0"/>
                    <w:jc w:val="center"/>
                    <w:rPr>
                      <w:rFonts w:hint="eastAsia" w:ascii="Times New Roman" w:hAnsi="Times New Roman" w:eastAsia="宋体" w:cs="Times New Roman"/>
                      <w:color w:val="auto"/>
                      <w:spacing w:val="-6"/>
                      <w:kern w:val="0"/>
                      <w:sz w:val="21"/>
                      <w:szCs w:val="21"/>
                      <w:lang w:val="en-US" w:eastAsia="zh-CN" w:bidi="ar-SA"/>
                    </w:rPr>
                  </w:pPr>
                  <w:r>
                    <w:rPr>
                      <w:rFonts w:ascii="Times New Roman" w:hAnsi="Times New Roman" w:cs="Times New Roman"/>
                      <w:color w:val="auto"/>
                      <w:spacing w:val="-6"/>
                      <w:sz w:val="21"/>
                      <w:szCs w:val="21"/>
                    </w:rPr>
                    <w:t>性炭</w:t>
                  </w:r>
                </w:p>
              </w:tc>
              <w:tc>
                <w:tcPr>
                  <w:tcW w:w="476" w:type="pct"/>
                  <w:shd w:val="clear" w:color="auto" w:fill="auto"/>
                  <w:vAlign w:val="center"/>
                </w:tcPr>
                <w:p w14:paraId="3FD5546E">
                  <w:pPr>
                    <w:jc w:val="center"/>
                    <w:rPr>
                      <w:rFonts w:hint="default" w:ascii="Times New Roman" w:hAnsi="Times New Roman" w:eastAsia="宋体" w:cs="Times New Roman"/>
                      <w:color w:val="auto"/>
                      <w:spacing w:val="-6"/>
                      <w:kern w:val="2"/>
                      <w:sz w:val="21"/>
                      <w:szCs w:val="21"/>
                      <w:lang w:val="en-US" w:eastAsia="zh-CN" w:bidi="ar-SA"/>
                    </w:rPr>
                  </w:pPr>
                  <w:r>
                    <w:rPr>
                      <w:color w:val="auto"/>
                      <w:spacing w:val="-6"/>
                      <w:szCs w:val="21"/>
                    </w:rPr>
                    <w:t>HW49</w:t>
                  </w:r>
                </w:p>
              </w:tc>
              <w:tc>
                <w:tcPr>
                  <w:tcW w:w="666" w:type="pct"/>
                  <w:shd w:val="clear" w:color="auto" w:fill="auto"/>
                  <w:vAlign w:val="center"/>
                </w:tcPr>
                <w:p w14:paraId="0E558665">
                  <w:pPr>
                    <w:jc w:val="center"/>
                    <w:rPr>
                      <w:rFonts w:ascii="Times New Roman" w:hAnsi="Times New Roman" w:eastAsia="宋体" w:cs="Times New Roman"/>
                      <w:color w:val="auto"/>
                      <w:spacing w:val="-6"/>
                      <w:kern w:val="2"/>
                      <w:sz w:val="21"/>
                      <w:szCs w:val="21"/>
                      <w:lang w:val="en-US" w:eastAsia="zh-CN" w:bidi="ar-SA"/>
                    </w:rPr>
                  </w:pPr>
                  <w:r>
                    <w:rPr>
                      <w:color w:val="auto"/>
                      <w:spacing w:val="-6"/>
                      <w:sz w:val="21"/>
                      <w:szCs w:val="21"/>
                    </w:rPr>
                    <w:t>900-039-49</w:t>
                  </w:r>
                </w:p>
              </w:tc>
              <w:tc>
                <w:tcPr>
                  <w:tcW w:w="485" w:type="pct"/>
                  <w:shd w:val="clear" w:color="auto" w:fill="auto"/>
                  <w:vAlign w:val="center"/>
                </w:tcPr>
                <w:p w14:paraId="31689F6C">
                  <w:pPr>
                    <w:jc w:val="center"/>
                    <w:rPr>
                      <w:rFonts w:hint="default" w:ascii="Times New Roman" w:hAnsi="Times New Roman" w:eastAsia="宋体" w:cs="Times New Roman"/>
                      <w:color w:val="auto"/>
                      <w:spacing w:val="-6"/>
                      <w:kern w:val="2"/>
                      <w:sz w:val="21"/>
                      <w:szCs w:val="21"/>
                      <w:lang w:val="en-US" w:eastAsia="zh-CN" w:bidi="ar-SA"/>
                    </w:rPr>
                  </w:pPr>
                  <w:r>
                    <w:rPr>
                      <w:rFonts w:hint="eastAsia" w:eastAsia="宋体" w:cs="Times New Roman"/>
                      <w:color w:val="auto"/>
                      <w:spacing w:val="-6"/>
                      <w:kern w:val="2"/>
                      <w:sz w:val="21"/>
                      <w:szCs w:val="21"/>
                      <w:lang w:val="en-US" w:eastAsia="zh-CN" w:bidi="ar-SA"/>
                    </w:rPr>
                    <w:t>0.0</w:t>
                  </w:r>
                  <w:r>
                    <w:rPr>
                      <w:rFonts w:hint="eastAsia" w:cs="Times New Roman"/>
                      <w:color w:val="auto"/>
                      <w:spacing w:val="-6"/>
                      <w:kern w:val="2"/>
                      <w:sz w:val="21"/>
                      <w:szCs w:val="21"/>
                      <w:lang w:val="en-US" w:eastAsia="zh-CN" w:bidi="ar-SA"/>
                    </w:rPr>
                    <w:t>8</w:t>
                  </w:r>
                </w:p>
              </w:tc>
              <w:tc>
                <w:tcPr>
                  <w:tcW w:w="707" w:type="pct"/>
                  <w:shd w:val="clear" w:color="auto" w:fill="auto"/>
                  <w:vAlign w:val="center"/>
                </w:tcPr>
                <w:p w14:paraId="222DEAFE">
                  <w:pPr>
                    <w:jc w:val="center"/>
                    <w:rPr>
                      <w:rFonts w:hint="default" w:ascii="Times New Roman" w:hAnsi="Times New Roman" w:eastAsia="宋体" w:cs="Times New Roman"/>
                      <w:color w:val="auto"/>
                      <w:spacing w:val="-6"/>
                      <w:kern w:val="2"/>
                      <w:sz w:val="21"/>
                      <w:szCs w:val="21"/>
                      <w:lang w:val="en-US" w:eastAsia="zh-CN" w:bidi="ar-SA"/>
                    </w:rPr>
                  </w:pPr>
                  <w:r>
                    <w:rPr>
                      <w:color w:val="auto"/>
                      <w:spacing w:val="-6"/>
                      <w:szCs w:val="21"/>
                    </w:rPr>
                    <w:t>废气处理</w:t>
                  </w:r>
                </w:p>
              </w:tc>
              <w:tc>
                <w:tcPr>
                  <w:tcW w:w="243" w:type="pct"/>
                  <w:shd w:val="clear" w:color="auto" w:fill="auto"/>
                  <w:vAlign w:val="center"/>
                </w:tcPr>
                <w:p w14:paraId="7DA07166">
                  <w:pPr>
                    <w:jc w:val="center"/>
                    <w:rPr>
                      <w:color w:val="auto"/>
                      <w:spacing w:val="-6"/>
                      <w:szCs w:val="21"/>
                    </w:rPr>
                  </w:pPr>
                  <w:r>
                    <w:rPr>
                      <w:color w:val="auto"/>
                      <w:spacing w:val="-6"/>
                      <w:szCs w:val="21"/>
                    </w:rPr>
                    <w:t>固</w:t>
                  </w:r>
                </w:p>
                <w:p w14:paraId="3A190FD9">
                  <w:pPr>
                    <w:jc w:val="center"/>
                    <w:rPr>
                      <w:rFonts w:hint="default" w:ascii="Times New Roman" w:hAnsi="Times New Roman" w:eastAsia="宋体" w:cs="Times New Roman"/>
                      <w:color w:val="auto"/>
                      <w:spacing w:val="-6"/>
                      <w:kern w:val="2"/>
                      <w:sz w:val="21"/>
                      <w:szCs w:val="21"/>
                      <w:lang w:val="en-US" w:eastAsia="zh-CN" w:bidi="ar-SA"/>
                    </w:rPr>
                  </w:pPr>
                  <w:r>
                    <w:rPr>
                      <w:color w:val="auto"/>
                      <w:spacing w:val="-6"/>
                      <w:szCs w:val="21"/>
                    </w:rPr>
                    <w:t>体</w:t>
                  </w:r>
                </w:p>
              </w:tc>
              <w:tc>
                <w:tcPr>
                  <w:tcW w:w="420" w:type="pct"/>
                  <w:shd w:val="clear" w:color="auto" w:fill="auto"/>
                  <w:vAlign w:val="center"/>
                </w:tcPr>
                <w:p w14:paraId="0094F09F">
                  <w:pPr>
                    <w:jc w:val="center"/>
                    <w:rPr>
                      <w:rFonts w:hint="eastAsia"/>
                      <w:color w:val="auto"/>
                      <w:spacing w:val="-6"/>
                      <w:szCs w:val="21"/>
                    </w:rPr>
                  </w:pPr>
                  <w:r>
                    <w:rPr>
                      <w:rFonts w:hint="eastAsia"/>
                      <w:color w:val="auto"/>
                      <w:spacing w:val="-6"/>
                      <w:szCs w:val="21"/>
                    </w:rPr>
                    <w:t>碳、</w:t>
                  </w:r>
                </w:p>
                <w:p w14:paraId="55FA8CEA">
                  <w:pPr>
                    <w:jc w:val="center"/>
                    <w:rPr>
                      <w:rFonts w:hint="eastAsia" w:ascii="Times New Roman" w:hAnsi="Times New Roman" w:eastAsia="宋体" w:cs="Times New Roman"/>
                      <w:color w:val="auto"/>
                      <w:spacing w:val="-6"/>
                      <w:kern w:val="2"/>
                      <w:sz w:val="21"/>
                      <w:szCs w:val="21"/>
                      <w:lang w:val="en-US" w:eastAsia="zh-CN" w:bidi="ar-SA"/>
                    </w:rPr>
                  </w:pPr>
                  <w:r>
                    <w:rPr>
                      <w:rFonts w:hint="eastAsia"/>
                      <w:color w:val="auto"/>
                      <w:spacing w:val="-6"/>
                      <w:szCs w:val="21"/>
                      <w:lang w:val="en-US" w:eastAsia="zh-CN"/>
                    </w:rPr>
                    <w:t>有机物</w:t>
                  </w:r>
                </w:p>
              </w:tc>
              <w:tc>
                <w:tcPr>
                  <w:tcW w:w="446" w:type="pct"/>
                  <w:shd w:val="clear" w:color="auto" w:fill="auto"/>
                  <w:vAlign w:val="center"/>
                </w:tcPr>
                <w:p w14:paraId="76550E70">
                  <w:pPr>
                    <w:jc w:val="center"/>
                    <w:rPr>
                      <w:rFonts w:hint="eastAsia" w:ascii="Times New Roman" w:hAnsi="Times New Roman" w:cs="Times New Roman"/>
                      <w:color w:val="auto"/>
                      <w:spacing w:val="-6"/>
                      <w:sz w:val="21"/>
                      <w:szCs w:val="21"/>
                      <w:lang w:val="en-US" w:eastAsia="zh-CN"/>
                    </w:rPr>
                  </w:pPr>
                  <w:r>
                    <w:rPr>
                      <w:rFonts w:hint="eastAsia" w:ascii="Times New Roman" w:hAnsi="Times New Roman" w:cs="Times New Roman"/>
                      <w:color w:val="auto"/>
                      <w:spacing w:val="-6"/>
                      <w:sz w:val="21"/>
                      <w:szCs w:val="21"/>
                      <w:lang w:val="en-US" w:eastAsia="zh-CN"/>
                    </w:rPr>
                    <w:t>每年</w:t>
                  </w:r>
                </w:p>
                <w:p w14:paraId="7B69BEB5">
                  <w:pPr>
                    <w:jc w:val="center"/>
                    <w:rPr>
                      <w:rFonts w:hint="default" w:ascii="Times New Roman" w:hAnsi="Times New Roman" w:eastAsia="宋体" w:cs="Times New Roman"/>
                      <w:color w:val="auto"/>
                      <w:spacing w:val="-6"/>
                      <w:kern w:val="2"/>
                      <w:sz w:val="21"/>
                      <w:szCs w:val="21"/>
                      <w:lang w:val="en-US" w:eastAsia="zh-CN" w:bidi="ar-SA"/>
                    </w:rPr>
                  </w:pPr>
                  <w:r>
                    <w:rPr>
                      <w:rFonts w:hint="eastAsia" w:ascii="Times New Roman" w:hAnsi="Times New Roman" w:cs="Times New Roman"/>
                      <w:color w:val="auto"/>
                      <w:spacing w:val="-6"/>
                      <w:sz w:val="21"/>
                      <w:szCs w:val="21"/>
                      <w:lang w:val="en-US" w:eastAsia="zh-CN"/>
                    </w:rPr>
                    <w:t>1次</w:t>
                  </w:r>
                </w:p>
              </w:tc>
              <w:tc>
                <w:tcPr>
                  <w:tcW w:w="359" w:type="pct"/>
                  <w:shd w:val="clear" w:color="auto" w:fill="auto"/>
                  <w:vAlign w:val="center"/>
                </w:tcPr>
                <w:p w14:paraId="460F7FE9">
                  <w:pPr>
                    <w:jc w:val="center"/>
                    <w:rPr>
                      <w:rFonts w:hint="default" w:ascii="Times New Roman" w:hAnsi="Times New Roman" w:eastAsia="宋体" w:cs="Times New Roman"/>
                      <w:color w:val="auto"/>
                      <w:spacing w:val="-6"/>
                      <w:kern w:val="2"/>
                      <w:sz w:val="21"/>
                      <w:szCs w:val="21"/>
                      <w:lang w:val="en-US" w:eastAsia="zh-CN" w:bidi="ar-SA"/>
                    </w:rPr>
                  </w:pPr>
                  <w:r>
                    <w:rPr>
                      <w:color w:val="auto"/>
                      <w:spacing w:val="-6"/>
                      <w:szCs w:val="21"/>
                    </w:rPr>
                    <w:t>T</w:t>
                  </w:r>
                </w:p>
              </w:tc>
              <w:tc>
                <w:tcPr>
                  <w:tcW w:w="474" w:type="pct"/>
                  <w:vMerge w:val="continue"/>
                  <w:vAlign w:val="center"/>
                </w:tcPr>
                <w:p w14:paraId="5CCBEAC8">
                  <w:pPr>
                    <w:pStyle w:val="115"/>
                    <w:spacing w:line="240" w:lineRule="auto"/>
                    <w:ind w:firstLine="0" w:firstLineChars="0"/>
                    <w:jc w:val="center"/>
                    <w:rPr>
                      <w:rFonts w:hint="default" w:ascii="Times New Roman" w:hAnsi="Times New Roman" w:cs="Times New Roman"/>
                      <w:color w:val="auto"/>
                      <w:spacing w:val="-6"/>
                      <w:sz w:val="21"/>
                      <w:szCs w:val="21"/>
                    </w:rPr>
                  </w:pPr>
                </w:p>
              </w:tc>
            </w:tr>
          </w:tbl>
          <w:p w14:paraId="545C747A">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本项目自身进行危险废物收集、暂存和转运，将根据《危险废物贮存污染控制标准》</w:t>
            </w:r>
            <w:r>
              <w:rPr>
                <w:rFonts w:hint="eastAsia" w:cs="Times New Roman"/>
                <w:color w:val="auto"/>
                <w:sz w:val="24"/>
                <w:lang w:val="en-US" w:eastAsia="zh-CN"/>
              </w:rPr>
              <w:t>（</w:t>
            </w:r>
            <w:r>
              <w:rPr>
                <w:rFonts w:hint="default" w:ascii="Times New Roman" w:hAnsi="Times New Roman" w:eastAsia="宋体" w:cs="Times New Roman"/>
                <w:color w:val="auto"/>
                <w:sz w:val="24"/>
                <w:lang w:val="en-US" w:eastAsia="zh-CN"/>
              </w:rPr>
              <w:t>GB18597-2023</w:t>
            </w:r>
            <w:r>
              <w:rPr>
                <w:rFonts w:hint="eastAsia" w:cs="Times New Roman"/>
                <w:color w:val="auto"/>
                <w:sz w:val="24"/>
                <w:lang w:val="en-US" w:eastAsia="zh-CN"/>
              </w:rPr>
              <w:t>）</w:t>
            </w:r>
            <w:r>
              <w:rPr>
                <w:rFonts w:hint="default" w:ascii="Times New Roman" w:hAnsi="Times New Roman" w:eastAsia="宋体" w:cs="Times New Roman"/>
                <w:color w:val="auto"/>
                <w:sz w:val="24"/>
                <w:lang w:val="en-US" w:eastAsia="zh-CN"/>
              </w:rPr>
              <w:t>等相关要求建设危险废物暂存库。项目营运期产生的危险废物，其类别及代码为“HW49其他废物900-039-49、900-041-49”，属于项目收集范围，暂存于相应的危险废物</w:t>
            </w:r>
            <w:r>
              <w:rPr>
                <w:rFonts w:hint="eastAsia" w:ascii="Times New Roman" w:hAnsi="Times New Roman" w:eastAsia="宋体" w:cs="Times New Roman"/>
                <w:color w:val="auto"/>
                <w:sz w:val="24"/>
                <w:lang w:val="en-US" w:eastAsia="zh-CN"/>
              </w:rPr>
              <w:t>贮存区</w:t>
            </w:r>
            <w:r>
              <w:rPr>
                <w:rFonts w:hint="default" w:ascii="Times New Roman" w:hAnsi="Times New Roman" w:eastAsia="宋体" w:cs="Times New Roman"/>
                <w:color w:val="auto"/>
                <w:sz w:val="24"/>
                <w:lang w:val="en-US" w:eastAsia="zh-CN"/>
              </w:rPr>
              <w:t>，与项目收集的危险废物一同进行管理，委托给有资质单位利用处置，不单独设置危险废物暂存间。</w:t>
            </w:r>
          </w:p>
          <w:p w14:paraId="24AEEBC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项目应</w:t>
            </w:r>
            <w:r>
              <w:rPr>
                <w:rFonts w:hint="default" w:ascii="Times New Roman" w:hAnsi="Times New Roman" w:eastAsia="宋体" w:cs="Times New Roman"/>
                <w:color w:val="auto"/>
                <w:sz w:val="24"/>
                <w:lang w:val="en-US" w:eastAsia="zh-CN"/>
              </w:rPr>
              <w:t>根据《国家危险废物名录》</w:t>
            </w:r>
            <w:r>
              <w:rPr>
                <w:rFonts w:hint="eastAsia" w:cs="Times New Roman"/>
                <w:color w:val="auto"/>
                <w:sz w:val="24"/>
                <w:lang w:val="en-US" w:eastAsia="zh-CN"/>
              </w:rPr>
              <w:t>（</w:t>
            </w:r>
            <w:r>
              <w:rPr>
                <w:rFonts w:hint="default" w:ascii="Times New Roman" w:hAnsi="Times New Roman" w:eastAsia="宋体" w:cs="Times New Roman"/>
                <w:color w:val="auto"/>
                <w:sz w:val="24"/>
                <w:lang w:val="en-US" w:eastAsia="zh-CN"/>
              </w:rPr>
              <w:t>2021版</w:t>
            </w:r>
            <w:r>
              <w:rPr>
                <w:rFonts w:hint="eastAsia" w:cs="Times New Roman"/>
                <w:color w:val="auto"/>
                <w:sz w:val="24"/>
                <w:lang w:val="en-US" w:eastAsia="zh-CN"/>
              </w:rPr>
              <w:t>）</w:t>
            </w:r>
            <w:r>
              <w:rPr>
                <w:rFonts w:hint="default" w:ascii="Times New Roman" w:hAnsi="Times New Roman" w:eastAsia="宋体" w:cs="Times New Roman"/>
                <w:color w:val="auto"/>
                <w:sz w:val="24"/>
                <w:lang w:val="en-US" w:eastAsia="zh-CN"/>
              </w:rPr>
              <w:t>、《危险废物收集贮存运输技术规范》</w:t>
            </w:r>
            <w:r>
              <w:rPr>
                <w:rFonts w:hint="eastAsia" w:cs="Times New Roman"/>
                <w:color w:val="auto"/>
                <w:sz w:val="24"/>
                <w:lang w:val="en-US" w:eastAsia="zh-CN"/>
              </w:rPr>
              <w:t>（</w:t>
            </w:r>
            <w:r>
              <w:rPr>
                <w:rFonts w:hint="default" w:ascii="Times New Roman" w:hAnsi="Times New Roman" w:eastAsia="宋体" w:cs="Times New Roman"/>
                <w:color w:val="auto"/>
                <w:sz w:val="24"/>
                <w:lang w:val="en-US" w:eastAsia="zh-CN"/>
              </w:rPr>
              <w:t>HJ2025-2012</w:t>
            </w:r>
            <w:r>
              <w:rPr>
                <w:rFonts w:hint="eastAsia" w:cs="Times New Roman"/>
                <w:color w:val="auto"/>
                <w:sz w:val="24"/>
                <w:lang w:val="en-US" w:eastAsia="zh-CN"/>
              </w:rPr>
              <w:t>）</w:t>
            </w:r>
            <w:r>
              <w:rPr>
                <w:rFonts w:hint="default" w:ascii="Times New Roman" w:hAnsi="Times New Roman" w:eastAsia="宋体" w:cs="Times New Roman"/>
                <w:color w:val="auto"/>
                <w:sz w:val="24"/>
                <w:lang w:val="en-US" w:eastAsia="zh-CN"/>
              </w:rPr>
              <w:t>、《危险废物识别标志设置技术规范》</w:t>
            </w:r>
            <w:r>
              <w:rPr>
                <w:rFonts w:hint="eastAsia" w:cs="Times New Roman"/>
                <w:color w:val="auto"/>
                <w:sz w:val="24"/>
                <w:lang w:val="en-US" w:eastAsia="zh-CN"/>
              </w:rPr>
              <w:t>（</w:t>
            </w:r>
            <w:r>
              <w:rPr>
                <w:rFonts w:hint="default" w:ascii="Times New Roman" w:hAnsi="Times New Roman" w:eastAsia="宋体" w:cs="Times New Roman"/>
                <w:color w:val="auto"/>
                <w:sz w:val="24"/>
                <w:lang w:val="en-US" w:eastAsia="zh-CN"/>
              </w:rPr>
              <w:t>HJ1276-2022</w:t>
            </w:r>
            <w:r>
              <w:rPr>
                <w:rFonts w:hint="eastAsia" w:cs="Times New Roman"/>
                <w:color w:val="auto"/>
                <w:sz w:val="24"/>
                <w:lang w:val="en-US" w:eastAsia="zh-CN"/>
              </w:rPr>
              <w:t>）</w:t>
            </w:r>
            <w:r>
              <w:rPr>
                <w:rFonts w:hint="default" w:ascii="Times New Roman" w:hAnsi="Times New Roman" w:eastAsia="宋体" w:cs="Times New Roman"/>
                <w:color w:val="auto"/>
                <w:sz w:val="24"/>
                <w:lang w:val="en-US" w:eastAsia="zh-CN"/>
              </w:rPr>
              <w:t>和《危险废物贮存污染控制标准》</w:t>
            </w:r>
            <w:r>
              <w:rPr>
                <w:rFonts w:hint="eastAsia" w:cs="Times New Roman"/>
                <w:color w:val="auto"/>
                <w:sz w:val="24"/>
                <w:lang w:val="en-US" w:eastAsia="zh-CN"/>
              </w:rPr>
              <w:t>（</w:t>
            </w:r>
            <w:r>
              <w:rPr>
                <w:rFonts w:hint="default" w:ascii="Times New Roman" w:hAnsi="Times New Roman" w:eastAsia="宋体" w:cs="Times New Roman"/>
                <w:color w:val="auto"/>
                <w:sz w:val="24"/>
                <w:lang w:val="en-US" w:eastAsia="zh-CN"/>
              </w:rPr>
              <w:t>GB18597-2023</w:t>
            </w:r>
            <w:r>
              <w:rPr>
                <w:rFonts w:hint="eastAsia" w:cs="Times New Roman"/>
                <w:color w:val="auto"/>
                <w:sz w:val="24"/>
                <w:lang w:val="en-US" w:eastAsia="zh-CN"/>
              </w:rPr>
              <w:t>）</w:t>
            </w:r>
            <w:r>
              <w:rPr>
                <w:rFonts w:hint="eastAsia" w:ascii="Times New Roman" w:hAnsi="Times New Roman" w:eastAsia="宋体" w:cs="Times New Roman"/>
                <w:color w:val="auto"/>
                <w:sz w:val="24"/>
                <w:lang w:val="en-US" w:eastAsia="zh-CN"/>
              </w:rPr>
              <w:t>、《危险废物转移管理办法》等</w:t>
            </w:r>
            <w:r>
              <w:rPr>
                <w:rFonts w:hint="default" w:ascii="Times New Roman" w:hAnsi="Times New Roman" w:eastAsia="宋体" w:cs="Times New Roman"/>
                <w:color w:val="auto"/>
                <w:sz w:val="24"/>
                <w:lang w:val="en-US" w:eastAsia="zh-CN"/>
              </w:rPr>
              <w:t>相关要求，对自身产生的危险废物及收集贮存的危险废物提出相应的管理要求。</w:t>
            </w:r>
          </w:p>
          <w:p w14:paraId="28B3D5B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在采取上述措施后，项目产生的固体废物均能得到妥善的处理，不会造成环境二次污染，对周围环境影响很小。</w:t>
            </w:r>
          </w:p>
          <w:p w14:paraId="76CBD319">
            <w:pPr>
              <w:keepNext w:val="0"/>
              <w:keepLines w:val="0"/>
              <w:pageBreakBefore w:val="0"/>
              <w:widowControl w:val="0"/>
              <w:numPr>
                <w:ilvl w:val="0"/>
                <w:numId w:val="29"/>
              </w:numPr>
              <w:kinsoku/>
              <w:wordWrap/>
              <w:overflowPunct/>
              <w:topLinePunct w:val="0"/>
              <w:autoSpaceDE/>
              <w:autoSpaceDN/>
              <w:bidi w:val="0"/>
              <w:adjustRightInd w:val="0"/>
              <w:snapToGrid/>
              <w:spacing w:line="360" w:lineRule="auto"/>
              <w:ind w:left="0" w:leftChars="0" w:firstLine="420" w:firstLineChars="0"/>
              <w:jc w:val="left"/>
              <w:textAlignment w:val="auto"/>
              <w:rPr>
                <w:rFonts w:hint="eastAsia" w:ascii="Times New Roman" w:hAnsi="Times New Roman" w:eastAsia="宋体" w:cs="Times New Roman"/>
                <w:b/>
                <w:bCs/>
                <w:color w:val="auto"/>
                <w:sz w:val="24"/>
                <w:szCs w:val="24"/>
                <w:highlight w:val="none"/>
                <w:lang w:eastAsia="zh-CN"/>
              </w:rPr>
            </w:pPr>
            <w:r>
              <w:rPr>
                <w:rFonts w:hint="eastAsia" w:cs="Times New Roman"/>
                <w:b/>
                <w:bCs/>
                <w:color w:val="auto"/>
                <w:sz w:val="24"/>
                <w:szCs w:val="24"/>
                <w:highlight w:val="none"/>
                <w:lang w:val="en-US" w:eastAsia="zh-CN"/>
              </w:rPr>
              <w:t>土壤、</w:t>
            </w:r>
            <w:r>
              <w:rPr>
                <w:rFonts w:hint="eastAsia" w:ascii="Times New Roman" w:hAnsi="Times New Roman" w:eastAsia="宋体" w:cs="Times New Roman"/>
                <w:b/>
                <w:bCs/>
                <w:color w:val="auto"/>
                <w:sz w:val="24"/>
                <w:szCs w:val="24"/>
                <w:highlight w:val="none"/>
                <w:lang w:eastAsia="zh-CN"/>
              </w:rPr>
              <w:t>地下水</w:t>
            </w:r>
          </w:p>
          <w:p w14:paraId="1605382C">
            <w:pPr>
              <w:keepNext w:val="0"/>
              <w:keepLines w:val="0"/>
              <w:widowControl/>
              <w:suppressLineNumbers w:val="0"/>
              <w:spacing w:line="360" w:lineRule="auto"/>
              <w:ind w:firstLine="482" w:firstLineChars="200"/>
              <w:jc w:val="left"/>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 xml:space="preserve">1、污染源、类型及途径 </w:t>
            </w:r>
          </w:p>
          <w:p w14:paraId="0C22AEA2">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color w:val="auto"/>
                <w:kern w:val="0"/>
                <w:sz w:val="24"/>
                <w:szCs w:val="24"/>
                <w:highlight w:val="none"/>
                <w:lang w:val="en-US" w:eastAsia="zh-CN" w:bidi="ar"/>
              </w:rPr>
            </w:pPr>
            <w:r>
              <w:rPr>
                <w:rFonts w:hint="eastAsia" w:ascii="Times New Roman" w:hAnsi="Times New Roman" w:eastAsia="宋体" w:cs="Times New Roman"/>
                <w:color w:val="auto"/>
                <w:kern w:val="0"/>
                <w:sz w:val="24"/>
                <w:szCs w:val="24"/>
                <w:highlight w:val="none"/>
                <w:lang w:val="en-US" w:eastAsia="zh-CN" w:bidi="ar"/>
              </w:rPr>
              <w:t>项目营运期可能对地下水、土壤造成污染的途径主要为：发生危险废物泄漏时，如处置不当，可能导致危险废物渗入地下水、土壤，造成污染。</w:t>
            </w:r>
          </w:p>
          <w:p w14:paraId="1725E4AD">
            <w:pPr>
              <w:keepNext w:val="0"/>
              <w:keepLines w:val="0"/>
              <w:pageBreakBefore w:val="0"/>
              <w:widowControl w:val="0"/>
              <w:numPr>
                <w:ilvl w:val="0"/>
                <w:numId w:val="34"/>
              </w:numPr>
              <w:kinsoku/>
              <w:wordWrap/>
              <w:overflowPunct/>
              <w:topLinePunct w:val="0"/>
              <w:autoSpaceDE/>
              <w:autoSpaceDN/>
              <w:bidi w:val="0"/>
              <w:adjustRightInd/>
              <w:snapToGrid/>
              <w:spacing w:line="360" w:lineRule="auto"/>
              <w:ind w:firstLine="482" w:firstLineChars="200"/>
              <w:jc w:val="left"/>
              <w:textAlignment w:val="auto"/>
              <w:rPr>
                <w:rFonts w:hint="eastAsia"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防控措施</w:t>
            </w:r>
            <w:r>
              <w:rPr>
                <w:rFonts w:hint="eastAsia" w:cs="Times New Roman"/>
                <w:b/>
                <w:bCs/>
                <w:color w:val="auto"/>
                <w:sz w:val="24"/>
                <w:szCs w:val="24"/>
                <w:lang w:val="en-US" w:eastAsia="zh-CN"/>
              </w:rPr>
              <w:t>：</w:t>
            </w:r>
          </w:p>
          <w:p w14:paraId="218E4395">
            <w:pPr>
              <w:keepNext w:val="0"/>
              <w:keepLines w:val="0"/>
              <w:pageBreakBefore w:val="0"/>
              <w:widowControl/>
              <w:numPr>
                <w:ilvl w:val="0"/>
                <w:numId w:val="35"/>
              </w:numPr>
              <w:suppressLineNumbers w:val="0"/>
              <w:kinsoku/>
              <w:wordWrap/>
              <w:overflowPunct/>
              <w:topLinePunct w:val="0"/>
              <w:autoSpaceDE/>
              <w:autoSpaceDN/>
              <w:bidi w:val="0"/>
              <w:adjustRightInd/>
              <w:snapToGrid/>
              <w:spacing w:line="360" w:lineRule="auto"/>
              <w:ind w:left="0" w:leftChars="0" w:firstLine="425" w:firstLineChars="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eastAsia" w:ascii="Times New Roman" w:hAnsi="Times New Roman" w:eastAsia="宋体" w:cs="Times New Roman"/>
                <w:color w:val="auto"/>
                <w:kern w:val="0"/>
                <w:sz w:val="24"/>
                <w:szCs w:val="24"/>
                <w:highlight w:val="none"/>
                <w:lang w:val="en-US" w:eastAsia="zh-CN" w:bidi="ar"/>
              </w:rPr>
              <w:t>源头控制</w:t>
            </w:r>
          </w:p>
          <w:p w14:paraId="60FB81D9">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color w:val="auto"/>
                <w:kern w:val="0"/>
                <w:sz w:val="24"/>
                <w:szCs w:val="24"/>
                <w:highlight w:val="none"/>
                <w:lang w:val="en-US" w:eastAsia="zh-CN" w:bidi="ar"/>
              </w:rPr>
            </w:pPr>
            <w:r>
              <w:rPr>
                <w:rFonts w:hint="eastAsia" w:ascii="Times New Roman" w:hAnsi="Times New Roman" w:eastAsia="宋体" w:cs="Times New Roman"/>
                <w:color w:val="auto"/>
                <w:kern w:val="0"/>
                <w:sz w:val="24"/>
                <w:szCs w:val="24"/>
                <w:highlight w:val="none"/>
                <w:lang w:val="en-US" w:eastAsia="zh-CN" w:bidi="ar"/>
              </w:rPr>
              <w:t>①贮存区内设置导流沟，均为明沟；地面及墙面1.5m以下均进行防腐防渗处理，贮存区配设1个收集池</w:t>
            </w:r>
            <w:r>
              <w:rPr>
                <w:rFonts w:hint="eastAsia" w:cs="Times New Roman"/>
                <w:color w:val="auto"/>
                <w:kern w:val="0"/>
                <w:sz w:val="24"/>
                <w:szCs w:val="24"/>
                <w:highlight w:val="none"/>
                <w:lang w:val="en-US" w:eastAsia="zh-CN" w:bidi="ar"/>
              </w:rPr>
              <w:t>（</w:t>
            </w:r>
            <w:r>
              <w:rPr>
                <w:rFonts w:hint="eastAsia" w:ascii="Times New Roman" w:hAnsi="Times New Roman" w:eastAsia="宋体" w:cs="Times New Roman"/>
                <w:color w:val="auto"/>
                <w:kern w:val="0"/>
                <w:sz w:val="24"/>
                <w:szCs w:val="24"/>
                <w:highlight w:val="none"/>
                <w:lang w:val="en-US" w:eastAsia="zh-CN" w:bidi="ar"/>
              </w:rPr>
              <w:t>池容1m</w:t>
            </w:r>
            <w:r>
              <w:rPr>
                <w:rFonts w:hint="eastAsia" w:ascii="Times New Roman" w:hAnsi="Times New Roman" w:eastAsia="宋体" w:cs="Times New Roman"/>
                <w:color w:val="auto"/>
                <w:kern w:val="0"/>
                <w:sz w:val="24"/>
                <w:szCs w:val="24"/>
                <w:highlight w:val="none"/>
                <w:vertAlign w:val="superscript"/>
                <w:lang w:val="en-US" w:eastAsia="zh-CN" w:bidi="ar"/>
              </w:rPr>
              <w:t>3</w:t>
            </w:r>
            <w:r>
              <w:rPr>
                <w:rFonts w:hint="eastAsia" w:cs="Times New Roman"/>
                <w:color w:val="auto"/>
                <w:kern w:val="0"/>
                <w:sz w:val="24"/>
                <w:szCs w:val="24"/>
                <w:highlight w:val="none"/>
                <w:lang w:val="en-US" w:eastAsia="zh-CN" w:bidi="ar"/>
              </w:rPr>
              <w:t>）</w:t>
            </w:r>
            <w:r>
              <w:rPr>
                <w:rFonts w:hint="eastAsia" w:ascii="Times New Roman" w:hAnsi="Times New Roman" w:eastAsia="宋体" w:cs="Times New Roman"/>
                <w:color w:val="auto"/>
                <w:kern w:val="0"/>
                <w:sz w:val="24"/>
                <w:szCs w:val="24"/>
                <w:highlight w:val="none"/>
                <w:lang w:val="en-US" w:eastAsia="zh-CN" w:bidi="ar"/>
              </w:rPr>
              <w:t>；导流沟与收集池连接，可确保各危废贮存区产生的废液能够自流进入收集池中，采用专用包装容器收集后作为危险废物暂存。</w:t>
            </w:r>
          </w:p>
          <w:p w14:paraId="39571B4C">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color w:val="auto"/>
                <w:kern w:val="0"/>
                <w:sz w:val="24"/>
                <w:szCs w:val="24"/>
                <w:highlight w:val="none"/>
                <w:lang w:val="en-US" w:eastAsia="zh-CN" w:bidi="ar"/>
              </w:rPr>
            </w:pPr>
            <w:r>
              <w:rPr>
                <w:rFonts w:hint="eastAsia" w:ascii="Times New Roman" w:hAnsi="Times New Roman" w:eastAsia="宋体" w:cs="Times New Roman"/>
                <w:color w:val="auto"/>
                <w:kern w:val="0"/>
                <w:sz w:val="24"/>
                <w:szCs w:val="24"/>
                <w:highlight w:val="none"/>
                <w:lang w:val="en-US" w:eastAsia="zh-CN" w:bidi="ar"/>
              </w:rPr>
              <w:t>②加强对贮存区收集容器的检查，一旦发现收集器破损，应立即旋紧包装盖，移动包装物将破口朝上，防止继续泄漏，转移至装卸区将未泄漏液态危废转移至完好的备用容器内。上述作业的同时，另一组作业人员立即使用抹布等清理泄漏物质。日常发现贮存区防渗层破裂，应立即进行修补。对液态贮存区加强防渗、防腐管理，做好日常检查的巡查记录，避免液态废物泄漏。</w:t>
            </w:r>
          </w:p>
          <w:p w14:paraId="2729C035">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color w:val="auto"/>
                <w:kern w:val="0"/>
                <w:sz w:val="24"/>
                <w:szCs w:val="24"/>
                <w:highlight w:val="none"/>
                <w:lang w:val="en-US" w:eastAsia="zh-CN" w:bidi="ar"/>
              </w:rPr>
            </w:pPr>
            <w:r>
              <w:rPr>
                <w:rFonts w:hint="eastAsia" w:ascii="Times New Roman" w:hAnsi="Times New Roman" w:eastAsia="宋体" w:cs="Times New Roman"/>
                <w:color w:val="auto"/>
                <w:kern w:val="0"/>
                <w:sz w:val="24"/>
                <w:szCs w:val="24"/>
                <w:highlight w:val="none"/>
                <w:lang w:val="en-US" w:eastAsia="zh-CN" w:bidi="ar"/>
              </w:rPr>
              <w:t>③应避免贮存大量的液态废物或贮存时间过长，贮存点应有足够的空间，贮存时间最长不得超过6个月。</w:t>
            </w:r>
          </w:p>
          <w:p w14:paraId="1429F5FE">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color w:val="auto"/>
                <w:kern w:val="0"/>
                <w:sz w:val="24"/>
                <w:szCs w:val="24"/>
                <w:highlight w:val="none"/>
                <w:lang w:val="en-US" w:eastAsia="zh-CN" w:bidi="ar"/>
              </w:rPr>
            </w:pPr>
            <w:r>
              <w:rPr>
                <w:rFonts w:hint="eastAsia" w:ascii="Times New Roman" w:hAnsi="Times New Roman" w:eastAsia="宋体" w:cs="Times New Roman"/>
                <w:color w:val="auto"/>
                <w:kern w:val="0"/>
                <w:sz w:val="24"/>
                <w:szCs w:val="24"/>
                <w:highlight w:val="none"/>
                <w:lang w:val="en-US" w:eastAsia="zh-CN" w:bidi="ar"/>
              </w:rPr>
              <w:t>④加强对贮存区内导流沟、收集池的日常维护，保持导流沟畅通，并对导流沟进行防腐、防蚀处理。</w:t>
            </w:r>
          </w:p>
          <w:p w14:paraId="4D06CC72">
            <w:pPr>
              <w:keepNext w:val="0"/>
              <w:keepLines w:val="0"/>
              <w:pageBreakBefore w:val="0"/>
              <w:widowControl/>
              <w:numPr>
                <w:ilvl w:val="0"/>
                <w:numId w:val="35"/>
              </w:numPr>
              <w:suppressLineNumbers w:val="0"/>
              <w:kinsoku/>
              <w:wordWrap/>
              <w:overflowPunct/>
              <w:topLinePunct w:val="0"/>
              <w:autoSpaceDE/>
              <w:autoSpaceDN/>
              <w:bidi w:val="0"/>
              <w:adjustRightInd/>
              <w:snapToGrid/>
              <w:spacing w:line="360" w:lineRule="auto"/>
              <w:ind w:left="0" w:leftChars="0" w:firstLine="425" w:firstLineChars="0"/>
              <w:jc w:val="left"/>
              <w:textAlignment w:val="auto"/>
              <w:rPr>
                <w:rFonts w:hint="eastAsia" w:ascii="Times New Roman" w:hAnsi="Times New Roman" w:eastAsia="宋体" w:cs="Times New Roman"/>
                <w:color w:val="auto"/>
                <w:kern w:val="0"/>
                <w:sz w:val="24"/>
                <w:szCs w:val="24"/>
                <w:highlight w:val="none"/>
                <w:lang w:val="en-US" w:eastAsia="zh-CN" w:bidi="ar"/>
              </w:rPr>
            </w:pPr>
            <w:r>
              <w:rPr>
                <w:rFonts w:hint="eastAsia" w:ascii="Times New Roman" w:hAnsi="Times New Roman" w:eastAsia="宋体" w:cs="Times New Roman"/>
                <w:color w:val="auto"/>
                <w:kern w:val="0"/>
                <w:sz w:val="24"/>
                <w:szCs w:val="24"/>
                <w:highlight w:val="none"/>
                <w:lang w:val="en-US" w:eastAsia="zh-CN" w:bidi="ar"/>
              </w:rPr>
              <w:t>分区防控措施</w:t>
            </w:r>
          </w:p>
          <w:p w14:paraId="26B020F6">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lang w:val="en-US" w:eastAsia="zh-CN" w:bidi="ar"/>
              </w:rPr>
            </w:pPr>
            <w:r>
              <w:rPr>
                <w:rFonts w:hint="eastAsia" w:ascii="Times New Roman" w:hAnsi="Times New Roman" w:eastAsia="宋体" w:cs="Times New Roman"/>
                <w:color w:val="auto"/>
                <w:kern w:val="0"/>
                <w:sz w:val="24"/>
                <w:szCs w:val="24"/>
                <w:lang w:val="en-US" w:eastAsia="zh-CN" w:bidi="ar"/>
              </w:rPr>
              <w:t>参照《环境影响评价技术导则</w:t>
            </w:r>
            <w:r>
              <w:rPr>
                <w:rFonts w:hint="eastAsia" w:cs="Times New Roman"/>
                <w:color w:val="auto"/>
                <w:kern w:val="0"/>
                <w:sz w:val="24"/>
                <w:szCs w:val="24"/>
                <w:lang w:val="en-US" w:eastAsia="zh-CN" w:bidi="ar"/>
              </w:rPr>
              <w:t xml:space="preserve"> </w:t>
            </w:r>
            <w:r>
              <w:rPr>
                <w:rFonts w:hint="eastAsia" w:ascii="Times New Roman" w:hAnsi="Times New Roman" w:eastAsia="宋体" w:cs="Times New Roman"/>
                <w:color w:val="auto"/>
                <w:kern w:val="0"/>
                <w:sz w:val="24"/>
                <w:szCs w:val="24"/>
                <w:lang w:val="en-US" w:eastAsia="zh-CN" w:bidi="ar"/>
              </w:rPr>
              <w:t>地下水环境》</w:t>
            </w:r>
            <w:r>
              <w:rPr>
                <w:rFonts w:hint="eastAsia" w:cs="Times New Roman"/>
                <w:color w:val="auto"/>
                <w:kern w:val="0"/>
                <w:sz w:val="24"/>
                <w:szCs w:val="24"/>
                <w:lang w:val="en-US" w:eastAsia="zh-CN" w:bidi="ar"/>
              </w:rPr>
              <w:t>（</w:t>
            </w:r>
            <w:r>
              <w:rPr>
                <w:rFonts w:hint="eastAsia" w:ascii="Times New Roman" w:hAnsi="Times New Roman" w:eastAsia="宋体" w:cs="Times New Roman"/>
                <w:color w:val="auto"/>
                <w:kern w:val="0"/>
                <w:sz w:val="24"/>
                <w:szCs w:val="24"/>
                <w:lang w:val="en-US" w:eastAsia="zh-CN" w:bidi="ar"/>
              </w:rPr>
              <w:t>HJ610-2016</w:t>
            </w:r>
            <w:r>
              <w:rPr>
                <w:rFonts w:hint="eastAsia" w:cs="Times New Roman"/>
                <w:color w:val="auto"/>
                <w:kern w:val="0"/>
                <w:sz w:val="24"/>
                <w:szCs w:val="24"/>
                <w:lang w:val="en-US" w:eastAsia="zh-CN" w:bidi="ar"/>
              </w:rPr>
              <w:t>）</w:t>
            </w:r>
            <w:r>
              <w:rPr>
                <w:rFonts w:hint="eastAsia" w:ascii="Times New Roman" w:hAnsi="Times New Roman" w:eastAsia="宋体" w:cs="Times New Roman"/>
                <w:color w:val="auto"/>
                <w:kern w:val="0"/>
                <w:sz w:val="24"/>
                <w:szCs w:val="24"/>
                <w:lang w:val="en-US" w:eastAsia="zh-CN" w:bidi="ar"/>
              </w:rPr>
              <w:t>分区防控措施相关要求，并结合项目所在区域水文地质条件</w:t>
            </w:r>
            <w:r>
              <w:rPr>
                <w:rFonts w:hint="eastAsia" w:cs="Times New Roman"/>
                <w:color w:val="auto"/>
                <w:kern w:val="0"/>
                <w:sz w:val="24"/>
                <w:szCs w:val="24"/>
                <w:lang w:val="en-US" w:eastAsia="zh-CN" w:bidi="ar"/>
              </w:rPr>
              <w:t>、</w:t>
            </w:r>
            <w:r>
              <w:rPr>
                <w:rFonts w:hint="eastAsia" w:ascii="Times New Roman" w:hAnsi="Times New Roman" w:eastAsia="宋体" w:cs="Times New Roman"/>
                <w:color w:val="auto"/>
                <w:kern w:val="0"/>
                <w:sz w:val="24"/>
                <w:szCs w:val="24"/>
                <w:lang w:val="en-US" w:eastAsia="zh-CN" w:bidi="ar"/>
              </w:rPr>
              <w:t>项目污染物特点</w:t>
            </w:r>
            <w:r>
              <w:rPr>
                <w:rFonts w:hint="eastAsia" w:cs="Times New Roman"/>
                <w:color w:val="auto"/>
                <w:kern w:val="0"/>
                <w:sz w:val="24"/>
                <w:szCs w:val="24"/>
                <w:lang w:val="en-US" w:eastAsia="zh-CN" w:bidi="ar"/>
              </w:rPr>
              <w:t>以及现有项目运行情况</w:t>
            </w:r>
            <w:r>
              <w:rPr>
                <w:rFonts w:hint="eastAsia" w:ascii="Times New Roman" w:hAnsi="Times New Roman" w:eastAsia="宋体" w:cs="Times New Roman"/>
                <w:color w:val="auto"/>
                <w:kern w:val="0"/>
                <w:sz w:val="24"/>
                <w:szCs w:val="24"/>
                <w:lang w:val="en-US" w:eastAsia="zh-CN" w:bidi="ar"/>
              </w:rPr>
              <w:t>，项目各场地分区防控要求见</w:t>
            </w:r>
            <w:r>
              <w:rPr>
                <w:rFonts w:hint="eastAsia" w:cs="Times New Roman"/>
                <w:color w:val="auto"/>
                <w:kern w:val="0"/>
                <w:sz w:val="24"/>
                <w:szCs w:val="24"/>
                <w:lang w:val="en-US" w:eastAsia="zh-CN" w:bidi="ar"/>
              </w:rPr>
              <w:t>下表</w:t>
            </w:r>
            <w:r>
              <w:rPr>
                <w:rFonts w:hint="eastAsia" w:ascii="Times New Roman" w:hAnsi="Times New Roman" w:eastAsia="宋体" w:cs="Times New Roman"/>
                <w:color w:val="auto"/>
                <w:kern w:val="0"/>
                <w:sz w:val="24"/>
                <w:szCs w:val="24"/>
                <w:lang w:val="en-US" w:eastAsia="zh-CN" w:bidi="ar"/>
              </w:rPr>
              <w:t>。</w:t>
            </w:r>
          </w:p>
          <w:p w14:paraId="35B7E6A6">
            <w:pPr>
              <w:keepNext w:val="0"/>
              <w:keepLines w:val="0"/>
              <w:pageBreakBefore w:val="0"/>
              <w:widowControl w:val="0"/>
              <w:numPr>
                <w:ilvl w:val="0"/>
                <w:numId w:val="31"/>
              </w:numPr>
              <w:kinsoku/>
              <w:wordWrap/>
              <w:overflowPunct/>
              <w:topLinePunct w:val="0"/>
              <w:autoSpaceDE w:val="0"/>
              <w:autoSpaceDN w:val="0"/>
              <w:bidi w:val="0"/>
              <w:adjustRightInd w:val="0"/>
              <w:snapToGrid/>
              <w:spacing w:line="360" w:lineRule="auto"/>
              <w:ind w:left="3150" w:leftChars="0" w:hanging="3110" w:firstLineChars="0"/>
              <w:jc w:val="center"/>
              <w:textAlignment w:val="auto"/>
              <w:rPr>
                <w:rFonts w:hint="eastAsia" w:ascii="宋体" w:hAnsi="宋体" w:eastAsia="宋体" w:cs="宋体"/>
                <w:b/>
                <w:bCs/>
                <w:color w:val="auto"/>
                <w:kern w:val="0"/>
                <w:sz w:val="24"/>
                <w:szCs w:val="24"/>
                <w:lang w:val="en-US" w:eastAsia="zh-CN" w:bidi="ar"/>
              </w:rPr>
            </w:pPr>
            <w:r>
              <w:rPr>
                <w:rFonts w:hint="default" w:ascii="宋体" w:hAnsi="宋体" w:eastAsia="宋体" w:cs="宋体"/>
                <w:b/>
                <w:bCs/>
                <w:color w:val="auto"/>
                <w:kern w:val="0"/>
                <w:sz w:val="24"/>
                <w:szCs w:val="24"/>
                <w:lang w:val="en-US" w:eastAsia="zh-CN" w:bidi="ar"/>
              </w:rPr>
              <w:t>项目防渗分区一览表</w:t>
            </w:r>
          </w:p>
          <w:tbl>
            <w:tblPr>
              <w:tblStyle w:val="28"/>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20"/>
              <w:gridCol w:w="1121"/>
              <w:gridCol w:w="6459"/>
            </w:tblGrid>
            <w:tr w14:paraId="473E2E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4" w:type="pct"/>
                  <w:noWrap w:val="0"/>
                  <w:vAlign w:val="center"/>
                </w:tcPr>
                <w:p w14:paraId="020E2D66">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防渗分区</w:t>
                  </w:r>
                </w:p>
              </w:tc>
              <w:tc>
                <w:tcPr>
                  <w:tcW w:w="644" w:type="pct"/>
                  <w:noWrap w:val="0"/>
                  <w:vAlign w:val="center"/>
                </w:tcPr>
                <w:p w14:paraId="17DE9617">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主要环节</w:t>
                  </w:r>
                </w:p>
              </w:tc>
              <w:tc>
                <w:tcPr>
                  <w:tcW w:w="3711" w:type="pct"/>
                  <w:noWrap w:val="0"/>
                  <w:vAlign w:val="center"/>
                </w:tcPr>
                <w:p w14:paraId="76C1AE49">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防渗处理措施及要求</w:t>
                  </w:r>
                </w:p>
              </w:tc>
            </w:tr>
            <w:tr w14:paraId="37D739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4" w:type="pct"/>
                  <w:noWrap w:val="0"/>
                  <w:vAlign w:val="center"/>
                </w:tcPr>
                <w:p w14:paraId="1C5194BA">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重点</w:t>
                  </w:r>
                </w:p>
                <w:p w14:paraId="56633CCE">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防渗区</w:t>
                  </w:r>
                </w:p>
              </w:tc>
              <w:tc>
                <w:tcPr>
                  <w:tcW w:w="644" w:type="pct"/>
                  <w:noWrap w:val="0"/>
                  <w:vAlign w:val="center"/>
                </w:tcPr>
                <w:p w14:paraId="216667E8">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贮存库</w:t>
                  </w:r>
                </w:p>
              </w:tc>
              <w:tc>
                <w:tcPr>
                  <w:tcW w:w="3711" w:type="pct"/>
                  <w:noWrap w:val="0"/>
                  <w:vAlign w:val="center"/>
                </w:tcPr>
                <w:p w14:paraId="6A3DF6AE">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color w:val="auto"/>
                      <w:sz w:val="21"/>
                      <w:szCs w:val="21"/>
                    </w:rPr>
                    <w:t>需参照《危险废物贮存污染控制标准》</w:t>
                  </w:r>
                  <w:r>
                    <w:rPr>
                      <w:rFonts w:hint="eastAsia" w:cs="Times New Roman"/>
                      <w:color w:val="auto"/>
                      <w:sz w:val="21"/>
                      <w:szCs w:val="21"/>
                      <w:lang w:eastAsia="zh-CN"/>
                    </w:rPr>
                    <w:t>（</w:t>
                  </w:r>
                  <w:r>
                    <w:rPr>
                      <w:rFonts w:hint="default" w:ascii="Times New Roman" w:hAnsi="Times New Roman" w:eastAsia="宋体" w:cs="Times New Roman"/>
                      <w:color w:val="auto"/>
                      <w:sz w:val="21"/>
                      <w:szCs w:val="21"/>
                    </w:rPr>
                    <w:t>GB18597-2023</w:t>
                  </w:r>
                  <w:r>
                    <w:rPr>
                      <w:rFonts w:hint="eastAsia" w:cs="Times New Roman"/>
                      <w:color w:val="auto"/>
                      <w:sz w:val="21"/>
                      <w:szCs w:val="21"/>
                      <w:lang w:eastAsia="zh-CN"/>
                    </w:rPr>
                    <w:t>）</w:t>
                  </w:r>
                  <w:r>
                    <w:rPr>
                      <w:rFonts w:hint="default" w:ascii="Times New Roman" w:hAnsi="Times New Roman" w:eastAsia="宋体" w:cs="Times New Roman"/>
                      <w:color w:val="auto"/>
                      <w:sz w:val="21"/>
                      <w:szCs w:val="21"/>
                    </w:rPr>
                    <w:t>6.1.4要求进行防渗设计，防渗层为至少1m厚黏土层</w:t>
                  </w:r>
                  <w:r>
                    <w:rPr>
                      <w:rFonts w:hint="eastAsia" w:cs="Times New Roman"/>
                      <w:color w:val="auto"/>
                      <w:sz w:val="21"/>
                      <w:szCs w:val="21"/>
                      <w:lang w:eastAsia="zh-CN"/>
                    </w:rPr>
                    <w:t>（</w:t>
                  </w:r>
                  <w:r>
                    <w:rPr>
                      <w:rFonts w:hint="default" w:ascii="Times New Roman" w:hAnsi="Times New Roman" w:eastAsia="宋体" w:cs="Times New Roman"/>
                      <w:color w:val="auto"/>
                      <w:sz w:val="21"/>
                      <w:szCs w:val="21"/>
                    </w:rPr>
                    <w:t>渗透系数不大于10</w:t>
                  </w:r>
                  <w:r>
                    <w:rPr>
                      <w:rFonts w:hint="eastAsia" w:ascii="Times New Roman" w:hAnsi="Times New Roman" w:eastAsia="宋体" w:cs="Times New Roman"/>
                      <w:color w:val="auto"/>
                      <w:sz w:val="21"/>
                      <w:szCs w:val="21"/>
                      <w:vertAlign w:val="superscript"/>
                      <w:lang w:val="en-US" w:eastAsia="zh-CN"/>
                    </w:rPr>
                    <w:t>-7</w:t>
                  </w:r>
                  <w:r>
                    <w:rPr>
                      <w:rFonts w:hint="default" w:ascii="Times New Roman" w:hAnsi="Times New Roman" w:eastAsia="宋体" w:cs="Times New Roman"/>
                      <w:color w:val="auto"/>
                      <w:sz w:val="21"/>
                      <w:szCs w:val="21"/>
                    </w:rPr>
                    <w:t>cm/s</w:t>
                  </w:r>
                  <w:r>
                    <w:rPr>
                      <w:rFonts w:hint="eastAsia" w:cs="Times New Roman"/>
                      <w:color w:val="auto"/>
                      <w:sz w:val="21"/>
                      <w:szCs w:val="21"/>
                      <w:lang w:eastAsia="zh-CN"/>
                    </w:rPr>
                    <w:t>）</w:t>
                  </w:r>
                  <w:r>
                    <w:rPr>
                      <w:rFonts w:hint="default" w:ascii="Times New Roman" w:hAnsi="Times New Roman" w:eastAsia="宋体" w:cs="Times New Roman"/>
                      <w:color w:val="auto"/>
                      <w:sz w:val="21"/>
                      <w:szCs w:val="21"/>
                    </w:rPr>
                    <w:t>，或至少2mm厚高密度聚乙烯膜等人工防渗材料</w:t>
                  </w:r>
                  <w:r>
                    <w:rPr>
                      <w:rFonts w:hint="eastAsia" w:cs="Times New Roman"/>
                      <w:color w:val="auto"/>
                      <w:sz w:val="21"/>
                      <w:szCs w:val="21"/>
                      <w:lang w:eastAsia="zh-CN"/>
                    </w:rPr>
                    <w:t>（</w:t>
                  </w:r>
                  <w:r>
                    <w:rPr>
                      <w:rFonts w:hint="default" w:ascii="Times New Roman" w:hAnsi="Times New Roman" w:eastAsia="宋体" w:cs="Times New Roman"/>
                      <w:color w:val="auto"/>
                      <w:sz w:val="21"/>
                      <w:szCs w:val="21"/>
                    </w:rPr>
                    <w:t>渗透系数不大于10</w:t>
                  </w:r>
                  <w:r>
                    <w:rPr>
                      <w:rFonts w:hint="eastAsia" w:ascii="Times New Roman" w:hAnsi="Times New Roman" w:eastAsia="宋体" w:cs="Times New Roman"/>
                      <w:color w:val="auto"/>
                      <w:sz w:val="21"/>
                      <w:szCs w:val="21"/>
                      <w:vertAlign w:val="superscript"/>
                      <w:lang w:val="en-US" w:eastAsia="zh-CN"/>
                    </w:rPr>
                    <w:t>-7</w:t>
                  </w:r>
                  <w:r>
                    <w:rPr>
                      <w:rFonts w:hint="default" w:ascii="Times New Roman" w:hAnsi="Times New Roman" w:eastAsia="宋体" w:cs="Times New Roman"/>
                      <w:color w:val="auto"/>
                      <w:sz w:val="21"/>
                      <w:szCs w:val="21"/>
                    </w:rPr>
                    <w:t>cm/s</w:t>
                  </w:r>
                  <w:r>
                    <w:rPr>
                      <w:rFonts w:hint="eastAsia" w:cs="Times New Roman"/>
                      <w:color w:val="auto"/>
                      <w:sz w:val="21"/>
                      <w:szCs w:val="21"/>
                      <w:lang w:eastAsia="zh-CN"/>
                    </w:rPr>
                    <w:t>）</w:t>
                  </w:r>
                  <w:r>
                    <w:rPr>
                      <w:rFonts w:hint="default" w:ascii="Times New Roman" w:hAnsi="Times New Roman" w:eastAsia="宋体" w:cs="Times New Roman"/>
                      <w:color w:val="auto"/>
                      <w:sz w:val="21"/>
                      <w:szCs w:val="21"/>
                    </w:rPr>
                    <w:t>，或其他防渗性能等效的材料。在防渗工程基础上按相关防腐规范进行防腐工程建设。</w:t>
                  </w:r>
                </w:p>
              </w:tc>
            </w:tr>
            <w:tr w14:paraId="71A493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4" w:type="pct"/>
                  <w:noWrap w:val="0"/>
                  <w:vAlign w:val="center"/>
                </w:tcPr>
                <w:p w14:paraId="474C356A">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简单</w:t>
                  </w:r>
                </w:p>
                <w:p w14:paraId="6451E881">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防渗区</w:t>
                  </w:r>
                </w:p>
              </w:tc>
              <w:tc>
                <w:tcPr>
                  <w:tcW w:w="644" w:type="pct"/>
                  <w:noWrap w:val="0"/>
                  <w:vAlign w:val="center"/>
                </w:tcPr>
                <w:p w14:paraId="53E46543">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办公区</w:t>
                  </w:r>
                </w:p>
              </w:tc>
              <w:tc>
                <w:tcPr>
                  <w:tcW w:w="3711" w:type="pct"/>
                  <w:noWrap w:val="0"/>
                  <w:vAlign w:val="center"/>
                </w:tcPr>
                <w:p w14:paraId="79DF0155">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b w:val="0"/>
                      <w:bCs w:val="0"/>
                      <w:color w:val="auto"/>
                      <w:sz w:val="21"/>
                      <w:szCs w:val="21"/>
                      <w:u w:val="none"/>
                      <w:lang w:val="en-US" w:eastAsia="zh-CN"/>
                    </w:rPr>
                    <w:t>地面硬化处理</w:t>
                  </w:r>
                </w:p>
              </w:tc>
            </w:tr>
          </w:tbl>
          <w:p w14:paraId="1F6A5B28">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项目对地下水、土壤环境影响途径主要为垂直入渗，在贯彻落实上述分区防控措施的前提下，对地下水、土壤环境影响较小。</w:t>
            </w:r>
          </w:p>
          <w:p w14:paraId="63DC75B4">
            <w:pPr>
              <w:keepNext w:val="0"/>
              <w:keepLines w:val="0"/>
              <w:pageBreakBefore w:val="0"/>
              <w:widowControl/>
              <w:numPr>
                <w:ilvl w:val="0"/>
                <w:numId w:val="35"/>
              </w:numPr>
              <w:suppressLineNumbers w:val="0"/>
              <w:kinsoku/>
              <w:wordWrap/>
              <w:overflowPunct/>
              <w:topLinePunct w:val="0"/>
              <w:autoSpaceDE/>
              <w:autoSpaceDN/>
              <w:bidi w:val="0"/>
              <w:adjustRightInd/>
              <w:snapToGrid/>
              <w:spacing w:line="360" w:lineRule="auto"/>
              <w:ind w:left="0" w:leftChars="0" w:firstLine="425" w:firstLineChars="0"/>
              <w:jc w:val="left"/>
              <w:textAlignment w:val="auto"/>
              <w:rPr>
                <w:rFonts w:hint="eastAsia" w:ascii="Times New Roman" w:hAnsi="Times New Roman" w:eastAsia="宋体" w:cs="Times New Roman"/>
                <w:color w:val="auto"/>
                <w:kern w:val="0"/>
                <w:sz w:val="24"/>
                <w:szCs w:val="24"/>
                <w:highlight w:val="none"/>
                <w:lang w:val="en-US" w:eastAsia="zh-CN" w:bidi="ar"/>
              </w:rPr>
            </w:pPr>
            <w:r>
              <w:rPr>
                <w:rFonts w:hint="eastAsia" w:ascii="Times New Roman" w:hAnsi="Times New Roman" w:eastAsia="宋体" w:cs="Times New Roman"/>
                <w:color w:val="auto"/>
                <w:kern w:val="0"/>
                <w:sz w:val="24"/>
                <w:szCs w:val="24"/>
                <w:highlight w:val="none"/>
                <w:lang w:val="en-US" w:eastAsia="zh-CN" w:bidi="ar"/>
              </w:rPr>
              <w:t xml:space="preserve">跟踪监测要求 </w:t>
            </w:r>
          </w:p>
          <w:p w14:paraId="1897F379">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lang w:val="en-US" w:eastAsia="zh-CN" w:bidi="ar"/>
              </w:rPr>
            </w:pPr>
            <w:r>
              <w:rPr>
                <w:rFonts w:hint="eastAsia" w:cs="Times New Roman"/>
                <w:color w:val="auto"/>
                <w:kern w:val="0"/>
                <w:sz w:val="24"/>
                <w:szCs w:val="24"/>
                <w:lang w:val="en-US" w:eastAsia="zh-CN" w:bidi="ar"/>
              </w:rPr>
              <w:t>本项目属于危险废物收集暂存项目，不属于利用、处置项目，</w:t>
            </w:r>
            <w:r>
              <w:rPr>
                <w:rFonts w:hint="default" w:ascii="Times New Roman" w:hAnsi="Times New Roman" w:cs="Times New Roman"/>
                <w:color w:val="auto"/>
                <w:sz w:val="24"/>
                <w:szCs w:val="24"/>
                <w:highlight w:val="none"/>
              </w:rPr>
              <w:t>《排污单位自行监测技术指南</w:t>
            </w:r>
            <w:r>
              <w:rPr>
                <w:rFonts w:hint="eastAsia" w:cs="Times New Roman"/>
                <w:color w:val="auto"/>
                <w:sz w:val="24"/>
                <w:szCs w:val="24"/>
                <w:highlight w:val="none"/>
                <w:lang w:val="en-US" w:eastAsia="zh-CN"/>
              </w:rPr>
              <w:t xml:space="preserve"> </w:t>
            </w:r>
            <w:r>
              <w:rPr>
                <w:rFonts w:hint="default" w:ascii="Times New Roman" w:hAnsi="Times New Roman" w:cs="Times New Roman"/>
                <w:color w:val="auto"/>
                <w:sz w:val="24"/>
                <w:szCs w:val="24"/>
                <w:highlight w:val="none"/>
              </w:rPr>
              <w:t>工业固体废物和危险废物治理》（HJ1250-2022）</w:t>
            </w:r>
            <w:r>
              <w:rPr>
                <w:rFonts w:hint="eastAsia" w:cs="Times New Roman"/>
                <w:color w:val="auto"/>
                <w:sz w:val="24"/>
                <w:szCs w:val="24"/>
                <w:highlight w:val="none"/>
                <w:lang w:val="en-US" w:eastAsia="zh-CN"/>
              </w:rPr>
              <w:t>中对收集类项目无明确要求。</w:t>
            </w:r>
          </w:p>
          <w:p w14:paraId="4ECCA994">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根据《山东省生态环境厅山东省自然资源厅关于进一步加强土壤污染重点监管单位管理工作的通知》（鲁环发[2020]5号），“有色金属矿采选、有色金属冶炼、石油开采加工、化工、医药、焦化、制革、电镀、危险废物经营、固体废物填埋等行业中纳入排污许可重点管理的企业事业单位，应当列入土壤污染重点监管单位名录”，</w:t>
            </w:r>
            <w:r>
              <w:rPr>
                <w:rFonts w:hint="eastAsia" w:cs="Times New Roman"/>
                <w:color w:val="auto"/>
                <w:kern w:val="0"/>
                <w:sz w:val="24"/>
                <w:szCs w:val="24"/>
                <w:lang w:val="en-US" w:eastAsia="zh-CN" w:bidi="ar"/>
              </w:rPr>
              <w:t>根据《</w:t>
            </w:r>
            <w:r>
              <w:rPr>
                <w:rFonts w:hint="default" w:ascii="Times New Roman" w:hAnsi="Times New Roman" w:eastAsia="宋体" w:cs="Times New Roman"/>
                <w:color w:val="auto"/>
                <w:kern w:val="0"/>
                <w:sz w:val="24"/>
                <w:szCs w:val="24"/>
                <w:lang w:val="en-US" w:eastAsia="zh-CN" w:bidi="ar"/>
              </w:rPr>
              <w:t>淄博市生态环境局关于印发</w:t>
            </w:r>
            <w:r>
              <w:rPr>
                <w:rFonts w:hint="eastAsia" w:cs="Times New Roman"/>
                <w:color w:val="auto"/>
                <w:kern w:val="0"/>
                <w:sz w:val="24"/>
                <w:szCs w:val="24"/>
                <w:lang w:val="en-US" w:eastAsia="zh-CN" w:bidi="ar"/>
              </w:rPr>
              <w:t>&lt;</w:t>
            </w:r>
            <w:r>
              <w:rPr>
                <w:rFonts w:hint="default" w:ascii="Times New Roman" w:hAnsi="Times New Roman" w:eastAsia="宋体" w:cs="Times New Roman"/>
                <w:color w:val="auto"/>
                <w:kern w:val="0"/>
                <w:sz w:val="24"/>
                <w:szCs w:val="24"/>
                <w:lang w:val="en-US" w:eastAsia="zh-CN" w:bidi="ar"/>
              </w:rPr>
              <w:t>202</w:t>
            </w:r>
            <w:r>
              <w:rPr>
                <w:rFonts w:hint="eastAsia" w:cs="Times New Roman"/>
                <w:color w:val="auto"/>
                <w:kern w:val="0"/>
                <w:sz w:val="24"/>
                <w:szCs w:val="24"/>
                <w:lang w:val="en-US" w:eastAsia="zh-CN" w:bidi="ar"/>
              </w:rPr>
              <w:t>6</w:t>
            </w:r>
            <w:r>
              <w:rPr>
                <w:rFonts w:hint="default" w:ascii="Times New Roman" w:hAnsi="Times New Roman" w:eastAsia="宋体" w:cs="Times New Roman"/>
                <w:color w:val="auto"/>
                <w:kern w:val="0"/>
                <w:sz w:val="24"/>
                <w:szCs w:val="24"/>
                <w:lang w:val="en-US" w:eastAsia="zh-CN" w:bidi="ar"/>
              </w:rPr>
              <w:t>年淄博市环境监管重点单位名录</w:t>
            </w:r>
            <w:r>
              <w:rPr>
                <w:rFonts w:hint="eastAsia" w:cs="Times New Roman"/>
                <w:color w:val="auto"/>
                <w:kern w:val="0"/>
                <w:sz w:val="24"/>
                <w:szCs w:val="24"/>
                <w:lang w:val="en-US" w:eastAsia="zh-CN" w:bidi="ar"/>
              </w:rPr>
              <w:t>&gt;</w:t>
            </w:r>
            <w:r>
              <w:rPr>
                <w:rFonts w:hint="default" w:ascii="Times New Roman" w:hAnsi="Times New Roman" w:eastAsia="宋体" w:cs="Times New Roman"/>
                <w:color w:val="auto"/>
                <w:kern w:val="0"/>
                <w:sz w:val="24"/>
                <w:szCs w:val="24"/>
                <w:lang w:val="en-US" w:eastAsia="zh-CN" w:bidi="ar"/>
              </w:rPr>
              <w:t>的通知</w:t>
            </w:r>
            <w:r>
              <w:rPr>
                <w:rFonts w:hint="eastAsia" w:cs="Times New Roman"/>
                <w:color w:val="auto"/>
                <w:kern w:val="0"/>
                <w:sz w:val="24"/>
                <w:szCs w:val="24"/>
                <w:lang w:val="en-US" w:eastAsia="zh-CN" w:bidi="ar"/>
              </w:rPr>
              <w:t>》（淄博市生态环境局，2026年3月30日发布），本企业不属于土壤、水环境重点监管单位。</w:t>
            </w:r>
          </w:p>
          <w:p w14:paraId="3F537C31">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lang w:val="en-US" w:eastAsia="zh-CN" w:bidi="ar"/>
              </w:rPr>
            </w:pPr>
            <w:r>
              <w:rPr>
                <w:rFonts w:hint="eastAsia" w:cs="Times New Roman"/>
                <w:color w:val="auto"/>
                <w:kern w:val="0"/>
                <w:sz w:val="24"/>
                <w:szCs w:val="24"/>
                <w:lang w:val="en-US" w:eastAsia="zh-CN" w:bidi="ar"/>
              </w:rPr>
              <w:t>因此，不需进行土壤、地下水跟踪监测。</w:t>
            </w:r>
          </w:p>
          <w:p w14:paraId="0CFFAEF8">
            <w:pPr>
              <w:keepNext w:val="0"/>
              <w:keepLines w:val="0"/>
              <w:pageBreakBefore w:val="0"/>
              <w:widowControl/>
              <w:numPr>
                <w:ilvl w:val="0"/>
                <w:numId w:val="35"/>
              </w:numPr>
              <w:suppressLineNumbers w:val="0"/>
              <w:kinsoku/>
              <w:wordWrap/>
              <w:overflowPunct/>
              <w:topLinePunct w:val="0"/>
              <w:autoSpaceDE/>
              <w:autoSpaceDN/>
              <w:bidi w:val="0"/>
              <w:adjustRightInd/>
              <w:snapToGrid/>
              <w:spacing w:line="360" w:lineRule="auto"/>
              <w:ind w:left="0" w:leftChars="0" w:firstLine="425" w:firstLineChars="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eastAsia" w:ascii="Times New Roman" w:hAnsi="Times New Roman" w:eastAsia="宋体" w:cs="Times New Roman"/>
                <w:color w:val="auto"/>
                <w:kern w:val="0"/>
                <w:sz w:val="24"/>
                <w:szCs w:val="24"/>
                <w:highlight w:val="none"/>
                <w:lang w:val="en-US" w:eastAsia="zh-CN" w:bidi="ar"/>
              </w:rPr>
              <w:t>应急响应</w:t>
            </w:r>
          </w:p>
          <w:p w14:paraId="4639B4F9">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color w:val="auto"/>
                <w:kern w:val="0"/>
                <w:sz w:val="24"/>
                <w:szCs w:val="24"/>
                <w:lang w:val="en-US" w:eastAsia="zh-CN" w:bidi="ar"/>
              </w:rPr>
            </w:pPr>
            <w:r>
              <w:rPr>
                <w:rFonts w:hint="eastAsia" w:ascii="Times New Roman" w:hAnsi="Times New Roman" w:eastAsia="宋体" w:cs="Times New Roman"/>
                <w:color w:val="auto"/>
                <w:kern w:val="0"/>
                <w:sz w:val="24"/>
                <w:szCs w:val="24"/>
                <w:lang w:val="en-US" w:eastAsia="zh-CN" w:bidi="ar"/>
              </w:rPr>
              <w:t>企业应设置视频监控设施，并制定应急预案，应急预案中应明确危险废物发生泄漏情况下需采取的污染源控制措施及切断污染途径的措施。</w:t>
            </w:r>
          </w:p>
          <w:p w14:paraId="144EE918">
            <w:pPr>
              <w:keepNext w:val="0"/>
              <w:keepLines w:val="0"/>
              <w:pageBreakBefore w:val="0"/>
              <w:widowControl w:val="0"/>
              <w:numPr>
                <w:ilvl w:val="0"/>
                <w:numId w:val="29"/>
              </w:numPr>
              <w:kinsoku/>
              <w:wordWrap/>
              <w:overflowPunct/>
              <w:topLinePunct w:val="0"/>
              <w:autoSpaceDE/>
              <w:autoSpaceDN/>
              <w:bidi w:val="0"/>
              <w:adjustRightInd w:val="0"/>
              <w:snapToGrid/>
              <w:spacing w:line="360" w:lineRule="auto"/>
              <w:ind w:left="0" w:leftChars="0" w:firstLine="420" w:firstLineChars="0"/>
              <w:jc w:val="left"/>
              <w:textAlignment w:val="auto"/>
              <w:rPr>
                <w:rFonts w:hint="eastAsia" w:ascii="Times New Roman" w:hAnsi="Times New Roman" w:eastAsia="宋体" w:cs="Times New Roman"/>
                <w:b/>
                <w:bCs/>
                <w:color w:val="auto"/>
                <w:sz w:val="24"/>
                <w:szCs w:val="24"/>
                <w:highlight w:val="none"/>
                <w:lang w:val="en-US" w:eastAsia="zh-CN"/>
              </w:rPr>
            </w:pPr>
            <w:r>
              <w:rPr>
                <w:rFonts w:hint="eastAsia" w:ascii="Times New Roman" w:hAnsi="Times New Roman" w:eastAsia="宋体" w:cs="Times New Roman"/>
                <w:b/>
                <w:bCs/>
                <w:color w:val="auto"/>
                <w:sz w:val="24"/>
                <w:szCs w:val="24"/>
                <w:highlight w:val="none"/>
                <w:lang w:val="en-US" w:eastAsia="zh-CN"/>
              </w:rPr>
              <w:t>生态</w:t>
            </w:r>
          </w:p>
          <w:p w14:paraId="71A2BF1A">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b/>
                <w:bCs/>
                <w:color w:val="auto"/>
                <w:sz w:val="24"/>
                <w:szCs w:val="24"/>
                <w:lang w:val="en-US" w:eastAsia="zh-CN"/>
              </w:rPr>
            </w:pPr>
            <w:r>
              <w:rPr>
                <w:rFonts w:hint="eastAsia" w:ascii="Times New Roman" w:hAnsi="Times New Roman" w:eastAsia="宋体" w:cs="Times New Roman"/>
                <w:color w:val="auto"/>
                <w:sz w:val="24"/>
                <w:szCs w:val="24"/>
                <w:lang w:val="en-US" w:eastAsia="zh-CN"/>
              </w:rPr>
              <w:t>项目</w:t>
            </w:r>
            <w:r>
              <w:rPr>
                <w:rFonts w:hint="eastAsia" w:cs="Times New Roman"/>
                <w:color w:val="auto"/>
                <w:sz w:val="24"/>
                <w:szCs w:val="24"/>
                <w:highlight w:val="none"/>
                <w:lang w:val="en-US" w:eastAsia="zh-CN"/>
              </w:rPr>
              <w:t>为</w:t>
            </w:r>
            <w:r>
              <w:rPr>
                <w:rFonts w:hint="default" w:ascii="Times New Roman" w:hAnsi="Times New Roman" w:eastAsia="宋体" w:cs="Times New Roman"/>
                <w:color w:val="auto"/>
                <w:sz w:val="24"/>
                <w:szCs w:val="24"/>
                <w:highlight w:val="none"/>
                <w:lang w:val="en-US" w:eastAsia="zh-CN"/>
              </w:rPr>
              <w:t>属于产业园外建设项目</w:t>
            </w:r>
            <w:r>
              <w:rPr>
                <w:rFonts w:hint="eastAsia" w:ascii="Times New Roman" w:hAnsi="Times New Roman" w:eastAsia="宋体" w:cs="Times New Roman"/>
                <w:color w:val="auto"/>
                <w:sz w:val="24"/>
                <w:szCs w:val="24"/>
                <w:lang w:val="en-US" w:eastAsia="zh-CN"/>
              </w:rPr>
              <w:t>，</w:t>
            </w:r>
            <w:r>
              <w:rPr>
                <w:rFonts w:hint="eastAsia" w:cs="Times New Roman"/>
                <w:color w:val="auto"/>
                <w:sz w:val="24"/>
                <w:szCs w:val="24"/>
                <w:lang w:val="en-US" w:eastAsia="zh-CN"/>
              </w:rPr>
              <w:t>但租用现有闲置厂房进行运营，不属于新增用地，且</w:t>
            </w:r>
            <w:r>
              <w:rPr>
                <w:rFonts w:hint="eastAsia" w:ascii="Times New Roman" w:hAnsi="Times New Roman" w:eastAsia="宋体" w:cs="Times New Roman"/>
                <w:color w:val="auto"/>
                <w:sz w:val="24"/>
                <w:szCs w:val="24"/>
                <w:lang w:val="en-US" w:eastAsia="zh-CN"/>
              </w:rPr>
              <w:t>用地范围内无生态环境保护目标</w:t>
            </w:r>
            <w:r>
              <w:rPr>
                <w:rFonts w:hint="eastAsia" w:cs="Times New Roman"/>
                <w:color w:val="auto"/>
                <w:sz w:val="24"/>
                <w:szCs w:val="24"/>
                <w:lang w:val="en-US" w:eastAsia="zh-CN"/>
              </w:rPr>
              <w:t>。因此，</w:t>
            </w:r>
            <w:r>
              <w:rPr>
                <w:rFonts w:hint="default" w:ascii="Times New Roman" w:hAnsi="Times New Roman" w:eastAsia="宋体" w:cs="Times New Roman"/>
                <w:color w:val="auto"/>
                <w:sz w:val="24"/>
                <w:szCs w:val="24"/>
                <w:lang w:val="en-US" w:eastAsia="zh-CN"/>
              </w:rPr>
              <w:t>本评价不再开展生态环境影响分析</w:t>
            </w:r>
            <w:r>
              <w:rPr>
                <w:rFonts w:hint="eastAsia" w:ascii="Times New Roman" w:hAnsi="Times New Roman" w:eastAsia="宋体" w:cs="Times New Roman"/>
                <w:color w:val="auto"/>
                <w:sz w:val="24"/>
                <w:szCs w:val="24"/>
                <w:lang w:val="en-US" w:eastAsia="zh-CN"/>
              </w:rPr>
              <w:t>。</w:t>
            </w:r>
          </w:p>
          <w:p w14:paraId="2FC4E51E">
            <w:pPr>
              <w:keepNext w:val="0"/>
              <w:keepLines w:val="0"/>
              <w:pageBreakBefore w:val="0"/>
              <w:widowControl w:val="0"/>
              <w:numPr>
                <w:ilvl w:val="0"/>
                <w:numId w:val="29"/>
              </w:numPr>
              <w:kinsoku/>
              <w:wordWrap/>
              <w:overflowPunct/>
              <w:topLinePunct w:val="0"/>
              <w:autoSpaceDE/>
              <w:autoSpaceDN/>
              <w:bidi w:val="0"/>
              <w:adjustRightInd w:val="0"/>
              <w:snapToGrid/>
              <w:spacing w:line="360" w:lineRule="auto"/>
              <w:ind w:left="0" w:leftChars="0" w:firstLine="420" w:firstLineChars="0"/>
              <w:jc w:val="left"/>
              <w:textAlignment w:val="auto"/>
              <w:rPr>
                <w:rFonts w:hint="eastAsia" w:ascii="Times New Roman" w:hAnsi="Times New Roman" w:eastAsia="宋体" w:cs="Times New Roman"/>
                <w:b/>
                <w:bCs/>
                <w:color w:val="auto"/>
                <w:sz w:val="24"/>
                <w:szCs w:val="24"/>
                <w:highlight w:val="none"/>
                <w:lang w:val="en-US" w:eastAsia="zh-CN"/>
              </w:rPr>
            </w:pPr>
            <w:r>
              <w:rPr>
                <w:rFonts w:hint="eastAsia" w:ascii="Times New Roman" w:hAnsi="Times New Roman" w:eastAsia="宋体" w:cs="Times New Roman"/>
                <w:b/>
                <w:bCs/>
                <w:color w:val="auto"/>
                <w:sz w:val="24"/>
                <w:szCs w:val="24"/>
                <w:highlight w:val="none"/>
                <w:lang w:val="en-US" w:eastAsia="zh-CN"/>
              </w:rPr>
              <w:t>环境风险</w:t>
            </w:r>
          </w:p>
          <w:p w14:paraId="573B2331">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按照《建设项目环境风险评价技术导则》（HJ169-2018）和《关于进一步加强环境影响评价管理防范环境风险的通知》（环发）〔2012〕77号）的规定，通过对本项目进行风险识别和源强分析，进行风险评价，提出减缓风险的措施，为环境管理提供资料和依据，达到降低危险、减少危害的目的。</w:t>
            </w:r>
          </w:p>
          <w:p w14:paraId="39459B57">
            <w:pPr>
              <w:keepNext w:val="0"/>
              <w:keepLines w:val="0"/>
              <w:pageBreakBefore w:val="0"/>
              <w:widowControl/>
              <w:numPr>
                <w:ilvl w:val="0"/>
                <w:numId w:val="36"/>
              </w:numPr>
              <w:suppressLineNumbers w:val="0"/>
              <w:kinsoku/>
              <w:wordWrap/>
              <w:overflowPunct/>
              <w:topLinePunct w:val="0"/>
              <w:autoSpaceDE/>
              <w:autoSpaceDN/>
              <w:bidi w:val="0"/>
              <w:adjustRightInd/>
              <w:snapToGrid/>
              <w:spacing w:line="360" w:lineRule="auto"/>
              <w:ind w:left="0" w:leftChars="0" w:firstLine="480" w:firstLineChars="200"/>
              <w:jc w:val="left"/>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风险</w:t>
            </w:r>
            <w:r>
              <w:rPr>
                <w:rFonts w:hint="eastAsia" w:cs="Times New Roman"/>
                <w:color w:val="auto"/>
                <w:sz w:val="24"/>
                <w:szCs w:val="24"/>
                <w:lang w:val="en-US" w:eastAsia="zh-CN"/>
              </w:rPr>
              <w:t>调查</w:t>
            </w:r>
          </w:p>
          <w:p w14:paraId="584C56C1">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为危险废物收集、贮存、转运项目，其中转运委托有资质的单位进行运输，不在本项目范围内，本次主要评价贮存期间厂区内环境风险。危险废物均为打包封存好在厂区内贮存，不存在工艺上的环境风险，即使包装破裂，固体危险废物洒落在车间地面，也可及时收集，环境风险较小。主要存在的环境风险为</w:t>
            </w:r>
            <w:r>
              <w:rPr>
                <w:rFonts w:hint="eastAsia" w:cs="Times New Roman"/>
                <w:color w:val="auto"/>
                <w:sz w:val="24"/>
                <w:szCs w:val="24"/>
                <w:lang w:val="en-US" w:eastAsia="zh-CN"/>
              </w:rPr>
              <w:t>：</w:t>
            </w:r>
          </w:p>
          <w:p w14:paraId="77A771CD">
            <w:pPr>
              <w:keepNext w:val="0"/>
              <w:keepLines w:val="0"/>
              <w:pageBreakBefore w:val="0"/>
              <w:widowControl/>
              <w:numPr>
                <w:ilvl w:val="0"/>
                <w:numId w:val="37"/>
              </w:numPr>
              <w:suppressLineNumbers w:val="0"/>
              <w:kinsoku/>
              <w:wordWrap/>
              <w:overflowPunct/>
              <w:topLinePunct w:val="0"/>
              <w:autoSpaceDE/>
              <w:autoSpaceDN/>
              <w:bidi w:val="0"/>
              <w:adjustRightInd/>
              <w:snapToGrid/>
              <w:spacing w:line="360" w:lineRule="auto"/>
              <w:ind w:left="0" w:leftChars="0" w:firstLine="480" w:firstLineChars="200"/>
              <w:jc w:val="left"/>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液体危险废物贮存容器破裂，导致液体危险废物泄漏</w:t>
            </w:r>
            <w:r>
              <w:rPr>
                <w:rFonts w:hint="eastAsia" w:cs="Times New Roman"/>
                <w:color w:val="auto"/>
                <w:sz w:val="24"/>
                <w:szCs w:val="24"/>
                <w:lang w:val="en-US" w:eastAsia="zh-CN"/>
              </w:rPr>
              <w:t>；</w:t>
            </w:r>
          </w:p>
          <w:p w14:paraId="5C209F28">
            <w:pPr>
              <w:keepNext w:val="0"/>
              <w:keepLines w:val="0"/>
              <w:pageBreakBefore w:val="0"/>
              <w:widowControl/>
              <w:numPr>
                <w:ilvl w:val="0"/>
                <w:numId w:val="37"/>
              </w:numPr>
              <w:suppressLineNumbers w:val="0"/>
              <w:kinsoku/>
              <w:wordWrap/>
              <w:overflowPunct/>
              <w:topLinePunct w:val="0"/>
              <w:autoSpaceDE/>
              <w:autoSpaceDN/>
              <w:bidi w:val="0"/>
              <w:adjustRightInd/>
              <w:snapToGrid/>
              <w:spacing w:line="360" w:lineRule="auto"/>
              <w:ind w:left="0" w:leftChars="0" w:firstLine="480" w:firstLineChars="200"/>
              <w:jc w:val="left"/>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火灾/爆炸引发的次生环境风险。</w:t>
            </w:r>
          </w:p>
          <w:p w14:paraId="635D8FC0">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按照《建设项目环境风险评价技术导则》（HJ169-2018）附录B，本项目涉及的危险物质数量和分布情况如下：</w:t>
            </w:r>
          </w:p>
          <w:p w14:paraId="435D72E5">
            <w:pPr>
              <w:keepNext w:val="0"/>
              <w:keepLines w:val="0"/>
              <w:pageBreakBefore w:val="0"/>
              <w:widowControl w:val="0"/>
              <w:numPr>
                <w:ilvl w:val="0"/>
                <w:numId w:val="31"/>
              </w:numPr>
              <w:kinsoku/>
              <w:wordWrap/>
              <w:overflowPunct/>
              <w:topLinePunct w:val="0"/>
              <w:autoSpaceDE w:val="0"/>
              <w:autoSpaceDN w:val="0"/>
              <w:bidi w:val="0"/>
              <w:adjustRightInd w:val="0"/>
              <w:snapToGrid/>
              <w:spacing w:line="360" w:lineRule="auto"/>
              <w:ind w:left="3150" w:leftChars="0" w:hanging="3110" w:firstLineChars="0"/>
              <w:jc w:val="center"/>
              <w:textAlignment w:val="auto"/>
              <w:rPr>
                <w:rFonts w:hint="default" w:ascii="宋体" w:hAnsi="宋体" w:eastAsia="宋体" w:cs="宋体"/>
                <w:b/>
                <w:bCs/>
                <w:color w:val="auto"/>
                <w:kern w:val="0"/>
                <w:sz w:val="24"/>
                <w:szCs w:val="24"/>
                <w:lang w:val="en-US" w:eastAsia="zh-CN" w:bidi="ar"/>
              </w:rPr>
            </w:pPr>
            <w:r>
              <w:rPr>
                <w:rFonts w:hint="default" w:ascii="宋体" w:hAnsi="宋体" w:eastAsia="宋体" w:cs="宋体"/>
                <w:b/>
                <w:bCs/>
                <w:color w:val="auto"/>
                <w:kern w:val="0"/>
                <w:sz w:val="24"/>
                <w:szCs w:val="24"/>
                <w:lang w:val="en-US" w:eastAsia="zh-CN" w:bidi="ar"/>
              </w:rPr>
              <w:t>危险物质的数量和分布情况</w:t>
            </w:r>
          </w:p>
          <w:tbl>
            <w:tblPr>
              <w:tblStyle w:val="28"/>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8"/>
              <w:gridCol w:w="2375"/>
              <w:gridCol w:w="827"/>
              <w:gridCol w:w="1291"/>
              <w:gridCol w:w="785"/>
              <w:gridCol w:w="1098"/>
              <w:gridCol w:w="988"/>
              <w:gridCol w:w="896"/>
            </w:tblGrid>
            <w:tr w14:paraId="5A5BC3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 w:type="pct"/>
                  <w:noWrap w:val="0"/>
                  <w:vAlign w:val="center"/>
                </w:tcPr>
                <w:p w14:paraId="5843B6D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序</w:t>
                  </w:r>
                </w:p>
                <w:p w14:paraId="4361D9B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号</w:t>
                  </w:r>
                </w:p>
              </w:tc>
              <w:tc>
                <w:tcPr>
                  <w:tcW w:w="1365" w:type="pct"/>
                  <w:noWrap w:val="0"/>
                  <w:vAlign w:val="center"/>
                </w:tcPr>
                <w:p w14:paraId="66E6511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物质名称</w:t>
                  </w:r>
                </w:p>
              </w:tc>
              <w:tc>
                <w:tcPr>
                  <w:tcW w:w="475" w:type="pct"/>
                  <w:noWrap w:val="0"/>
                  <w:vAlign w:val="center"/>
                </w:tcPr>
                <w:p w14:paraId="52C5CDD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形态</w:t>
                  </w:r>
                </w:p>
              </w:tc>
              <w:tc>
                <w:tcPr>
                  <w:tcW w:w="742" w:type="pct"/>
                  <w:noWrap w:val="0"/>
                  <w:vAlign w:val="center"/>
                </w:tcPr>
                <w:p w14:paraId="19F1D85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类别</w:t>
                  </w:r>
                </w:p>
              </w:tc>
              <w:tc>
                <w:tcPr>
                  <w:tcW w:w="451" w:type="pct"/>
                  <w:noWrap w:val="0"/>
                  <w:vAlign w:val="center"/>
                </w:tcPr>
                <w:p w14:paraId="2239763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储存</w:t>
                  </w:r>
                </w:p>
                <w:p w14:paraId="22E933B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形式</w:t>
                  </w:r>
                </w:p>
              </w:tc>
              <w:tc>
                <w:tcPr>
                  <w:tcW w:w="631" w:type="pct"/>
                  <w:noWrap w:val="0"/>
                  <w:vAlign w:val="center"/>
                </w:tcPr>
                <w:p w14:paraId="3231A66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最大</w:t>
                  </w:r>
                  <w:r>
                    <w:rPr>
                      <w:rFonts w:hint="eastAsia" w:ascii="Times New Roman" w:hAnsi="Times New Roman" w:cs="Times New Roman"/>
                      <w:color w:val="auto"/>
                      <w:sz w:val="21"/>
                      <w:szCs w:val="21"/>
                      <w:highlight w:val="none"/>
                      <w:vertAlign w:val="baseline"/>
                      <w:lang w:val="en-US" w:eastAsia="zh-CN"/>
                    </w:rPr>
                    <w:t>暂存</w:t>
                  </w:r>
                </w:p>
                <w:p w14:paraId="2DEDDB9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量（t）</w:t>
                  </w:r>
                </w:p>
              </w:tc>
              <w:tc>
                <w:tcPr>
                  <w:tcW w:w="566" w:type="pct"/>
                  <w:noWrap w:val="0"/>
                  <w:vAlign w:val="center"/>
                </w:tcPr>
                <w:p w14:paraId="3109F03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临界量</w:t>
                  </w:r>
                </w:p>
                <w:p w14:paraId="216321E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（t）</w:t>
                  </w:r>
                </w:p>
              </w:tc>
              <w:tc>
                <w:tcPr>
                  <w:tcW w:w="515" w:type="pct"/>
                  <w:noWrap w:val="0"/>
                  <w:vAlign w:val="center"/>
                </w:tcPr>
                <w:p w14:paraId="0684E8E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qi/Qi值</w:t>
                  </w:r>
                </w:p>
              </w:tc>
            </w:tr>
            <w:tr w14:paraId="5A3AE4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 w:type="pct"/>
                  <w:noWrap w:val="0"/>
                  <w:vAlign w:val="center"/>
                </w:tcPr>
                <w:p w14:paraId="633F643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1</w:t>
                  </w:r>
                </w:p>
              </w:tc>
              <w:tc>
                <w:tcPr>
                  <w:tcW w:w="1365" w:type="pct"/>
                  <w:noWrap w:val="0"/>
                  <w:vAlign w:val="center"/>
                </w:tcPr>
                <w:p w14:paraId="2E5519F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HW08</w:t>
                  </w:r>
                </w:p>
              </w:tc>
              <w:tc>
                <w:tcPr>
                  <w:tcW w:w="475" w:type="pct"/>
                  <w:noWrap w:val="0"/>
                  <w:vAlign w:val="center"/>
                </w:tcPr>
                <w:p w14:paraId="388A69C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液态</w:t>
                  </w:r>
                </w:p>
              </w:tc>
              <w:tc>
                <w:tcPr>
                  <w:tcW w:w="742" w:type="pct"/>
                  <w:vMerge w:val="restart"/>
                  <w:noWrap w:val="0"/>
                  <w:vAlign w:val="center"/>
                </w:tcPr>
                <w:p w14:paraId="2892B30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油类物质</w:t>
                  </w:r>
                </w:p>
              </w:tc>
              <w:tc>
                <w:tcPr>
                  <w:tcW w:w="451" w:type="pct"/>
                  <w:noWrap w:val="0"/>
                  <w:vAlign w:val="center"/>
                </w:tcPr>
                <w:p w14:paraId="4E6A35F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lang w:val="en-US" w:eastAsia="zh-CN"/>
                    </w:rPr>
                    <w:t>桶装</w:t>
                  </w:r>
                </w:p>
              </w:tc>
              <w:tc>
                <w:tcPr>
                  <w:tcW w:w="631" w:type="pct"/>
                  <w:noWrap w:val="0"/>
                  <w:vAlign w:val="center"/>
                </w:tcPr>
                <w:p w14:paraId="63EA124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kern w:val="2"/>
                      <w:sz w:val="21"/>
                      <w:szCs w:val="21"/>
                      <w:highlight w:val="none"/>
                      <w:vertAlign w:val="baseline"/>
                      <w:lang w:val="en-US" w:eastAsia="zh-CN" w:bidi="ar-SA"/>
                    </w:rPr>
                    <w:t>6</w:t>
                  </w:r>
                </w:p>
              </w:tc>
              <w:tc>
                <w:tcPr>
                  <w:tcW w:w="566" w:type="pct"/>
                  <w:noWrap w:val="0"/>
                  <w:vAlign w:val="center"/>
                </w:tcPr>
                <w:p w14:paraId="0D92D7F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2500</w:t>
                  </w:r>
                </w:p>
              </w:tc>
              <w:tc>
                <w:tcPr>
                  <w:tcW w:w="515" w:type="pct"/>
                  <w:noWrap w:val="0"/>
                  <w:vAlign w:val="center"/>
                </w:tcPr>
                <w:p w14:paraId="67C6F4B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0.0024</w:t>
                  </w:r>
                </w:p>
              </w:tc>
            </w:tr>
            <w:tr w14:paraId="43E5DD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 w:type="pct"/>
                  <w:noWrap w:val="0"/>
                  <w:vAlign w:val="center"/>
                </w:tcPr>
                <w:p w14:paraId="28A5384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cs="Times New Roman"/>
                      <w:color w:val="auto"/>
                      <w:sz w:val="21"/>
                      <w:szCs w:val="21"/>
                      <w:highlight w:val="none"/>
                      <w:vertAlign w:val="baseline"/>
                      <w:lang w:val="en-US" w:eastAsia="zh-CN"/>
                    </w:rPr>
                    <w:t>2</w:t>
                  </w:r>
                </w:p>
              </w:tc>
              <w:tc>
                <w:tcPr>
                  <w:tcW w:w="1365" w:type="pct"/>
                  <w:noWrap w:val="0"/>
                  <w:vAlign w:val="center"/>
                </w:tcPr>
                <w:p w14:paraId="39BF033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HW09</w:t>
                  </w:r>
                </w:p>
              </w:tc>
              <w:tc>
                <w:tcPr>
                  <w:tcW w:w="475" w:type="pct"/>
                  <w:noWrap w:val="0"/>
                  <w:vAlign w:val="center"/>
                </w:tcPr>
                <w:p w14:paraId="3DC1796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cs="Times New Roman"/>
                      <w:color w:val="auto"/>
                      <w:sz w:val="21"/>
                      <w:szCs w:val="21"/>
                      <w:highlight w:val="none"/>
                      <w:vertAlign w:val="baseline"/>
                      <w:lang w:val="en-US" w:eastAsia="zh-CN"/>
                    </w:rPr>
                    <w:t>液态</w:t>
                  </w:r>
                </w:p>
              </w:tc>
              <w:tc>
                <w:tcPr>
                  <w:tcW w:w="742" w:type="pct"/>
                  <w:vMerge w:val="continue"/>
                  <w:noWrap w:val="0"/>
                  <w:vAlign w:val="center"/>
                </w:tcPr>
                <w:p w14:paraId="3DE80A3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color w:val="auto"/>
                      <w:sz w:val="21"/>
                      <w:szCs w:val="21"/>
                      <w:highlight w:val="none"/>
                      <w:vertAlign w:val="baseline"/>
                      <w:lang w:val="en-US" w:eastAsia="zh-CN"/>
                    </w:rPr>
                  </w:pPr>
                </w:p>
              </w:tc>
              <w:tc>
                <w:tcPr>
                  <w:tcW w:w="451" w:type="pct"/>
                  <w:noWrap w:val="0"/>
                  <w:vAlign w:val="center"/>
                </w:tcPr>
                <w:p w14:paraId="1344CB4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vertAlign w:val="baseline"/>
                      <w:lang w:val="en-US" w:eastAsia="zh-CN"/>
                    </w:rPr>
                    <w:t>桶装</w:t>
                  </w:r>
                </w:p>
              </w:tc>
              <w:tc>
                <w:tcPr>
                  <w:tcW w:w="631" w:type="pct"/>
                  <w:noWrap w:val="0"/>
                  <w:vAlign w:val="center"/>
                </w:tcPr>
                <w:p w14:paraId="52A673A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kern w:val="2"/>
                      <w:sz w:val="21"/>
                      <w:szCs w:val="21"/>
                      <w:highlight w:val="none"/>
                      <w:vertAlign w:val="baseline"/>
                      <w:lang w:val="en-US" w:eastAsia="zh-CN" w:bidi="ar-SA"/>
                    </w:rPr>
                    <w:t>4</w:t>
                  </w:r>
                </w:p>
              </w:tc>
              <w:tc>
                <w:tcPr>
                  <w:tcW w:w="566" w:type="pct"/>
                  <w:noWrap w:val="0"/>
                  <w:vAlign w:val="center"/>
                </w:tcPr>
                <w:p w14:paraId="69EC658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kern w:val="2"/>
                      <w:sz w:val="21"/>
                      <w:szCs w:val="21"/>
                      <w:highlight w:val="none"/>
                      <w:vertAlign w:val="baseline"/>
                      <w:lang w:val="en-US" w:eastAsia="zh-CN" w:bidi="ar-SA"/>
                    </w:rPr>
                    <w:t>2500</w:t>
                  </w:r>
                </w:p>
              </w:tc>
              <w:tc>
                <w:tcPr>
                  <w:tcW w:w="515" w:type="pct"/>
                  <w:noWrap w:val="0"/>
                  <w:vAlign w:val="center"/>
                </w:tcPr>
                <w:p w14:paraId="2D8D888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0.0016</w:t>
                  </w:r>
                </w:p>
              </w:tc>
            </w:tr>
            <w:tr w14:paraId="2CD0E0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 w:type="pct"/>
                  <w:noWrap w:val="0"/>
                  <w:vAlign w:val="center"/>
                </w:tcPr>
                <w:p w14:paraId="0B38123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3</w:t>
                  </w:r>
                </w:p>
              </w:tc>
              <w:tc>
                <w:tcPr>
                  <w:tcW w:w="1365" w:type="pct"/>
                  <w:noWrap w:val="0"/>
                  <w:vAlign w:val="center"/>
                </w:tcPr>
                <w:p w14:paraId="4C0E5DE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HW02、HW03、HW04、HW11、HW12、HW13、HW16、HW17、HW18、HW19、HW21、HW29、HW31、HW34、HW35、HW36、HW38、HW39、HW40、HW45、HW46、HW49、HW50</w:t>
                  </w:r>
                </w:p>
              </w:tc>
              <w:tc>
                <w:tcPr>
                  <w:tcW w:w="475" w:type="pct"/>
                  <w:noWrap w:val="0"/>
                  <w:vAlign w:val="center"/>
                </w:tcPr>
                <w:p w14:paraId="5FFB975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液态/固态</w:t>
                  </w:r>
                </w:p>
              </w:tc>
              <w:tc>
                <w:tcPr>
                  <w:tcW w:w="742" w:type="pct"/>
                  <w:noWrap w:val="0"/>
                  <w:vAlign w:val="center"/>
                </w:tcPr>
                <w:p w14:paraId="634D650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健康危险急</w:t>
                  </w:r>
                </w:p>
                <w:p w14:paraId="267602C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性毒性物质</w:t>
                  </w:r>
                </w:p>
                <w:p w14:paraId="2D1727C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(类别3)</w:t>
                  </w:r>
                </w:p>
              </w:tc>
              <w:tc>
                <w:tcPr>
                  <w:tcW w:w="451" w:type="pct"/>
                  <w:noWrap w:val="0"/>
                  <w:vAlign w:val="center"/>
                </w:tcPr>
                <w:p w14:paraId="4136394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桶装/</w:t>
                  </w:r>
                </w:p>
                <w:p w14:paraId="219AAE6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袋装</w:t>
                  </w:r>
                </w:p>
              </w:tc>
              <w:tc>
                <w:tcPr>
                  <w:tcW w:w="631" w:type="pct"/>
                  <w:noWrap w:val="0"/>
                  <w:vAlign w:val="center"/>
                </w:tcPr>
                <w:p w14:paraId="0D83297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kern w:val="2"/>
                      <w:sz w:val="21"/>
                      <w:szCs w:val="21"/>
                      <w:highlight w:val="none"/>
                      <w:vertAlign w:val="baseline"/>
                      <w:lang w:val="en-US" w:eastAsia="zh-CN" w:bidi="ar-SA"/>
                    </w:rPr>
                    <w:t>40</w:t>
                  </w:r>
                </w:p>
              </w:tc>
              <w:tc>
                <w:tcPr>
                  <w:tcW w:w="566" w:type="pct"/>
                  <w:noWrap w:val="0"/>
                  <w:vAlign w:val="center"/>
                </w:tcPr>
                <w:p w14:paraId="2F7C426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kern w:val="2"/>
                      <w:sz w:val="21"/>
                      <w:szCs w:val="21"/>
                      <w:highlight w:val="none"/>
                      <w:vertAlign w:val="baseline"/>
                      <w:lang w:val="en-US" w:eastAsia="zh-CN" w:bidi="ar-SA"/>
                    </w:rPr>
                    <w:t>50</w:t>
                  </w:r>
                </w:p>
              </w:tc>
              <w:tc>
                <w:tcPr>
                  <w:tcW w:w="515" w:type="pct"/>
                  <w:noWrap w:val="0"/>
                  <w:vAlign w:val="center"/>
                </w:tcPr>
                <w:p w14:paraId="15DC01E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0.</w:t>
                  </w:r>
                  <w:r>
                    <w:rPr>
                      <w:rFonts w:hint="eastAsia" w:cs="Times New Roman"/>
                      <w:color w:val="auto"/>
                      <w:sz w:val="21"/>
                      <w:szCs w:val="21"/>
                      <w:highlight w:val="none"/>
                      <w:vertAlign w:val="baseline"/>
                      <w:lang w:val="en-US" w:eastAsia="zh-CN"/>
                    </w:rPr>
                    <w:t>8</w:t>
                  </w:r>
                </w:p>
              </w:tc>
            </w:tr>
            <w:tr w14:paraId="19F238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84" w:type="pct"/>
                  <w:gridSpan w:val="7"/>
                  <w:noWrap w:val="0"/>
                  <w:vAlign w:val="center"/>
                </w:tcPr>
                <w:p w14:paraId="504DAC6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kern w:val="2"/>
                      <w:sz w:val="21"/>
                      <w:szCs w:val="21"/>
                      <w:highlight w:val="none"/>
                      <w:vertAlign w:val="baseline"/>
                      <w:lang w:val="en-US" w:eastAsia="zh-CN" w:bidi="ar-SA"/>
                    </w:rPr>
                    <w:t>项目Q值</w:t>
                  </w:r>
                </w:p>
              </w:tc>
              <w:tc>
                <w:tcPr>
                  <w:tcW w:w="515" w:type="pct"/>
                  <w:noWrap w:val="0"/>
                  <w:vAlign w:val="center"/>
                </w:tcPr>
                <w:p w14:paraId="7D38677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0.</w:t>
                  </w:r>
                  <w:r>
                    <w:rPr>
                      <w:rFonts w:hint="eastAsia" w:cs="Times New Roman"/>
                      <w:color w:val="auto"/>
                      <w:sz w:val="21"/>
                      <w:szCs w:val="21"/>
                      <w:highlight w:val="none"/>
                      <w:vertAlign w:val="baseline"/>
                      <w:lang w:val="en-US" w:eastAsia="zh-CN"/>
                    </w:rPr>
                    <w:t>804</w:t>
                  </w:r>
                </w:p>
              </w:tc>
            </w:tr>
          </w:tbl>
          <w:p w14:paraId="542DC3C0">
            <w:pPr>
              <w:keepNext w:val="0"/>
              <w:keepLines w:val="0"/>
              <w:pageBreakBefore w:val="0"/>
              <w:widowControl/>
              <w:numPr>
                <w:ilvl w:val="0"/>
                <w:numId w:val="36"/>
              </w:numPr>
              <w:suppressLineNumbers w:val="0"/>
              <w:kinsoku/>
              <w:wordWrap/>
              <w:overflowPunct/>
              <w:topLinePunct w:val="0"/>
              <w:autoSpaceDE/>
              <w:autoSpaceDN/>
              <w:bidi w:val="0"/>
              <w:adjustRightInd/>
              <w:snapToGrid/>
              <w:spacing w:line="360" w:lineRule="auto"/>
              <w:ind w:left="0" w:leftChars="0" w:firstLine="480" w:firstLineChars="200"/>
              <w:jc w:val="left"/>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环境风险潜势初判</w:t>
            </w:r>
          </w:p>
          <w:p w14:paraId="787A980C">
            <w:pPr>
              <w:keepNext w:val="0"/>
              <w:keepLines w:val="0"/>
              <w:pageBreakBefore w:val="0"/>
              <w:kinsoku/>
              <w:wordWrap/>
              <w:overflowPunct/>
              <w:topLinePunct w:val="0"/>
              <w:autoSpaceDE/>
              <w:autoSpaceDN/>
              <w:bidi w:val="0"/>
              <w:adjustRightInd/>
              <w:snapToGrid/>
              <w:spacing w:line="360" w:lineRule="auto"/>
              <w:ind w:firstLine="48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计算所涉及的每种环境风险物质在厂界内的最大存在总量（如存在总量呈动态变化，则按公历年度内某一天最大存在总量计算；在不同厂区的同一种物质，按其在厂界内的最大存在总量计算）与其在附录B中对应的临界量的比值Q：</w:t>
            </w:r>
          </w:p>
          <w:p w14:paraId="4D97B6B1">
            <w:pPr>
              <w:keepNext w:val="0"/>
              <w:keepLines w:val="0"/>
              <w:pageBreakBefore w:val="0"/>
              <w:kinsoku/>
              <w:wordWrap/>
              <w:overflowPunct/>
              <w:topLinePunct w:val="0"/>
              <w:autoSpaceDE/>
              <w:autoSpaceDN/>
              <w:bidi w:val="0"/>
              <w:adjustRightInd/>
              <w:snapToGrid/>
              <w:spacing w:line="360" w:lineRule="auto"/>
              <w:ind w:firstLine="48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rPr>
              <w:t>当企业只涉及一种环境</w:t>
            </w:r>
            <w:r>
              <w:rPr>
                <w:rFonts w:hint="default" w:ascii="Times New Roman" w:hAnsi="Times New Roman" w:cs="Times New Roman"/>
                <w:color w:val="auto"/>
                <w:sz w:val="24"/>
                <w:szCs w:val="24"/>
                <w:highlight w:val="none"/>
                <w:lang w:eastAsia="zh-CN"/>
              </w:rPr>
              <w:t>危险物质</w:t>
            </w:r>
            <w:r>
              <w:rPr>
                <w:rFonts w:hint="default" w:ascii="Times New Roman" w:hAnsi="Times New Roman" w:cs="Times New Roman"/>
                <w:color w:val="auto"/>
                <w:sz w:val="24"/>
                <w:szCs w:val="24"/>
                <w:highlight w:val="none"/>
              </w:rPr>
              <w:t>时，计算该物质的总数量与其临界量比值，即为Q；当企业存在多种环境</w:t>
            </w:r>
            <w:r>
              <w:rPr>
                <w:rFonts w:hint="default" w:ascii="Times New Roman" w:hAnsi="Times New Roman" w:cs="Times New Roman"/>
                <w:color w:val="auto"/>
                <w:sz w:val="24"/>
                <w:szCs w:val="24"/>
                <w:highlight w:val="none"/>
                <w:lang w:eastAsia="zh-CN"/>
              </w:rPr>
              <w:t>危险物质</w:t>
            </w:r>
            <w:r>
              <w:rPr>
                <w:rFonts w:hint="default" w:ascii="Times New Roman" w:hAnsi="Times New Roman" w:cs="Times New Roman"/>
                <w:color w:val="auto"/>
                <w:sz w:val="24"/>
                <w:szCs w:val="24"/>
                <w:highlight w:val="none"/>
              </w:rPr>
              <w:t>时，则</w:t>
            </w:r>
            <w:r>
              <w:rPr>
                <w:rFonts w:hint="default" w:ascii="Times New Roman" w:hAnsi="Times New Roman" w:cs="Times New Roman"/>
                <w:color w:val="auto"/>
                <w:sz w:val="24"/>
                <w:szCs w:val="24"/>
                <w:highlight w:val="none"/>
                <w:lang w:val="en-US" w:eastAsia="zh-CN"/>
              </w:rPr>
              <w:t>按下式计算物质总量与其临界量比值：</w:t>
            </w:r>
          </w:p>
          <w:p w14:paraId="7B9CA599">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center"/>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position w:val="-30"/>
                <w:sz w:val="24"/>
                <w:szCs w:val="24"/>
                <w:highlight w:val="none"/>
                <w:lang w:val="en-US" w:eastAsia="zh-CN"/>
              </w:rPr>
              <w:object>
                <v:shape id="_x0000_i1028" o:spt="75" type="#_x0000_t75" style="height:34pt;width:66pt;" o:ole="t" filled="f" o:preferrelative="t" stroked="f" coordsize="21600,21600">
                  <v:path/>
                  <v:fill on="f" focussize="0,0"/>
                  <v:stroke on="f"/>
                  <v:imagedata r:id="rId17" o:title=""/>
                  <o:lock v:ext="edit" aspectratio="t"/>
                  <w10:wrap type="none"/>
                  <w10:anchorlock/>
                </v:shape>
                <o:OLEObject Type="Embed" ProgID="Equation.KSEE3" ShapeID="_x0000_i1028" DrawAspect="Content" ObjectID="_1468075728" r:id="rId16">
                  <o:LockedField>false</o:LockedField>
                </o:OLEObject>
              </w:object>
            </w:r>
          </w:p>
          <w:p w14:paraId="54C7319E">
            <w:pPr>
              <w:keepNext w:val="0"/>
              <w:keepLines w:val="0"/>
              <w:pageBreakBefore w:val="0"/>
              <w:kinsoku/>
              <w:wordWrap/>
              <w:overflowPunct/>
              <w:topLinePunct w:val="0"/>
              <w:autoSpaceDE/>
              <w:autoSpaceDN/>
              <w:bidi w:val="0"/>
              <w:adjustRightInd/>
              <w:snapToGrid/>
              <w:spacing w:line="360" w:lineRule="auto"/>
              <w:ind w:firstLine="48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式中：q——该物质最大存在量，t；</w:t>
            </w:r>
          </w:p>
          <w:p w14:paraId="4C86A4AC">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 xml:space="preserve">      Q——该物质临界量t。</w:t>
            </w:r>
          </w:p>
          <w:p w14:paraId="4526D4CD">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当 Q＜1 时，该项目环境风险潜势为Ⅰ；</w:t>
            </w:r>
          </w:p>
          <w:p w14:paraId="130A132E">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当 Q≥1 时，将 Q 值划分为：①1≤Q ＜10；②10≤Q＜100；③Q≥100。</w:t>
            </w:r>
          </w:p>
          <w:p w14:paraId="33943209">
            <w:pPr>
              <w:pStyle w:val="99"/>
              <w:keepNext w:val="0"/>
              <w:keepLines w:val="0"/>
              <w:pageBreakBefore w:val="0"/>
              <w:widowControl w:val="0"/>
              <w:kinsoku/>
              <w:wordWrap/>
              <w:overflowPunct/>
              <w:topLinePunct w:val="0"/>
              <w:autoSpaceDE/>
              <w:autoSpaceDN/>
              <w:bidi w:val="0"/>
              <w:adjustRightInd/>
              <w:snapToGrid/>
              <w:spacing w:before="0" w:after="0" w:line="360" w:lineRule="auto"/>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根据</w:t>
            </w:r>
            <w:r>
              <w:rPr>
                <w:rFonts w:hint="eastAsia" w:cs="Times New Roman"/>
                <w:color w:val="auto"/>
                <w:sz w:val="24"/>
                <w:szCs w:val="24"/>
                <w:highlight w:val="none"/>
                <w:lang w:val="en-US" w:eastAsia="zh-CN"/>
              </w:rPr>
              <w:t>表4-12</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项目危险物质数量与临界量比值Q=</w:t>
            </w:r>
            <w:r>
              <w:rPr>
                <w:rFonts w:hint="eastAsia" w:ascii="Times New Roman" w:hAnsi="Times New Roman" w:eastAsia="宋体" w:cs="Times New Roman"/>
                <w:color w:val="auto"/>
                <w:sz w:val="24"/>
                <w:szCs w:val="24"/>
                <w:highlight w:val="none"/>
                <w:lang w:val="en-US" w:eastAsia="zh-CN"/>
              </w:rPr>
              <w:t>0.</w:t>
            </w:r>
            <w:r>
              <w:rPr>
                <w:rFonts w:hint="eastAsia" w:cs="Times New Roman"/>
                <w:color w:val="auto"/>
                <w:sz w:val="24"/>
                <w:szCs w:val="24"/>
                <w:highlight w:val="none"/>
                <w:lang w:val="en-US" w:eastAsia="zh-CN"/>
              </w:rPr>
              <w:t>804</w:t>
            </w:r>
            <w:r>
              <w:rPr>
                <w:rFonts w:hint="eastAsia" w:ascii="Times New Roman" w:hAnsi="Times New Roman" w:eastAsia="宋体"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lang w:val="en-US" w:eastAsia="zh-CN"/>
              </w:rPr>
              <w:t>。</w:t>
            </w:r>
            <w:r>
              <w:rPr>
                <w:rFonts w:hint="eastAsia" w:ascii="Times New Roman" w:hAnsi="Times New Roman" w:eastAsia="宋体" w:cs="Times New Roman"/>
                <w:color w:val="auto"/>
                <w:sz w:val="24"/>
                <w:szCs w:val="24"/>
                <w:highlight w:val="none"/>
                <w:lang w:val="en-US" w:eastAsia="zh-CN"/>
              </w:rPr>
              <w:t>风险潜势为</w:t>
            </w:r>
            <w:r>
              <w:rPr>
                <w:rFonts w:hint="default" w:ascii="Times New Roman" w:hAnsi="Times New Roman" w:eastAsia="宋体" w:cs="Times New Roman"/>
                <w:color w:val="auto"/>
                <w:sz w:val="24"/>
                <w:szCs w:val="24"/>
                <w:highlight w:val="none"/>
                <w:lang w:val="en-US" w:eastAsia="zh-CN"/>
              </w:rPr>
              <w:t>Ⅰ</w:t>
            </w:r>
            <w:r>
              <w:rPr>
                <w:rFonts w:hint="eastAsia" w:ascii="Times New Roman" w:hAnsi="Times New Roman" w:eastAsia="宋体" w:cs="Times New Roman"/>
                <w:color w:val="auto"/>
                <w:sz w:val="24"/>
                <w:szCs w:val="24"/>
                <w:highlight w:val="none"/>
                <w:lang w:val="en-US" w:eastAsia="zh-CN"/>
              </w:rPr>
              <w:t>。</w:t>
            </w:r>
          </w:p>
          <w:p w14:paraId="1D3C8D69">
            <w:pPr>
              <w:keepNext w:val="0"/>
              <w:keepLines w:val="0"/>
              <w:pageBreakBefore w:val="0"/>
              <w:widowControl/>
              <w:numPr>
                <w:ilvl w:val="0"/>
                <w:numId w:val="36"/>
              </w:numPr>
              <w:suppressLineNumbers w:val="0"/>
              <w:kinsoku/>
              <w:wordWrap/>
              <w:overflowPunct/>
              <w:topLinePunct w:val="0"/>
              <w:autoSpaceDE/>
              <w:autoSpaceDN/>
              <w:bidi w:val="0"/>
              <w:adjustRightInd/>
              <w:snapToGrid/>
              <w:spacing w:line="360" w:lineRule="auto"/>
              <w:ind w:left="0" w:leftChars="0" w:firstLine="480" w:firstLineChars="200"/>
              <w:jc w:val="left"/>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评价等级</w:t>
            </w:r>
          </w:p>
          <w:p w14:paraId="4C9DA718">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根据导则中评价等级划分原则，环境风险评价工作等级划分为一级、二级、三级，见</w:t>
            </w:r>
            <w:r>
              <w:rPr>
                <w:rFonts w:hint="eastAsia" w:cs="Times New Roman"/>
                <w:color w:val="auto"/>
                <w:sz w:val="24"/>
                <w:szCs w:val="24"/>
                <w:lang w:val="en-US" w:eastAsia="zh-CN"/>
              </w:rPr>
              <w:t>下表</w:t>
            </w:r>
            <w:r>
              <w:rPr>
                <w:rFonts w:hint="eastAsia" w:ascii="Times New Roman" w:hAnsi="Times New Roman" w:eastAsia="宋体" w:cs="Times New Roman"/>
                <w:color w:val="auto"/>
                <w:sz w:val="24"/>
                <w:szCs w:val="24"/>
                <w:lang w:val="en-US" w:eastAsia="zh-CN"/>
              </w:rPr>
              <w:t>。</w:t>
            </w:r>
          </w:p>
          <w:p w14:paraId="26F7B6C0">
            <w:pPr>
              <w:keepNext w:val="0"/>
              <w:keepLines w:val="0"/>
              <w:pageBreakBefore w:val="0"/>
              <w:widowControl w:val="0"/>
              <w:numPr>
                <w:ilvl w:val="0"/>
                <w:numId w:val="31"/>
              </w:numPr>
              <w:kinsoku/>
              <w:wordWrap/>
              <w:overflowPunct/>
              <w:topLinePunct w:val="0"/>
              <w:autoSpaceDE w:val="0"/>
              <w:autoSpaceDN w:val="0"/>
              <w:bidi w:val="0"/>
              <w:adjustRightInd w:val="0"/>
              <w:snapToGrid/>
              <w:spacing w:line="360" w:lineRule="auto"/>
              <w:ind w:left="3150" w:leftChars="0" w:hanging="3110" w:firstLineChars="0"/>
              <w:jc w:val="center"/>
              <w:textAlignment w:val="auto"/>
              <w:rPr>
                <w:rFonts w:hint="default" w:ascii="宋体" w:hAnsi="宋体" w:eastAsia="宋体" w:cs="宋体"/>
                <w:b/>
                <w:bCs/>
                <w:color w:val="auto"/>
                <w:kern w:val="0"/>
                <w:sz w:val="24"/>
                <w:szCs w:val="24"/>
                <w:lang w:val="en-US" w:eastAsia="zh-CN" w:bidi="ar"/>
              </w:rPr>
            </w:pPr>
            <w:r>
              <w:rPr>
                <w:rFonts w:hint="default" w:ascii="宋体" w:hAnsi="宋体" w:eastAsia="宋体" w:cs="宋体"/>
                <w:b/>
                <w:bCs/>
                <w:color w:val="auto"/>
                <w:kern w:val="0"/>
                <w:sz w:val="24"/>
                <w:szCs w:val="24"/>
                <w:lang w:val="en-US" w:eastAsia="zh-CN" w:bidi="ar"/>
              </w:rPr>
              <w:t>环境风险评价等级划分表</w:t>
            </w:r>
          </w:p>
          <w:tbl>
            <w:tblPr>
              <w:tblStyle w:val="89"/>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779"/>
              <w:gridCol w:w="1774"/>
              <w:gridCol w:w="1753"/>
              <w:gridCol w:w="1785"/>
              <w:gridCol w:w="1612"/>
            </w:tblGrid>
            <w:tr w14:paraId="6A9B458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39" w:hRule="atLeast"/>
                <w:jc w:val="center"/>
              </w:trPr>
              <w:tc>
                <w:tcPr>
                  <w:tcW w:w="1716" w:type="dxa"/>
                  <w:tcBorders>
                    <w:tl2br w:val="nil"/>
                    <w:tr2bl w:val="nil"/>
                  </w:tcBorders>
                  <w:noWrap/>
                </w:tcPr>
                <w:p w14:paraId="33014594">
                  <w:pPr>
                    <w:pStyle w:val="90"/>
                    <w:spacing w:before="82" w:line="219" w:lineRule="auto"/>
                    <w:ind w:left="305"/>
                    <w:rPr>
                      <w:rFonts w:ascii="Times New Roman" w:hAnsi="Times New Roman" w:cs="Times New Roman"/>
                      <w:color w:val="auto"/>
                      <w:sz w:val="21"/>
                      <w:szCs w:val="21"/>
                    </w:rPr>
                  </w:pPr>
                  <w:r>
                    <w:rPr>
                      <w:rFonts w:ascii="Times New Roman" w:hAnsi="Times New Roman" w:cs="Times New Roman"/>
                      <w:color w:val="auto"/>
                      <w:spacing w:val="2"/>
                      <w:sz w:val="21"/>
                      <w:szCs w:val="21"/>
                    </w:rPr>
                    <w:t>环境风险潜势</w:t>
                  </w:r>
                </w:p>
              </w:tc>
              <w:tc>
                <w:tcPr>
                  <w:tcW w:w="1711" w:type="dxa"/>
                  <w:tcBorders>
                    <w:tl2br w:val="nil"/>
                    <w:tr2bl w:val="nil"/>
                  </w:tcBorders>
                  <w:noWrap/>
                </w:tcPr>
                <w:p w14:paraId="56390AED">
                  <w:pPr>
                    <w:pStyle w:val="90"/>
                    <w:spacing w:before="127" w:line="182" w:lineRule="auto"/>
                    <w:ind w:left="522"/>
                    <w:rPr>
                      <w:rFonts w:ascii="Times New Roman" w:hAnsi="Times New Roman" w:cs="Times New Roman"/>
                      <w:color w:val="auto"/>
                      <w:sz w:val="21"/>
                      <w:szCs w:val="21"/>
                    </w:rPr>
                  </w:pPr>
                  <w:r>
                    <w:rPr>
                      <w:rFonts w:ascii="Times New Roman" w:hAnsi="Times New Roman" w:cs="Times New Roman"/>
                      <w:color w:val="auto"/>
                      <w:spacing w:val="-3"/>
                      <w:sz w:val="21"/>
                      <w:szCs w:val="21"/>
                    </w:rPr>
                    <w:t>IV、IV+</w:t>
                  </w:r>
                </w:p>
              </w:tc>
              <w:tc>
                <w:tcPr>
                  <w:tcW w:w="1691" w:type="dxa"/>
                  <w:tcBorders>
                    <w:tl2br w:val="nil"/>
                    <w:tr2bl w:val="nil"/>
                  </w:tcBorders>
                  <w:noWrap/>
                </w:tcPr>
                <w:p w14:paraId="248F20AF">
                  <w:pPr>
                    <w:pStyle w:val="90"/>
                    <w:spacing w:before="97" w:line="235" w:lineRule="auto"/>
                    <w:ind w:left="745"/>
                    <w:rPr>
                      <w:rFonts w:ascii="Times New Roman" w:hAnsi="Times New Roman" w:cs="Times New Roman"/>
                      <w:color w:val="auto"/>
                      <w:sz w:val="21"/>
                      <w:szCs w:val="21"/>
                    </w:rPr>
                  </w:pPr>
                  <w:r>
                    <w:rPr>
                      <w:rFonts w:ascii="Times New Roman" w:hAnsi="Times New Roman" w:cs="Times New Roman"/>
                      <w:color w:val="auto"/>
                      <w:sz w:val="21"/>
                      <w:szCs w:val="21"/>
                    </w:rPr>
                    <w:t>Ⅲ</w:t>
                  </w:r>
                </w:p>
              </w:tc>
              <w:tc>
                <w:tcPr>
                  <w:tcW w:w="1721" w:type="dxa"/>
                  <w:tcBorders>
                    <w:tl2br w:val="nil"/>
                    <w:tr2bl w:val="nil"/>
                  </w:tcBorders>
                  <w:noWrap/>
                </w:tcPr>
                <w:p w14:paraId="6EE77C86">
                  <w:pPr>
                    <w:pStyle w:val="90"/>
                    <w:spacing w:before="97" w:line="235" w:lineRule="auto"/>
                    <w:ind w:left="756"/>
                    <w:rPr>
                      <w:rFonts w:ascii="Times New Roman" w:hAnsi="Times New Roman" w:cs="Times New Roman"/>
                      <w:color w:val="auto"/>
                      <w:sz w:val="21"/>
                      <w:szCs w:val="21"/>
                    </w:rPr>
                  </w:pPr>
                  <w:r>
                    <w:rPr>
                      <w:rFonts w:ascii="Times New Roman" w:hAnsi="Times New Roman" w:cs="Times New Roman"/>
                      <w:color w:val="auto"/>
                      <w:sz w:val="21"/>
                      <w:szCs w:val="21"/>
                    </w:rPr>
                    <w:t>Ⅱ</w:t>
                  </w:r>
                </w:p>
              </w:tc>
              <w:tc>
                <w:tcPr>
                  <w:tcW w:w="1554" w:type="dxa"/>
                  <w:tcBorders>
                    <w:tl2br w:val="nil"/>
                    <w:tr2bl w:val="nil"/>
                  </w:tcBorders>
                  <w:noWrap/>
                </w:tcPr>
                <w:p w14:paraId="19DFE494">
                  <w:pPr>
                    <w:pStyle w:val="90"/>
                    <w:spacing w:before="129" w:line="182" w:lineRule="auto"/>
                    <w:ind w:left="721"/>
                    <w:rPr>
                      <w:rFonts w:ascii="Times New Roman" w:hAnsi="Times New Roman" w:cs="Times New Roman"/>
                      <w:color w:val="auto"/>
                      <w:sz w:val="21"/>
                      <w:szCs w:val="21"/>
                    </w:rPr>
                  </w:pPr>
                  <w:r>
                    <w:rPr>
                      <w:rFonts w:ascii="Times New Roman" w:hAnsi="Times New Roman" w:cs="Times New Roman"/>
                      <w:color w:val="auto"/>
                      <w:spacing w:val="-2"/>
                      <w:sz w:val="21"/>
                      <w:szCs w:val="21"/>
                    </w:rPr>
                    <w:t>I</w:t>
                  </w:r>
                </w:p>
              </w:tc>
            </w:tr>
            <w:tr w14:paraId="1672892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0" w:hRule="atLeast"/>
                <w:jc w:val="center"/>
              </w:trPr>
              <w:tc>
                <w:tcPr>
                  <w:tcW w:w="1716" w:type="dxa"/>
                  <w:tcBorders>
                    <w:tl2br w:val="nil"/>
                    <w:tr2bl w:val="nil"/>
                  </w:tcBorders>
                  <w:noWrap/>
                </w:tcPr>
                <w:p w14:paraId="4F30942E">
                  <w:pPr>
                    <w:pStyle w:val="90"/>
                    <w:spacing w:before="124" w:line="178"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评价工作等级</w:t>
                  </w:r>
                </w:p>
              </w:tc>
              <w:tc>
                <w:tcPr>
                  <w:tcW w:w="1711" w:type="dxa"/>
                  <w:tcBorders>
                    <w:tl2br w:val="nil"/>
                    <w:tr2bl w:val="nil"/>
                  </w:tcBorders>
                  <w:noWrap/>
                  <w:vAlign w:val="center"/>
                </w:tcPr>
                <w:p w14:paraId="5EFE8FF0">
                  <w:pPr>
                    <w:pStyle w:val="90"/>
                    <w:jc w:val="center"/>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一</w:t>
                  </w:r>
                </w:p>
              </w:tc>
              <w:tc>
                <w:tcPr>
                  <w:tcW w:w="1691" w:type="dxa"/>
                  <w:tcBorders>
                    <w:tl2br w:val="nil"/>
                    <w:tr2bl w:val="nil"/>
                  </w:tcBorders>
                  <w:noWrap/>
                  <w:vAlign w:val="center"/>
                </w:tcPr>
                <w:p w14:paraId="1C1F2F6B">
                  <w:pPr>
                    <w:pStyle w:val="90"/>
                    <w:jc w:val="center"/>
                    <w:rPr>
                      <w:rFonts w:ascii="Times New Roman" w:hAnsi="Times New Roman" w:cs="Times New Roman"/>
                      <w:color w:val="auto"/>
                      <w:sz w:val="21"/>
                      <w:szCs w:val="21"/>
                    </w:rPr>
                  </w:pPr>
                  <w:r>
                    <w:rPr>
                      <w:rFonts w:ascii="Times New Roman" w:hAnsi="Times New Roman" w:cs="Times New Roman"/>
                      <w:color w:val="auto"/>
                      <w:sz w:val="21"/>
                      <w:szCs w:val="21"/>
                    </w:rPr>
                    <w:t>二</w:t>
                  </w:r>
                </w:p>
              </w:tc>
              <w:tc>
                <w:tcPr>
                  <w:tcW w:w="1721" w:type="dxa"/>
                  <w:tcBorders>
                    <w:tl2br w:val="nil"/>
                    <w:tr2bl w:val="nil"/>
                  </w:tcBorders>
                  <w:noWrap/>
                  <w:vAlign w:val="center"/>
                </w:tcPr>
                <w:p w14:paraId="5F9B26E2">
                  <w:pPr>
                    <w:pStyle w:val="90"/>
                    <w:jc w:val="center"/>
                    <w:rPr>
                      <w:rFonts w:ascii="Times New Roman" w:hAnsi="Times New Roman" w:cs="Times New Roman"/>
                      <w:color w:val="auto"/>
                      <w:sz w:val="21"/>
                      <w:szCs w:val="21"/>
                    </w:rPr>
                  </w:pPr>
                  <w:r>
                    <w:rPr>
                      <w:rFonts w:ascii="Times New Roman" w:hAnsi="Times New Roman" w:cs="Times New Roman"/>
                      <w:color w:val="auto"/>
                      <w:sz w:val="21"/>
                      <w:szCs w:val="21"/>
                    </w:rPr>
                    <w:t>三</w:t>
                  </w:r>
                </w:p>
              </w:tc>
              <w:tc>
                <w:tcPr>
                  <w:tcW w:w="1554" w:type="dxa"/>
                  <w:tcBorders>
                    <w:tl2br w:val="nil"/>
                    <w:tr2bl w:val="nil"/>
                  </w:tcBorders>
                  <w:noWrap/>
                  <w:vAlign w:val="center"/>
                </w:tcPr>
                <w:p w14:paraId="4F967239">
                  <w:pPr>
                    <w:pStyle w:val="90"/>
                    <w:jc w:val="center"/>
                    <w:rPr>
                      <w:rFonts w:ascii="Times New Roman" w:hAnsi="Times New Roman" w:cs="Times New Roman"/>
                      <w:color w:val="auto"/>
                      <w:sz w:val="21"/>
                      <w:szCs w:val="21"/>
                    </w:rPr>
                  </w:pPr>
                  <w:r>
                    <w:rPr>
                      <w:rFonts w:ascii="Times New Roman" w:hAnsi="Times New Roman" w:cs="Times New Roman"/>
                      <w:color w:val="auto"/>
                      <w:spacing w:val="-4"/>
                      <w:sz w:val="21"/>
                      <w:szCs w:val="21"/>
                    </w:rPr>
                    <w:t>简单分析</w:t>
                  </w:r>
                </w:p>
              </w:tc>
            </w:tr>
          </w:tbl>
          <w:p w14:paraId="264060F8">
            <w:pPr>
              <w:keepNext w:val="0"/>
              <w:keepLines w:val="0"/>
              <w:pageBreakBefore w:val="0"/>
              <w:widowControl/>
              <w:numPr>
                <w:ilvl w:val="0"/>
                <w:numId w:val="36"/>
              </w:numPr>
              <w:suppressLineNumbers w:val="0"/>
              <w:kinsoku/>
              <w:wordWrap/>
              <w:overflowPunct/>
              <w:topLinePunct w:val="0"/>
              <w:autoSpaceDE/>
              <w:autoSpaceDN/>
              <w:bidi w:val="0"/>
              <w:adjustRightInd/>
              <w:snapToGrid/>
              <w:spacing w:line="360" w:lineRule="auto"/>
              <w:ind w:left="0" w:leftChars="0" w:firstLine="480" w:firstLineChars="200"/>
              <w:jc w:val="left"/>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环境风险识别</w:t>
            </w:r>
          </w:p>
          <w:p w14:paraId="7D09B8C9">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(1)收集运输过程风险识别</w:t>
            </w:r>
          </w:p>
          <w:p w14:paraId="6521D8FA">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项目收集和转运的危险废物具有易燃性、腐蚀性、毒性等危险特性，运输过程中存在的潜在风险主要有：</w:t>
            </w:r>
          </w:p>
          <w:p w14:paraId="18A2B0A1">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①因道路路面不平或发生车祸导致危险废物泄漏，进入地表水体，污染事故周边地表水、土壤和农作物，对附近人员可能造成一定影响。</w:t>
            </w:r>
          </w:p>
          <w:p w14:paraId="3308F99D">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②运输人员玩忽职守，未严格遵守相关危险废物运输管理规定，如无证上岗、不熟悉危险废物特性、未对其采取有效防护措施(防晒、防火、粘贴危险标志等)，使危险废物泄漏发生危险事故。</w:t>
            </w:r>
          </w:p>
          <w:p w14:paraId="1DB1A9FD">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(2)贮存过程风险识别</w:t>
            </w:r>
          </w:p>
          <w:p w14:paraId="4C048BD9">
            <w:pPr>
              <w:keepNext w:val="0"/>
              <w:keepLines w:val="0"/>
              <w:pageBreakBefore w:val="0"/>
              <w:widowControl/>
              <w:numPr>
                <w:ilvl w:val="0"/>
                <w:numId w:val="38"/>
              </w:numPr>
              <w:suppressLineNumbers w:val="0"/>
              <w:kinsoku/>
              <w:wordWrap/>
              <w:overflowPunct/>
              <w:topLinePunct w:val="0"/>
              <w:autoSpaceDE/>
              <w:autoSpaceDN/>
              <w:bidi w:val="0"/>
              <w:adjustRightInd/>
              <w:snapToGrid/>
              <w:spacing w:line="360" w:lineRule="auto"/>
              <w:ind w:left="0" w:leftChars="0" w:firstLine="480" w:firstLineChars="200"/>
              <w:jc w:val="left"/>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贮存的危险废物具有易燃性、腐蚀性、毒性等危险特性，桶装的液态、半固态的危险废物，在贮存过程中由于包装桶破裂、操作失误等可能造成危险废物的泄漏；同时贮存的易燃类危险废物，在电线短路、雷击和明火情况下，可能存在火灾的发生。</w:t>
            </w:r>
          </w:p>
          <w:p w14:paraId="0309B95D">
            <w:pPr>
              <w:keepNext w:val="0"/>
              <w:keepLines w:val="0"/>
              <w:pageBreakBefore w:val="0"/>
              <w:widowControl/>
              <w:numPr>
                <w:ilvl w:val="0"/>
                <w:numId w:val="38"/>
              </w:numPr>
              <w:suppressLineNumbers w:val="0"/>
              <w:kinsoku/>
              <w:wordWrap/>
              <w:overflowPunct/>
              <w:topLinePunct w:val="0"/>
              <w:autoSpaceDE/>
              <w:autoSpaceDN/>
              <w:bidi w:val="0"/>
              <w:adjustRightInd/>
              <w:snapToGrid/>
              <w:spacing w:line="360" w:lineRule="auto"/>
              <w:ind w:left="0" w:leftChars="0" w:firstLine="480" w:firstLineChars="200"/>
              <w:jc w:val="left"/>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本项目设置的废液收集池、</w:t>
            </w:r>
            <w:r>
              <w:rPr>
                <w:rFonts w:hint="eastAsia" w:cs="Times New Roman"/>
                <w:color w:val="auto"/>
                <w:sz w:val="24"/>
                <w:szCs w:val="24"/>
                <w:lang w:val="en-US" w:eastAsia="zh-CN"/>
              </w:rPr>
              <w:t>导流沟</w:t>
            </w:r>
            <w:r>
              <w:rPr>
                <w:rFonts w:hint="eastAsia" w:ascii="Times New Roman" w:hAnsi="Times New Roman" w:eastAsia="宋体" w:cs="Times New Roman"/>
                <w:color w:val="auto"/>
                <w:sz w:val="24"/>
                <w:szCs w:val="24"/>
                <w:lang w:val="en-US" w:eastAsia="zh-CN"/>
              </w:rPr>
              <w:t>可能存在池体内壁破裂，所收集的液态危险废物和含危险废物的废水(主要为消防废水)渗入池体周边土壤和地下水中，对区域土壤和地下水产生影响。</w:t>
            </w:r>
          </w:p>
          <w:p w14:paraId="09030CF9">
            <w:pPr>
              <w:keepNext w:val="0"/>
              <w:keepLines w:val="0"/>
              <w:pageBreakBefore w:val="0"/>
              <w:widowControl/>
              <w:numPr>
                <w:ilvl w:val="0"/>
                <w:numId w:val="38"/>
              </w:numPr>
              <w:suppressLineNumbers w:val="0"/>
              <w:kinsoku/>
              <w:wordWrap/>
              <w:overflowPunct/>
              <w:topLinePunct w:val="0"/>
              <w:autoSpaceDE/>
              <w:autoSpaceDN/>
              <w:bidi w:val="0"/>
              <w:adjustRightInd/>
              <w:snapToGrid/>
              <w:spacing w:line="360" w:lineRule="auto"/>
              <w:ind w:left="0" w:leftChars="0" w:firstLine="480" w:firstLineChars="200"/>
              <w:jc w:val="left"/>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危险废物贮存库内设置的环保设施(如废气收集和处理设施等)发生事故，不能有效对废气进行收集和处理，一方面库房内废气大量积聚，在特殊情况下发生火灾或爆炸事故，另一方面产生的废气不能达标排放，可能对周边环境造成一定影响。</w:t>
            </w:r>
          </w:p>
          <w:p w14:paraId="2B892DB5">
            <w:pPr>
              <w:keepNext w:val="0"/>
              <w:keepLines w:val="0"/>
              <w:pageBreakBefore w:val="0"/>
              <w:widowControl/>
              <w:numPr>
                <w:ilvl w:val="0"/>
                <w:numId w:val="38"/>
              </w:numPr>
              <w:suppressLineNumbers w:val="0"/>
              <w:kinsoku/>
              <w:wordWrap/>
              <w:overflowPunct/>
              <w:topLinePunct w:val="0"/>
              <w:autoSpaceDE/>
              <w:autoSpaceDN/>
              <w:bidi w:val="0"/>
              <w:adjustRightInd/>
              <w:snapToGrid/>
              <w:spacing w:line="360" w:lineRule="auto"/>
              <w:ind w:left="0" w:leftChars="0" w:firstLine="480" w:firstLineChars="200"/>
              <w:jc w:val="left"/>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危险废物在贮存等过程中，若因其逸出、泄漏造成积聚等，遇明火或激发能量，有引发火灾、爆炸的危险。电气设备老化、绝缘破损、短路、私拉乱接、超负荷用电、过载、接线不规范、发热、电器使用管理不当等易引起电缆着火，若扑救不及时，有烧毁电器和仪表、火灾蔓延的可能。因自然灾害(如雷电)等其它因素的影响，也有可能引起火灾、爆炸事故。特别是废锂离子电池贮存区，废锂离子电池中含有电解质易燃。</w:t>
            </w:r>
          </w:p>
          <w:p w14:paraId="18E149BF">
            <w:pPr>
              <w:keepNext w:val="0"/>
              <w:keepLines w:val="0"/>
              <w:pageBreakBefore w:val="0"/>
              <w:widowControl/>
              <w:numPr>
                <w:ilvl w:val="0"/>
                <w:numId w:val="38"/>
              </w:numPr>
              <w:suppressLineNumbers w:val="0"/>
              <w:kinsoku/>
              <w:wordWrap/>
              <w:overflowPunct/>
              <w:topLinePunct w:val="0"/>
              <w:autoSpaceDE/>
              <w:autoSpaceDN/>
              <w:bidi w:val="0"/>
              <w:adjustRightInd/>
              <w:snapToGrid/>
              <w:spacing w:line="360" w:lineRule="auto"/>
              <w:ind w:left="0" w:leftChars="0" w:firstLine="480" w:firstLineChars="200"/>
              <w:jc w:val="left"/>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项目贮存的危险废物具有一定的毒性及致病可能，在收集、运输、贮存等过程中，因长期接触，有致病或中毒的危险。火灾时产生的CO、CO</w:t>
            </w:r>
            <w:r>
              <w:rPr>
                <w:rFonts w:hint="eastAsia" w:ascii="Times New Roman" w:hAnsi="Times New Roman" w:eastAsia="宋体" w:cs="Times New Roman"/>
                <w:color w:val="auto"/>
                <w:sz w:val="24"/>
                <w:szCs w:val="24"/>
                <w:vertAlign w:val="subscript"/>
                <w:lang w:val="en-US" w:eastAsia="zh-CN"/>
              </w:rPr>
              <w:t>2</w:t>
            </w:r>
            <w:r>
              <w:rPr>
                <w:rFonts w:hint="eastAsia" w:ascii="Times New Roman" w:hAnsi="Times New Roman" w:eastAsia="宋体" w:cs="Times New Roman"/>
                <w:color w:val="auto"/>
                <w:sz w:val="24"/>
                <w:szCs w:val="24"/>
                <w:lang w:val="en-US" w:eastAsia="zh-CN"/>
              </w:rPr>
              <w:t>及其它有毒有害气体可造成人员的二次伤害。操作工人未严格遵守工艺指标，或指标控制不当，致使有害物质未能彻底除去，在泄漏或排放后可能引起人员中毒。</w:t>
            </w:r>
          </w:p>
          <w:p w14:paraId="4491AC2C">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(3)环保设施风险识别</w:t>
            </w:r>
          </w:p>
          <w:p w14:paraId="5936AAF1">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项目环保设施主要为废气处理设施，当环保设施出现故障时，将对环境造成污染。抽风设备故障、人员操作失误、废气治理设施故障等均可能导致大量未处理达标的废气直接排入环境空气中，短时间内将对周边大气环境产生不良影响。</w:t>
            </w:r>
          </w:p>
          <w:p w14:paraId="2B41AAF3">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(4)污染途径识别</w:t>
            </w:r>
          </w:p>
          <w:p w14:paraId="2F759664">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由于泄漏、火灾、爆炸等事故，有毒有害物料会以气态或液态形式释放至环境中，造成环境污染。</w:t>
            </w:r>
          </w:p>
          <w:p w14:paraId="2C2E61BF">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①水体中的弥散</w:t>
            </w:r>
          </w:p>
          <w:p w14:paraId="35F278B4">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有毒有害物质进入水体的方式主要有两种：一是液体泄漏直接进入水体；二是火灾、爆炸时含有毒有害化学物质的消防水由于处理不当直接排入地表水，引起环境污染。进入水环境的有毒物质是通过复杂的物理化学过程被稀释、扩散和降解的，包括水中颗粒物及底部沉积物对它的吸附作用、有毒物质在水/气界面上的挥发作用、生物化学的转化等过程。</w:t>
            </w:r>
          </w:p>
          <w:p w14:paraId="5E571285">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②大气中的扩散</w:t>
            </w:r>
          </w:p>
          <w:p w14:paraId="547255F2">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有毒有害物质进入环境空气的方式主要有三种：一是贮存过程中毒性气体的泄漏；二是火灾、爆炸时未完全燃烧的有毒有害化学物质直接排入环境空气；三是液体泄漏事故中液体的挥发。毒性气体云团通过大气自身的净化作用被稀释、扩散，包括平流扩散、湍流扩散和清除机制。对于密度高于空气的云团在其稀释至安全浓度前，这些云团可以在较大范围内扩散，影响范围较大。</w:t>
            </w:r>
          </w:p>
          <w:p w14:paraId="01481060">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项目贮存的危废具有毒性，部分废物可燃，潜在的环境风险事故主要为危险物质的泄漏以及火灾、爆炸等引发的伴生/次生污染物排放。以上事故发生的概率虽然极低，但一旦发生，其影响程度往往较大。</w:t>
            </w:r>
          </w:p>
          <w:p w14:paraId="6292117E">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(5)环境风险识别结果</w:t>
            </w:r>
          </w:p>
          <w:p w14:paraId="514DE924">
            <w:pPr>
              <w:keepNext w:val="0"/>
              <w:keepLines w:val="0"/>
              <w:pageBreakBefore w:val="0"/>
              <w:widowControl w:val="0"/>
              <w:numPr>
                <w:ilvl w:val="0"/>
                <w:numId w:val="31"/>
              </w:numPr>
              <w:kinsoku/>
              <w:wordWrap/>
              <w:overflowPunct/>
              <w:topLinePunct w:val="0"/>
              <w:autoSpaceDE w:val="0"/>
              <w:autoSpaceDN w:val="0"/>
              <w:bidi w:val="0"/>
              <w:adjustRightInd w:val="0"/>
              <w:snapToGrid/>
              <w:spacing w:line="360" w:lineRule="auto"/>
              <w:ind w:left="3150" w:leftChars="0" w:hanging="3110" w:firstLineChars="0"/>
              <w:jc w:val="center"/>
              <w:textAlignment w:val="auto"/>
              <w:rPr>
                <w:rFonts w:hint="eastAsia" w:ascii="宋体" w:hAnsi="宋体" w:eastAsia="宋体" w:cs="宋体"/>
                <w:b/>
                <w:bCs/>
                <w:color w:val="auto"/>
                <w:kern w:val="0"/>
                <w:sz w:val="24"/>
                <w:szCs w:val="24"/>
                <w:lang w:val="en-US" w:eastAsia="zh-CN" w:bidi="ar"/>
              </w:rPr>
            </w:pPr>
            <w:r>
              <w:rPr>
                <w:rFonts w:hint="default" w:ascii="宋体" w:hAnsi="宋体" w:eastAsia="宋体" w:cs="宋体"/>
                <w:b/>
                <w:bCs/>
                <w:color w:val="auto"/>
                <w:kern w:val="0"/>
                <w:sz w:val="24"/>
                <w:szCs w:val="24"/>
                <w:lang w:val="en-US" w:eastAsia="zh-CN" w:bidi="ar"/>
              </w:rPr>
              <w:t>项目环境风险识别一览表</w:t>
            </w:r>
          </w:p>
          <w:tbl>
            <w:tblPr>
              <w:tblStyle w:val="89"/>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045"/>
              <w:gridCol w:w="954"/>
              <w:gridCol w:w="1626"/>
              <w:gridCol w:w="1845"/>
              <w:gridCol w:w="1459"/>
              <w:gridCol w:w="1771"/>
            </w:tblGrid>
            <w:tr w14:paraId="352CDCF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13" w:hRule="atLeast"/>
              </w:trPr>
              <w:tc>
                <w:tcPr>
                  <w:tcW w:w="600" w:type="pct"/>
                  <w:vAlign w:val="center"/>
                </w:tcPr>
                <w:p w14:paraId="0DF055E7">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21"/>
                      <w:szCs w:val="21"/>
                    </w:rPr>
                  </w:pPr>
                  <w:r>
                    <w:rPr>
                      <w:rFonts w:hint="eastAsia" w:ascii="宋体" w:hAnsi="宋体" w:eastAsia="宋体" w:cs="宋体"/>
                      <w:color w:val="auto"/>
                      <w:spacing w:val="-2"/>
                      <w:sz w:val="21"/>
                      <w:szCs w:val="21"/>
                    </w:rPr>
                    <w:t>危险单位</w:t>
                  </w:r>
                </w:p>
              </w:tc>
              <w:tc>
                <w:tcPr>
                  <w:tcW w:w="548" w:type="pct"/>
                  <w:vAlign w:val="center"/>
                </w:tcPr>
                <w:p w14:paraId="7AC89F5E">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21"/>
                      <w:szCs w:val="21"/>
                    </w:rPr>
                  </w:pPr>
                  <w:r>
                    <w:rPr>
                      <w:rFonts w:hint="eastAsia" w:ascii="宋体" w:hAnsi="宋体" w:eastAsia="宋体" w:cs="宋体"/>
                      <w:color w:val="auto"/>
                      <w:spacing w:val="-2"/>
                      <w:sz w:val="21"/>
                      <w:szCs w:val="21"/>
                    </w:rPr>
                    <w:t>风险源</w:t>
                  </w:r>
                </w:p>
              </w:tc>
              <w:tc>
                <w:tcPr>
                  <w:tcW w:w="934" w:type="pct"/>
                  <w:vAlign w:val="center"/>
                </w:tcPr>
                <w:p w14:paraId="675784F2">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21"/>
                      <w:szCs w:val="21"/>
                    </w:rPr>
                  </w:pPr>
                  <w:r>
                    <w:rPr>
                      <w:rFonts w:hint="eastAsia" w:ascii="宋体" w:hAnsi="宋体" w:eastAsia="宋体" w:cs="宋体"/>
                      <w:color w:val="auto"/>
                      <w:spacing w:val="3"/>
                      <w:sz w:val="21"/>
                      <w:szCs w:val="21"/>
                    </w:rPr>
                    <w:t>主要危险物质</w:t>
                  </w:r>
                </w:p>
              </w:tc>
              <w:tc>
                <w:tcPr>
                  <w:tcW w:w="1060" w:type="pct"/>
                  <w:vAlign w:val="center"/>
                </w:tcPr>
                <w:p w14:paraId="17C288E5">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21"/>
                      <w:szCs w:val="21"/>
                    </w:rPr>
                  </w:pPr>
                  <w:r>
                    <w:rPr>
                      <w:rFonts w:hint="eastAsia" w:ascii="宋体" w:hAnsi="宋体" w:eastAsia="宋体" w:cs="宋体"/>
                      <w:color w:val="auto"/>
                      <w:spacing w:val="-1"/>
                      <w:sz w:val="21"/>
                      <w:szCs w:val="21"/>
                    </w:rPr>
                    <w:t>环境风险类型</w:t>
                  </w:r>
                </w:p>
              </w:tc>
              <w:tc>
                <w:tcPr>
                  <w:tcW w:w="838" w:type="pct"/>
                  <w:vAlign w:val="center"/>
                </w:tcPr>
                <w:p w14:paraId="0226C1D4">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21"/>
                      <w:szCs w:val="21"/>
                    </w:rPr>
                  </w:pPr>
                  <w:r>
                    <w:rPr>
                      <w:rFonts w:hint="eastAsia" w:ascii="宋体" w:hAnsi="宋体" w:eastAsia="宋体" w:cs="宋体"/>
                      <w:color w:val="auto"/>
                      <w:spacing w:val="-1"/>
                      <w:sz w:val="21"/>
                      <w:szCs w:val="21"/>
                    </w:rPr>
                    <w:t>环境影响途径</w:t>
                  </w:r>
                </w:p>
              </w:tc>
              <w:tc>
                <w:tcPr>
                  <w:tcW w:w="1017" w:type="pct"/>
                  <w:vAlign w:val="center"/>
                </w:tcPr>
                <w:p w14:paraId="786682FB">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pacing w:val="-2"/>
                      <w:sz w:val="21"/>
                      <w:szCs w:val="21"/>
                    </w:rPr>
                  </w:pPr>
                  <w:r>
                    <w:rPr>
                      <w:rFonts w:hint="eastAsia" w:ascii="宋体" w:hAnsi="宋体" w:eastAsia="宋体" w:cs="宋体"/>
                      <w:color w:val="auto"/>
                      <w:spacing w:val="-2"/>
                      <w:sz w:val="21"/>
                      <w:szCs w:val="21"/>
                    </w:rPr>
                    <w:t>可能受影响的环</w:t>
                  </w:r>
                </w:p>
                <w:p w14:paraId="0F062367">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21"/>
                      <w:szCs w:val="21"/>
                    </w:rPr>
                  </w:pPr>
                  <w:r>
                    <w:rPr>
                      <w:rFonts w:hint="eastAsia" w:ascii="宋体" w:hAnsi="宋体" w:eastAsia="宋体" w:cs="宋体"/>
                      <w:color w:val="auto"/>
                      <w:spacing w:val="-2"/>
                      <w:sz w:val="21"/>
                      <w:szCs w:val="21"/>
                    </w:rPr>
                    <w:t>境敏感目标</w:t>
                  </w:r>
                </w:p>
              </w:tc>
            </w:tr>
            <w:tr w14:paraId="52A7E75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9" w:hRule="atLeast"/>
              </w:trPr>
              <w:tc>
                <w:tcPr>
                  <w:tcW w:w="600" w:type="pct"/>
                  <w:vAlign w:val="center"/>
                </w:tcPr>
                <w:p w14:paraId="288FD93C">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21"/>
                      <w:szCs w:val="21"/>
                    </w:rPr>
                  </w:pPr>
                  <w:r>
                    <w:rPr>
                      <w:rFonts w:hint="eastAsia" w:ascii="宋体" w:hAnsi="宋体" w:eastAsia="宋体" w:cs="宋体"/>
                      <w:color w:val="auto"/>
                      <w:spacing w:val="-2"/>
                      <w:sz w:val="21"/>
                      <w:szCs w:val="21"/>
                    </w:rPr>
                    <w:t>库房</w:t>
                  </w:r>
                </w:p>
              </w:tc>
              <w:tc>
                <w:tcPr>
                  <w:tcW w:w="548" w:type="pct"/>
                  <w:vAlign w:val="center"/>
                </w:tcPr>
                <w:p w14:paraId="3C2F1F19">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pacing w:val="-3"/>
                      <w:sz w:val="21"/>
                      <w:szCs w:val="21"/>
                    </w:rPr>
                  </w:pPr>
                  <w:r>
                    <w:rPr>
                      <w:rFonts w:hint="eastAsia" w:ascii="宋体" w:hAnsi="宋体" w:eastAsia="宋体" w:cs="宋体"/>
                      <w:color w:val="auto"/>
                      <w:spacing w:val="-3"/>
                      <w:sz w:val="21"/>
                      <w:szCs w:val="21"/>
                    </w:rPr>
                    <w:t>各类贮存</w:t>
                  </w:r>
                </w:p>
                <w:p w14:paraId="5CDED0DC">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21"/>
                      <w:szCs w:val="21"/>
                    </w:rPr>
                  </w:pPr>
                  <w:r>
                    <w:rPr>
                      <w:rFonts w:hint="eastAsia" w:ascii="宋体" w:hAnsi="宋体" w:eastAsia="宋体" w:cs="宋体"/>
                      <w:color w:val="auto"/>
                      <w:spacing w:val="-3"/>
                      <w:sz w:val="21"/>
                      <w:szCs w:val="21"/>
                    </w:rPr>
                    <w:t>危废</w:t>
                  </w:r>
                </w:p>
              </w:tc>
              <w:tc>
                <w:tcPr>
                  <w:tcW w:w="934" w:type="pct"/>
                  <w:vAlign w:val="center"/>
                </w:tcPr>
                <w:p w14:paraId="184B4AB6">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21"/>
                      <w:szCs w:val="21"/>
                    </w:rPr>
                  </w:pPr>
                  <w:r>
                    <w:rPr>
                      <w:rFonts w:hint="eastAsia" w:ascii="宋体" w:hAnsi="宋体" w:eastAsia="宋体" w:cs="宋体"/>
                      <w:color w:val="auto"/>
                      <w:spacing w:val="-2"/>
                      <w:sz w:val="21"/>
                      <w:szCs w:val="21"/>
                    </w:rPr>
                    <w:t>各类危险废物</w:t>
                  </w:r>
                </w:p>
              </w:tc>
              <w:tc>
                <w:tcPr>
                  <w:tcW w:w="1060" w:type="pct"/>
                  <w:vAlign w:val="center"/>
                </w:tcPr>
                <w:p w14:paraId="6D93A514">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21"/>
                      <w:szCs w:val="21"/>
                    </w:rPr>
                  </w:pPr>
                  <w:r>
                    <w:rPr>
                      <w:rFonts w:hint="eastAsia" w:ascii="宋体" w:hAnsi="宋体" w:eastAsia="宋体" w:cs="宋体"/>
                      <w:color w:val="auto"/>
                      <w:spacing w:val="-6"/>
                      <w:sz w:val="21"/>
                      <w:szCs w:val="21"/>
                    </w:rPr>
                    <w:t>泄漏、火灾、爆</w:t>
                  </w:r>
                  <w:r>
                    <w:rPr>
                      <w:rFonts w:hint="eastAsia" w:ascii="宋体" w:hAnsi="宋体" w:eastAsia="宋体" w:cs="宋体"/>
                      <w:color w:val="auto"/>
                      <w:sz w:val="21"/>
                      <w:szCs w:val="21"/>
                    </w:rPr>
                    <w:t>炸</w:t>
                  </w:r>
                </w:p>
              </w:tc>
              <w:tc>
                <w:tcPr>
                  <w:tcW w:w="838" w:type="pct"/>
                  <w:vAlign w:val="center"/>
                </w:tcPr>
                <w:p w14:paraId="76593867">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pacing w:val="-9"/>
                      <w:sz w:val="21"/>
                      <w:szCs w:val="21"/>
                    </w:rPr>
                  </w:pPr>
                  <w:r>
                    <w:rPr>
                      <w:rFonts w:hint="eastAsia" w:ascii="宋体" w:hAnsi="宋体" w:eastAsia="宋体" w:cs="宋体"/>
                      <w:color w:val="auto"/>
                      <w:spacing w:val="-9"/>
                      <w:sz w:val="21"/>
                      <w:szCs w:val="21"/>
                    </w:rPr>
                    <w:t>大气、地表水、</w:t>
                  </w:r>
                </w:p>
                <w:p w14:paraId="30045D26">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21"/>
                      <w:szCs w:val="21"/>
                    </w:rPr>
                  </w:pPr>
                  <w:r>
                    <w:rPr>
                      <w:rFonts w:hint="eastAsia" w:ascii="宋体" w:hAnsi="宋体" w:eastAsia="宋体" w:cs="宋体"/>
                      <w:color w:val="auto"/>
                      <w:spacing w:val="-11"/>
                      <w:sz w:val="21"/>
                      <w:szCs w:val="21"/>
                    </w:rPr>
                    <w:t>土壤、地下水</w:t>
                  </w:r>
                </w:p>
              </w:tc>
              <w:tc>
                <w:tcPr>
                  <w:tcW w:w="1017" w:type="pct"/>
                  <w:vAlign w:val="center"/>
                </w:tcPr>
                <w:p w14:paraId="078044C7">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pacing w:val="-2"/>
                      <w:sz w:val="21"/>
                      <w:szCs w:val="21"/>
                    </w:rPr>
                  </w:pPr>
                  <w:r>
                    <w:rPr>
                      <w:rFonts w:hint="eastAsia" w:ascii="宋体" w:hAnsi="宋体" w:eastAsia="宋体" w:cs="宋体"/>
                      <w:color w:val="auto"/>
                      <w:spacing w:val="-2"/>
                      <w:sz w:val="21"/>
                      <w:szCs w:val="21"/>
                    </w:rPr>
                    <w:t>周边居民、水</w:t>
                  </w:r>
                </w:p>
                <w:p w14:paraId="0F2A842E">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21"/>
                      <w:szCs w:val="21"/>
                    </w:rPr>
                  </w:pPr>
                  <w:r>
                    <w:rPr>
                      <w:rFonts w:hint="eastAsia" w:ascii="宋体" w:hAnsi="宋体" w:eastAsia="宋体" w:cs="宋体"/>
                      <w:color w:val="auto"/>
                      <w:spacing w:val="-1"/>
                      <w:sz w:val="21"/>
                      <w:szCs w:val="21"/>
                    </w:rPr>
                    <w:t>体、浅层地下水</w:t>
                  </w:r>
                </w:p>
              </w:tc>
            </w:tr>
            <w:tr w14:paraId="43CEECD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88" w:hRule="atLeast"/>
              </w:trPr>
              <w:tc>
                <w:tcPr>
                  <w:tcW w:w="600" w:type="pct"/>
                  <w:vAlign w:val="center"/>
                </w:tcPr>
                <w:p w14:paraId="04699214">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21"/>
                      <w:szCs w:val="21"/>
                    </w:rPr>
                  </w:pPr>
                  <w:r>
                    <w:rPr>
                      <w:rFonts w:hint="eastAsia" w:ascii="宋体" w:hAnsi="宋体" w:eastAsia="宋体" w:cs="宋体"/>
                      <w:color w:val="auto"/>
                      <w:spacing w:val="-2"/>
                      <w:sz w:val="21"/>
                      <w:szCs w:val="21"/>
                    </w:rPr>
                    <w:t>运输系统</w:t>
                  </w:r>
                </w:p>
              </w:tc>
              <w:tc>
                <w:tcPr>
                  <w:tcW w:w="548" w:type="pct"/>
                  <w:vAlign w:val="center"/>
                </w:tcPr>
                <w:p w14:paraId="612C7F57">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pacing w:val="-3"/>
                      <w:sz w:val="21"/>
                      <w:szCs w:val="21"/>
                    </w:rPr>
                  </w:pPr>
                  <w:r>
                    <w:rPr>
                      <w:rFonts w:hint="eastAsia" w:ascii="宋体" w:hAnsi="宋体" w:eastAsia="宋体" w:cs="宋体"/>
                      <w:color w:val="auto"/>
                      <w:spacing w:val="-3"/>
                      <w:sz w:val="21"/>
                      <w:szCs w:val="21"/>
                    </w:rPr>
                    <w:t>各类贮存</w:t>
                  </w:r>
                </w:p>
                <w:p w14:paraId="390F44A7">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21"/>
                      <w:szCs w:val="21"/>
                    </w:rPr>
                  </w:pPr>
                  <w:r>
                    <w:rPr>
                      <w:rFonts w:hint="eastAsia" w:ascii="宋体" w:hAnsi="宋体" w:eastAsia="宋体" w:cs="宋体"/>
                      <w:color w:val="auto"/>
                      <w:spacing w:val="-3"/>
                      <w:sz w:val="21"/>
                      <w:szCs w:val="21"/>
                    </w:rPr>
                    <w:t>危废</w:t>
                  </w:r>
                </w:p>
              </w:tc>
              <w:tc>
                <w:tcPr>
                  <w:tcW w:w="934" w:type="pct"/>
                  <w:vAlign w:val="center"/>
                </w:tcPr>
                <w:p w14:paraId="3BD2AA31">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21"/>
                      <w:szCs w:val="21"/>
                    </w:rPr>
                  </w:pPr>
                  <w:r>
                    <w:rPr>
                      <w:rFonts w:hint="eastAsia" w:ascii="宋体" w:hAnsi="宋体" w:eastAsia="宋体" w:cs="宋体"/>
                      <w:color w:val="auto"/>
                      <w:spacing w:val="-2"/>
                      <w:sz w:val="21"/>
                      <w:szCs w:val="21"/>
                    </w:rPr>
                    <w:t>各类危险废物</w:t>
                  </w:r>
                </w:p>
              </w:tc>
              <w:tc>
                <w:tcPr>
                  <w:tcW w:w="1060" w:type="pct"/>
                  <w:vAlign w:val="center"/>
                </w:tcPr>
                <w:p w14:paraId="6B2D5542">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21"/>
                      <w:szCs w:val="21"/>
                    </w:rPr>
                  </w:pPr>
                  <w:r>
                    <w:rPr>
                      <w:rFonts w:hint="eastAsia" w:ascii="宋体" w:hAnsi="宋体" w:eastAsia="宋体" w:cs="宋体"/>
                      <w:color w:val="auto"/>
                      <w:spacing w:val="-6"/>
                      <w:sz w:val="21"/>
                      <w:szCs w:val="21"/>
                    </w:rPr>
                    <w:t>泄漏、火灾、爆</w:t>
                  </w:r>
                  <w:r>
                    <w:rPr>
                      <w:rFonts w:hint="eastAsia" w:ascii="宋体" w:hAnsi="宋体" w:eastAsia="宋体" w:cs="宋体"/>
                      <w:color w:val="auto"/>
                      <w:sz w:val="21"/>
                      <w:szCs w:val="21"/>
                    </w:rPr>
                    <w:t>炸</w:t>
                  </w:r>
                </w:p>
              </w:tc>
              <w:tc>
                <w:tcPr>
                  <w:tcW w:w="838" w:type="pct"/>
                  <w:vAlign w:val="center"/>
                </w:tcPr>
                <w:p w14:paraId="546DED22">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pacing w:val="-9"/>
                      <w:sz w:val="21"/>
                      <w:szCs w:val="21"/>
                    </w:rPr>
                  </w:pPr>
                  <w:r>
                    <w:rPr>
                      <w:rFonts w:hint="eastAsia" w:ascii="宋体" w:hAnsi="宋体" w:eastAsia="宋体" w:cs="宋体"/>
                      <w:color w:val="auto"/>
                      <w:spacing w:val="-9"/>
                      <w:sz w:val="21"/>
                      <w:szCs w:val="21"/>
                    </w:rPr>
                    <w:t>大气、地表水、</w:t>
                  </w:r>
                </w:p>
                <w:p w14:paraId="1DEF6695">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21"/>
                      <w:szCs w:val="21"/>
                    </w:rPr>
                  </w:pPr>
                  <w:r>
                    <w:rPr>
                      <w:rFonts w:hint="eastAsia" w:ascii="宋体" w:hAnsi="宋体" w:eastAsia="宋体" w:cs="宋体"/>
                      <w:color w:val="auto"/>
                      <w:spacing w:val="-11"/>
                      <w:sz w:val="21"/>
                      <w:szCs w:val="21"/>
                    </w:rPr>
                    <w:t>土壤、地下水</w:t>
                  </w:r>
                </w:p>
              </w:tc>
              <w:tc>
                <w:tcPr>
                  <w:tcW w:w="1017" w:type="pct"/>
                  <w:vAlign w:val="center"/>
                </w:tcPr>
                <w:p w14:paraId="0AD45CC7">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pacing w:val="-2"/>
                      <w:sz w:val="21"/>
                      <w:szCs w:val="21"/>
                    </w:rPr>
                  </w:pPr>
                  <w:r>
                    <w:rPr>
                      <w:rFonts w:hint="eastAsia" w:ascii="宋体" w:hAnsi="宋体" w:eastAsia="宋体" w:cs="宋体"/>
                      <w:color w:val="auto"/>
                      <w:spacing w:val="-2"/>
                      <w:sz w:val="21"/>
                      <w:szCs w:val="21"/>
                    </w:rPr>
                    <w:t>周边居民、水</w:t>
                  </w:r>
                </w:p>
                <w:p w14:paraId="5102BF5E">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21"/>
                      <w:szCs w:val="21"/>
                    </w:rPr>
                  </w:pPr>
                  <w:r>
                    <w:rPr>
                      <w:rFonts w:hint="eastAsia" w:ascii="宋体" w:hAnsi="宋体" w:eastAsia="宋体" w:cs="宋体"/>
                      <w:color w:val="auto"/>
                      <w:spacing w:val="-1"/>
                      <w:sz w:val="21"/>
                      <w:szCs w:val="21"/>
                    </w:rPr>
                    <w:t>体、浅层地下水</w:t>
                  </w:r>
                </w:p>
              </w:tc>
            </w:tr>
            <w:tr w14:paraId="58A5C46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3" w:hRule="atLeast"/>
              </w:trPr>
              <w:tc>
                <w:tcPr>
                  <w:tcW w:w="600" w:type="pct"/>
                  <w:vAlign w:val="center"/>
                </w:tcPr>
                <w:p w14:paraId="4D78B624">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pacing w:val="3"/>
                      <w:sz w:val="21"/>
                      <w:szCs w:val="21"/>
                    </w:rPr>
                  </w:pPr>
                  <w:r>
                    <w:rPr>
                      <w:rFonts w:hint="eastAsia" w:ascii="宋体" w:hAnsi="宋体" w:eastAsia="宋体" w:cs="宋体"/>
                      <w:color w:val="auto"/>
                      <w:spacing w:val="3"/>
                      <w:sz w:val="21"/>
                      <w:szCs w:val="21"/>
                    </w:rPr>
                    <w:t>污染控制</w:t>
                  </w:r>
                </w:p>
                <w:p w14:paraId="6BF1D870">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21"/>
                      <w:szCs w:val="21"/>
                    </w:rPr>
                  </w:pPr>
                  <w:r>
                    <w:rPr>
                      <w:rFonts w:hint="eastAsia" w:ascii="宋体" w:hAnsi="宋体" w:eastAsia="宋体" w:cs="宋体"/>
                      <w:color w:val="auto"/>
                      <w:spacing w:val="-3"/>
                      <w:sz w:val="21"/>
                      <w:szCs w:val="21"/>
                    </w:rPr>
                    <w:t>系统</w:t>
                  </w:r>
                </w:p>
              </w:tc>
              <w:tc>
                <w:tcPr>
                  <w:tcW w:w="548" w:type="pct"/>
                  <w:vAlign w:val="center"/>
                </w:tcPr>
                <w:p w14:paraId="1481F082">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pacing w:val="-2"/>
                      <w:sz w:val="21"/>
                      <w:szCs w:val="21"/>
                    </w:rPr>
                  </w:pPr>
                  <w:r>
                    <w:rPr>
                      <w:rFonts w:hint="eastAsia" w:ascii="宋体" w:hAnsi="宋体" w:eastAsia="宋体" w:cs="宋体"/>
                      <w:color w:val="auto"/>
                      <w:spacing w:val="-2"/>
                      <w:sz w:val="21"/>
                      <w:szCs w:val="21"/>
                    </w:rPr>
                    <w:t>废气处理</w:t>
                  </w:r>
                </w:p>
                <w:p w14:paraId="41F8D700">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21"/>
                      <w:szCs w:val="21"/>
                    </w:rPr>
                  </w:pPr>
                  <w:r>
                    <w:rPr>
                      <w:rFonts w:hint="eastAsia" w:ascii="宋体" w:hAnsi="宋体" w:eastAsia="宋体" w:cs="宋体"/>
                      <w:color w:val="auto"/>
                      <w:spacing w:val="-3"/>
                      <w:sz w:val="21"/>
                      <w:szCs w:val="21"/>
                    </w:rPr>
                    <w:t>系统</w:t>
                  </w:r>
                </w:p>
              </w:tc>
              <w:tc>
                <w:tcPr>
                  <w:tcW w:w="934" w:type="pct"/>
                  <w:vAlign w:val="center"/>
                </w:tcPr>
                <w:p w14:paraId="27147939">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pacing w:val="-1"/>
                      <w:sz w:val="21"/>
                      <w:szCs w:val="21"/>
                      <w:lang w:eastAsia="zh-CN"/>
                    </w:rPr>
                  </w:pPr>
                  <w:r>
                    <w:rPr>
                      <w:rFonts w:hint="eastAsia" w:ascii="宋体" w:hAnsi="宋体" w:eastAsia="宋体" w:cs="宋体"/>
                      <w:color w:val="auto"/>
                      <w:spacing w:val="-1"/>
                      <w:sz w:val="21"/>
                      <w:szCs w:val="21"/>
                    </w:rPr>
                    <w:t>VOCs、硫酸雾</w:t>
                  </w:r>
                  <w:r>
                    <w:rPr>
                      <w:rFonts w:hint="eastAsia" w:ascii="宋体" w:hAnsi="宋体" w:eastAsia="宋体" w:cs="宋体"/>
                      <w:color w:val="auto"/>
                      <w:spacing w:val="-1"/>
                      <w:sz w:val="21"/>
                      <w:szCs w:val="21"/>
                      <w:lang w:eastAsia="zh-CN"/>
                    </w:rPr>
                    <w:t>、</w:t>
                  </w:r>
                </w:p>
                <w:p w14:paraId="21F003CE">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宋体" w:hAnsi="宋体" w:eastAsia="宋体" w:cs="宋体"/>
                      <w:color w:val="auto"/>
                      <w:sz w:val="21"/>
                      <w:szCs w:val="21"/>
                      <w:lang w:val="en-US" w:eastAsia="zh-CN"/>
                    </w:rPr>
                  </w:pPr>
                  <w:r>
                    <w:rPr>
                      <w:rFonts w:hint="eastAsia" w:ascii="宋体" w:hAnsi="宋体" w:eastAsia="宋体" w:cs="宋体"/>
                      <w:color w:val="auto"/>
                      <w:spacing w:val="-1"/>
                      <w:sz w:val="21"/>
                      <w:szCs w:val="21"/>
                      <w:lang w:val="en-US" w:eastAsia="zh-CN"/>
                    </w:rPr>
                    <w:t>氯化氢</w:t>
                  </w:r>
                </w:p>
              </w:tc>
              <w:tc>
                <w:tcPr>
                  <w:tcW w:w="1060" w:type="pct"/>
                  <w:vAlign w:val="center"/>
                </w:tcPr>
                <w:p w14:paraId="42F4B9E7">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21"/>
                      <w:szCs w:val="21"/>
                    </w:rPr>
                  </w:pPr>
                  <w:r>
                    <w:rPr>
                      <w:rFonts w:hint="eastAsia" w:ascii="宋体" w:hAnsi="宋体" w:eastAsia="宋体" w:cs="宋体"/>
                      <w:color w:val="auto"/>
                      <w:spacing w:val="-2"/>
                      <w:sz w:val="21"/>
                      <w:szCs w:val="21"/>
                    </w:rPr>
                    <w:t>事故排放</w:t>
                  </w:r>
                </w:p>
              </w:tc>
              <w:tc>
                <w:tcPr>
                  <w:tcW w:w="838" w:type="pct"/>
                  <w:vAlign w:val="center"/>
                </w:tcPr>
                <w:p w14:paraId="611DA8F3">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21"/>
                      <w:szCs w:val="21"/>
                    </w:rPr>
                  </w:pPr>
                  <w:r>
                    <w:rPr>
                      <w:rFonts w:hint="eastAsia" w:ascii="宋体" w:hAnsi="宋体" w:eastAsia="宋体" w:cs="宋体"/>
                      <w:color w:val="auto"/>
                      <w:spacing w:val="-2"/>
                      <w:sz w:val="21"/>
                      <w:szCs w:val="21"/>
                    </w:rPr>
                    <w:t>大气、土壤</w:t>
                  </w:r>
                </w:p>
              </w:tc>
              <w:tc>
                <w:tcPr>
                  <w:tcW w:w="1017" w:type="pct"/>
                  <w:vAlign w:val="center"/>
                </w:tcPr>
                <w:p w14:paraId="2BC61284">
                  <w:pPr>
                    <w:pStyle w:val="9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宋体" w:hAnsi="宋体" w:eastAsia="宋体" w:cs="宋体"/>
                      <w:color w:val="auto"/>
                      <w:sz w:val="21"/>
                      <w:szCs w:val="21"/>
                    </w:rPr>
                  </w:pPr>
                  <w:r>
                    <w:rPr>
                      <w:rFonts w:hint="eastAsia" w:ascii="宋体" w:hAnsi="宋体" w:eastAsia="宋体" w:cs="宋体"/>
                      <w:color w:val="auto"/>
                      <w:spacing w:val="5"/>
                      <w:sz w:val="21"/>
                      <w:szCs w:val="21"/>
                    </w:rPr>
                    <w:t>周边住户</w:t>
                  </w:r>
                </w:p>
              </w:tc>
            </w:tr>
          </w:tbl>
          <w:p w14:paraId="1E03F043">
            <w:pPr>
              <w:keepNext w:val="0"/>
              <w:keepLines w:val="0"/>
              <w:pageBreakBefore w:val="0"/>
              <w:widowControl/>
              <w:numPr>
                <w:ilvl w:val="0"/>
                <w:numId w:val="36"/>
              </w:numPr>
              <w:suppressLineNumbers w:val="0"/>
              <w:kinsoku/>
              <w:wordWrap/>
              <w:overflowPunct/>
              <w:topLinePunct w:val="0"/>
              <w:autoSpaceDE/>
              <w:autoSpaceDN/>
              <w:bidi w:val="0"/>
              <w:adjustRightInd/>
              <w:snapToGrid/>
              <w:spacing w:line="360" w:lineRule="auto"/>
              <w:ind w:left="0" w:leftChars="0" w:firstLine="480" w:firstLineChars="200"/>
              <w:jc w:val="left"/>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环境风险分析</w:t>
            </w:r>
          </w:p>
          <w:p w14:paraId="06F1EA99">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(1)油类物质泄漏环境风险事故影响分析</w:t>
            </w:r>
          </w:p>
          <w:p w14:paraId="029CBF50">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项目油类物质均采用桶装，根据工程分析，废矿物油容器盛装液体废矿物油时，预留足够的膨胀余量，本项目单个容器最大容积为1m³，按照最不利情况考虑，一个桶完全泄漏，则泄漏量为1m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项目拟在贮存区内设置导流沟，导流沟尾端连接收集池，使其泄漏废矿物油控制在厂区内。收集池容积不小于1m³，并要求车间内地面及裙角进行硬化+防腐防渗处理。同时企业应加强管理，严格按照《危险废物贮存污染控制标准》(GB18597-2023)和《废矿物油回收利用污染控制技规范》(HJ607-2011)的相关规定进行建设、管理营运。</w:t>
            </w:r>
          </w:p>
          <w:p w14:paraId="4D5B9A3D">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(2)次生/伴生事故环境影响分析</w:t>
            </w:r>
          </w:p>
          <w:p w14:paraId="1F03853E">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危险物质泄漏引起火灾、爆炸事故，危害周边环境及人员生命财产安全。如果发生火灾/爆炸，周边均为仓库，则可能引发连锁火灾，且消防废水收集不到位的话会溢流至周边地表水，对地表水体造成污染。燃烧物质不充分燃烧会产生大量CO和烟尘，会对周边环境空气质量造成污染。</w:t>
            </w:r>
          </w:p>
          <w:p w14:paraId="148BFDB3">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矿物油属于可燃物品，遇明火可能发生火灾、爆炸事故。此外，雷电和静电淤积也可引起矿物油燃烧。物料发生火灾时将放出大量辐射热，同时还散发出大量的浓烟，浓烟是由燃烧物质释放出的高温蒸汽、有机废气、一氧化碳、氮氧化物、未燃烧物质和被火焰加热而带入上升气流中的大量空气等多种物质组成。它不但含有大量的热量，而且含有毒气体和弥散的固体微粒。因此浓烟对火场周围人员的生命安全危害程度远超过火灾本身，并对周围的大气环境质量造成很大的污染和破坏。</w:t>
            </w:r>
          </w:p>
          <w:p w14:paraId="4063996E">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根据本项目收储废矿物油的特性，不适宜使用消防水进行灭火，若使用消防水进行扑救，油类火灾会产生泼溅、沸溅等特殊现象，夹带于原油中灭火时加入的水，一旦接触热浪会沸腾引起油面气泡，油料体积增加，以致造成油料带火外溢，因水再常压温度100℃水气化，体积膨胀1700倍，比引起底水急激沸腾产生大量水蒸汽，造成油料带火喷向天空，同时也会造成对水环境的二次污染，而针对油类火灾时应采取相应的手段和灭火剂进行灭火，适宜使用泡沫、干粉灭火方式进行灭火，同时在厂区内设置消防沙池等应急物资，当油品发生泄漏火灾蔓延时可及时采用消防砂土进行隔断或扑灭。</w:t>
            </w:r>
          </w:p>
          <w:p w14:paraId="41DECCA4">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(3)运输过程环境风险分析</w:t>
            </w:r>
          </w:p>
          <w:p w14:paraId="6629DF45">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项目所贮存废物属危险废物，全部采用公路运输，有资质的押运人员运输，委托专业运输队伍进行运输，运输人员应严格按照《道路危险货物运输管理规定》进行运输。严格按照规定的运输路线运输，并且使用特殊标志专业运输车辆，运输途中应避免经过</w:t>
            </w:r>
            <w:r>
              <w:rPr>
                <w:rFonts w:hint="eastAsia"/>
                <w:color w:val="auto"/>
                <w:sz w:val="24"/>
              </w:rPr>
              <w:t>人口密集区、饮用水源保护区等环境敏感区</w:t>
            </w:r>
            <w:r>
              <w:rPr>
                <w:rFonts w:hint="eastAsia" w:ascii="Times New Roman" w:hAnsi="Times New Roman" w:eastAsia="宋体" w:cs="Times New Roman"/>
                <w:color w:val="auto"/>
                <w:sz w:val="24"/>
                <w:szCs w:val="24"/>
                <w:lang w:val="en-US" w:eastAsia="zh-CN"/>
              </w:rPr>
              <w:t>。</w:t>
            </w:r>
          </w:p>
          <w:p w14:paraId="79273950">
            <w:pPr>
              <w:keepNext w:val="0"/>
              <w:keepLines w:val="0"/>
              <w:pageBreakBefore w:val="0"/>
              <w:widowControl/>
              <w:numPr>
                <w:ilvl w:val="0"/>
                <w:numId w:val="36"/>
              </w:numPr>
              <w:suppressLineNumbers w:val="0"/>
              <w:kinsoku/>
              <w:wordWrap/>
              <w:overflowPunct/>
              <w:topLinePunct w:val="0"/>
              <w:autoSpaceDE/>
              <w:autoSpaceDN/>
              <w:bidi w:val="0"/>
              <w:adjustRightInd/>
              <w:snapToGrid/>
              <w:spacing w:line="360" w:lineRule="auto"/>
              <w:ind w:left="0" w:leftChars="0" w:firstLine="480" w:firstLineChars="200"/>
              <w:jc w:val="left"/>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环境风险防范措施及应急管理要求</w:t>
            </w:r>
          </w:p>
          <w:p w14:paraId="0696E999">
            <w:pPr>
              <w:keepNext w:val="0"/>
              <w:keepLines w:val="0"/>
              <w:pageBreakBefore w:val="0"/>
              <w:widowControl/>
              <w:numPr>
                <w:ilvl w:val="0"/>
                <w:numId w:val="39"/>
              </w:numPr>
              <w:suppressLineNumbers w:val="0"/>
              <w:kinsoku/>
              <w:wordWrap/>
              <w:overflowPunct/>
              <w:topLinePunct w:val="0"/>
              <w:autoSpaceDE/>
              <w:autoSpaceDN/>
              <w:bidi w:val="0"/>
              <w:adjustRightInd/>
              <w:snapToGrid/>
              <w:spacing w:line="360" w:lineRule="auto"/>
              <w:ind w:left="0" w:leftChars="0" w:firstLine="425" w:firstLineChars="0"/>
              <w:jc w:val="left"/>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危险废物收运过程中的风险防范措施</w:t>
            </w:r>
          </w:p>
          <w:p w14:paraId="61208081">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项目危险废物收运过程中潜存一定的环境风险，为防止在收运过程中发生废物泄漏、洒落等事故污染周围环境，引发污染事故，应明确以下运输过程中的环境风险防范措施：</w:t>
            </w:r>
          </w:p>
          <w:p w14:paraId="5220B0E0">
            <w:pPr>
              <w:keepNext w:val="0"/>
              <w:keepLines w:val="0"/>
              <w:pageBreakBefore w:val="0"/>
              <w:widowControl/>
              <w:numPr>
                <w:ilvl w:val="0"/>
                <w:numId w:val="40"/>
              </w:numPr>
              <w:suppressLineNumbers w:val="0"/>
              <w:kinsoku/>
              <w:wordWrap/>
              <w:overflowPunct/>
              <w:topLinePunct w:val="0"/>
              <w:autoSpaceDE/>
              <w:autoSpaceDN/>
              <w:bidi w:val="0"/>
              <w:adjustRightInd/>
              <w:snapToGrid/>
              <w:spacing w:line="360" w:lineRule="auto"/>
              <w:ind w:left="0" w:leftChars="0" w:firstLine="480" w:firstLineChars="200"/>
              <w:jc w:val="left"/>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在危险废物的收集和运输过程中必须做好废物的密封包装、遮盖、捆扎等措施，严禁将具有反应性的不相容的废物、或者性质不明的废物进行混合，防止在运输过程中的反应、渗漏、溢出、抛洒或挥发等情况发生。严格落实危险废物准入要求，禁止不符合要求和包装不完整的危险废物入库贮存；危险废物收集和转运作业人员应根据工作需要配备必要的个人防护装备，并采取相应的安全防护和污染防治措施；根据危险废物的种类、数量、危险特性、物理形态、运输要求等因素确定包装形式，并分类包装收集。</w:t>
            </w:r>
          </w:p>
          <w:p w14:paraId="660B7E95">
            <w:pPr>
              <w:keepNext w:val="0"/>
              <w:keepLines w:val="0"/>
              <w:pageBreakBefore w:val="0"/>
              <w:widowControl/>
              <w:numPr>
                <w:ilvl w:val="0"/>
                <w:numId w:val="40"/>
              </w:numPr>
              <w:suppressLineNumbers w:val="0"/>
              <w:kinsoku/>
              <w:wordWrap/>
              <w:overflowPunct/>
              <w:topLinePunct w:val="0"/>
              <w:autoSpaceDE/>
              <w:autoSpaceDN/>
              <w:bidi w:val="0"/>
              <w:adjustRightInd/>
              <w:snapToGrid/>
              <w:spacing w:line="360" w:lineRule="auto"/>
              <w:ind w:left="0" w:leftChars="0" w:firstLine="480" w:firstLineChars="200"/>
              <w:jc w:val="left"/>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在危险废物的包装容器上清楚地标明内盛物的类别与危害说明，以及数量和包装日期。</w:t>
            </w:r>
          </w:p>
          <w:p w14:paraId="531CACFC">
            <w:pPr>
              <w:keepNext w:val="0"/>
              <w:keepLines w:val="0"/>
              <w:pageBreakBefore w:val="0"/>
              <w:widowControl/>
              <w:numPr>
                <w:ilvl w:val="0"/>
                <w:numId w:val="40"/>
              </w:numPr>
              <w:suppressLineNumbers w:val="0"/>
              <w:kinsoku/>
              <w:wordWrap/>
              <w:overflowPunct/>
              <w:topLinePunct w:val="0"/>
              <w:autoSpaceDE/>
              <w:autoSpaceDN/>
              <w:bidi w:val="0"/>
              <w:adjustRightInd/>
              <w:snapToGrid/>
              <w:spacing w:line="360" w:lineRule="auto"/>
              <w:ind w:left="0" w:leftChars="0" w:firstLine="480" w:firstLineChars="200"/>
              <w:jc w:val="left"/>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危险废物包装容器必须有明显的标识、标识尺寸。内容应符合《危险货物运输包装通用技术条件》(GB12463</w:t>
            </w:r>
            <w:r>
              <w:rPr>
                <w:rFonts w:hint="eastAsia" w:cs="Times New Roman"/>
                <w:color w:val="auto"/>
                <w:sz w:val="24"/>
                <w:szCs w:val="24"/>
                <w:lang w:val="en-US" w:eastAsia="zh-CN"/>
              </w:rPr>
              <w:t>-2009</w:t>
            </w:r>
            <w:r>
              <w:rPr>
                <w:rFonts w:hint="eastAsia" w:ascii="Times New Roman" w:hAnsi="Times New Roman" w:eastAsia="宋体" w:cs="Times New Roman"/>
                <w:color w:val="auto"/>
                <w:sz w:val="24"/>
                <w:szCs w:val="24"/>
                <w:lang w:val="en-US" w:eastAsia="zh-CN"/>
              </w:rPr>
              <w:t>)和《危险废物贮存污染控制标准》(GB18597-2023)的要求。在运输过程中，容器不应当滑动，应捆紧并码放好。</w:t>
            </w:r>
          </w:p>
          <w:p w14:paraId="3D37C4DA">
            <w:pPr>
              <w:keepNext w:val="0"/>
              <w:keepLines w:val="0"/>
              <w:pageBreakBefore w:val="0"/>
              <w:widowControl/>
              <w:numPr>
                <w:ilvl w:val="0"/>
                <w:numId w:val="40"/>
              </w:numPr>
              <w:suppressLineNumbers w:val="0"/>
              <w:kinsoku/>
              <w:wordWrap/>
              <w:overflowPunct/>
              <w:topLinePunct w:val="0"/>
              <w:autoSpaceDE/>
              <w:autoSpaceDN/>
              <w:bidi w:val="0"/>
              <w:adjustRightInd/>
              <w:snapToGrid/>
              <w:spacing w:line="360" w:lineRule="auto"/>
              <w:ind w:left="0" w:leftChars="0" w:firstLine="480" w:firstLineChars="200"/>
              <w:jc w:val="left"/>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危险废物在运输过程中应避免泄露事故的发生。无论采取任何方式运输，危险废物必须在容器中运输，容器的要求应满足相关要求。运输者应如实填写并上报危险废物转移联单。</w:t>
            </w:r>
          </w:p>
          <w:p w14:paraId="711DF79C">
            <w:pPr>
              <w:keepNext w:val="0"/>
              <w:keepLines w:val="0"/>
              <w:pageBreakBefore w:val="0"/>
              <w:widowControl/>
              <w:numPr>
                <w:ilvl w:val="0"/>
                <w:numId w:val="40"/>
              </w:numPr>
              <w:suppressLineNumbers w:val="0"/>
              <w:kinsoku/>
              <w:wordWrap/>
              <w:overflowPunct/>
              <w:topLinePunct w:val="0"/>
              <w:autoSpaceDE/>
              <w:autoSpaceDN/>
              <w:bidi w:val="0"/>
              <w:adjustRightInd/>
              <w:snapToGrid/>
              <w:spacing w:line="360" w:lineRule="auto"/>
              <w:ind w:left="0" w:leftChars="0" w:firstLine="480" w:firstLineChars="200"/>
              <w:jc w:val="left"/>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在运输过程中需持有运输许可证。制定事故应急和防止运输过程中泄漏、丢失、扬散的保障措施，配备必要设备。</w:t>
            </w:r>
          </w:p>
          <w:p w14:paraId="16819985">
            <w:pPr>
              <w:keepNext w:val="0"/>
              <w:keepLines w:val="0"/>
              <w:pageBreakBefore w:val="0"/>
              <w:widowControl/>
              <w:numPr>
                <w:ilvl w:val="0"/>
                <w:numId w:val="40"/>
              </w:numPr>
              <w:suppressLineNumbers w:val="0"/>
              <w:kinsoku/>
              <w:wordWrap/>
              <w:overflowPunct/>
              <w:topLinePunct w:val="0"/>
              <w:autoSpaceDE/>
              <w:autoSpaceDN/>
              <w:bidi w:val="0"/>
              <w:adjustRightInd/>
              <w:snapToGrid/>
              <w:spacing w:line="360" w:lineRule="auto"/>
              <w:ind w:left="0" w:leftChars="0" w:firstLine="480" w:firstLineChars="200"/>
              <w:jc w:val="left"/>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事先需做出周密的运输计划和行驶路线，其中应包括废物泄漏情况下的有效应急措施。制定应急预案。按照危险废物污染环境防治和危险货物运输相关规定运输危险废物，防范危险废物丢失、包装破损、泄漏或者发生突发环境事件</w:t>
            </w:r>
          </w:p>
          <w:p w14:paraId="60957D26">
            <w:pPr>
              <w:keepNext w:val="0"/>
              <w:keepLines w:val="0"/>
              <w:pageBreakBefore w:val="0"/>
              <w:widowControl/>
              <w:numPr>
                <w:ilvl w:val="0"/>
                <w:numId w:val="40"/>
              </w:numPr>
              <w:suppressLineNumbers w:val="0"/>
              <w:kinsoku/>
              <w:wordWrap/>
              <w:overflowPunct/>
              <w:topLinePunct w:val="0"/>
              <w:autoSpaceDE/>
              <w:autoSpaceDN/>
              <w:bidi w:val="0"/>
              <w:adjustRightInd/>
              <w:snapToGrid/>
              <w:spacing w:line="360" w:lineRule="auto"/>
              <w:ind w:left="0" w:leftChars="0" w:firstLine="480" w:firstLineChars="200"/>
              <w:jc w:val="left"/>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车上应配备通讯设备、处理中心联络人员名单及其电话号码，以备发生事故时及时抢救和处理。</w:t>
            </w:r>
          </w:p>
          <w:p w14:paraId="4679DCB3">
            <w:pPr>
              <w:keepNext w:val="0"/>
              <w:keepLines w:val="0"/>
              <w:pageBreakBefore w:val="0"/>
              <w:widowControl/>
              <w:numPr>
                <w:ilvl w:val="0"/>
                <w:numId w:val="40"/>
              </w:numPr>
              <w:suppressLineNumbers w:val="0"/>
              <w:kinsoku/>
              <w:wordWrap/>
              <w:overflowPunct/>
              <w:topLinePunct w:val="0"/>
              <w:autoSpaceDE/>
              <w:autoSpaceDN/>
              <w:bidi w:val="0"/>
              <w:adjustRightInd/>
              <w:snapToGrid/>
              <w:spacing w:line="360" w:lineRule="auto"/>
              <w:ind w:left="0" w:leftChars="0" w:firstLine="480" w:firstLineChars="200"/>
              <w:jc w:val="left"/>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填写、运行危险废物转移联单，在危险废物转移联单中如实填写承运人名称、运输工具及其营运证件号，以及运输起点和终点等运输相关信息，并与危险货物运单一并随运输工具携带，没有转移联单的，应当拒绝运输。</w:t>
            </w:r>
          </w:p>
          <w:p w14:paraId="37EF9D8B">
            <w:pPr>
              <w:keepNext w:val="0"/>
              <w:keepLines w:val="0"/>
              <w:pageBreakBefore w:val="0"/>
              <w:widowControl/>
              <w:numPr>
                <w:ilvl w:val="0"/>
                <w:numId w:val="40"/>
              </w:numPr>
              <w:suppressLineNumbers w:val="0"/>
              <w:kinsoku/>
              <w:wordWrap/>
              <w:overflowPunct/>
              <w:topLinePunct w:val="0"/>
              <w:autoSpaceDE/>
              <w:autoSpaceDN/>
              <w:bidi w:val="0"/>
              <w:adjustRightInd/>
              <w:snapToGrid/>
              <w:spacing w:line="360" w:lineRule="auto"/>
              <w:ind w:left="0" w:leftChars="0" w:firstLine="480" w:firstLineChars="200"/>
              <w:jc w:val="left"/>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运输时，发生突发性事故必须立即采取措施消除或者减轻对环境的污染危害，及时通报给附近的单位和居民，并向事故发生地县级以上人民政府环境保护行政主管部门和有关部门报告，接受调查处理。</w:t>
            </w:r>
          </w:p>
          <w:p w14:paraId="6C0A85EC">
            <w:pPr>
              <w:keepNext w:val="0"/>
              <w:keepLines w:val="0"/>
              <w:pageBreakBefore w:val="0"/>
              <w:widowControl/>
              <w:numPr>
                <w:ilvl w:val="0"/>
                <w:numId w:val="40"/>
              </w:numPr>
              <w:suppressLineNumbers w:val="0"/>
              <w:kinsoku/>
              <w:wordWrap/>
              <w:overflowPunct/>
              <w:topLinePunct w:val="0"/>
              <w:autoSpaceDE/>
              <w:autoSpaceDN/>
              <w:bidi w:val="0"/>
              <w:adjustRightInd/>
              <w:snapToGrid/>
              <w:spacing w:line="360" w:lineRule="auto"/>
              <w:ind w:left="0" w:leftChars="0" w:firstLine="480" w:firstLineChars="200"/>
              <w:jc w:val="left"/>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在运输过程中，尽量避免经过人口密集区域、水源区和交通流量大的区域。将运输的危险废物运抵接受人地址，交付给危险废物转移联单上指定的接受人，并将运输情况及时告知移出人。</w:t>
            </w:r>
          </w:p>
          <w:p w14:paraId="57F52666">
            <w:pPr>
              <w:keepNext w:val="0"/>
              <w:keepLines w:val="0"/>
              <w:pageBreakBefore w:val="0"/>
              <w:widowControl/>
              <w:numPr>
                <w:ilvl w:val="0"/>
                <w:numId w:val="40"/>
              </w:numPr>
              <w:suppressLineNumbers w:val="0"/>
              <w:kinsoku/>
              <w:wordWrap/>
              <w:overflowPunct/>
              <w:topLinePunct w:val="0"/>
              <w:autoSpaceDE/>
              <w:autoSpaceDN/>
              <w:bidi w:val="0"/>
              <w:adjustRightInd/>
              <w:snapToGrid/>
              <w:spacing w:line="360" w:lineRule="auto"/>
              <w:ind w:left="0" w:leftChars="0" w:firstLine="480" w:firstLineChars="200"/>
              <w:jc w:val="left"/>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废物运输管理必须采用货单制，废物产生单位应在货单上标明废物来源、种类、危害物质及数量，货单随废物装运。同时废物的包装材料要做到密闭、结实、无破损，盛装危险废物的容器器材和衬里不能与废物发生反应，防止因包装破损造成泄漏对环境质量和人体健康造成危害。</w:t>
            </w:r>
          </w:p>
          <w:p w14:paraId="1FD6170D">
            <w:pPr>
              <w:keepNext w:val="0"/>
              <w:keepLines w:val="0"/>
              <w:pageBreakBefore w:val="0"/>
              <w:widowControl/>
              <w:numPr>
                <w:ilvl w:val="0"/>
                <w:numId w:val="40"/>
              </w:numPr>
              <w:suppressLineNumbers w:val="0"/>
              <w:kinsoku/>
              <w:wordWrap/>
              <w:overflowPunct/>
              <w:topLinePunct w:val="0"/>
              <w:autoSpaceDE/>
              <w:autoSpaceDN/>
              <w:bidi w:val="0"/>
              <w:adjustRightInd/>
              <w:snapToGrid/>
              <w:spacing w:line="360" w:lineRule="auto"/>
              <w:ind w:left="0" w:leftChars="0" w:firstLine="480" w:firstLineChars="200"/>
              <w:jc w:val="left"/>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严禁运输车辆经过自然保护区、风景名胜区、饮用水水源保护区、人口密集的居住区。</w:t>
            </w:r>
          </w:p>
          <w:p w14:paraId="3B04CA23">
            <w:pPr>
              <w:keepNext w:val="0"/>
              <w:keepLines w:val="0"/>
              <w:pageBreakBefore w:val="0"/>
              <w:widowControl/>
              <w:numPr>
                <w:ilvl w:val="0"/>
                <w:numId w:val="39"/>
              </w:numPr>
              <w:suppressLineNumbers w:val="0"/>
              <w:kinsoku/>
              <w:wordWrap/>
              <w:overflowPunct/>
              <w:topLinePunct w:val="0"/>
              <w:autoSpaceDE/>
              <w:autoSpaceDN/>
              <w:bidi w:val="0"/>
              <w:adjustRightInd/>
              <w:snapToGrid/>
              <w:spacing w:line="360" w:lineRule="auto"/>
              <w:ind w:left="0" w:leftChars="0" w:firstLine="425" w:firstLineChars="0"/>
              <w:jc w:val="left"/>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危险废物贮存过程中风险防范措施</w:t>
            </w:r>
          </w:p>
          <w:p w14:paraId="3091919B">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针对危险废物的特性、数量，严格按照《危险废物收集、贮存、运输技术规范》(HJ2025-2012)和《危险废物贮存污染控制标准》(GB18597-2023)要求，做好贮存风险事故防范工作：</w:t>
            </w:r>
          </w:p>
          <w:p w14:paraId="7D988763">
            <w:pPr>
              <w:keepNext w:val="0"/>
              <w:keepLines w:val="0"/>
              <w:pageBreakBefore w:val="0"/>
              <w:widowControl/>
              <w:numPr>
                <w:ilvl w:val="0"/>
                <w:numId w:val="41"/>
              </w:numPr>
              <w:suppressLineNumbers w:val="0"/>
              <w:kinsoku/>
              <w:wordWrap/>
              <w:overflowPunct/>
              <w:topLinePunct w:val="0"/>
              <w:autoSpaceDE/>
              <w:autoSpaceDN/>
              <w:bidi w:val="0"/>
              <w:adjustRightInd/>
              <w:snapToGrid/>
              <w:spacing w:line="360" w:lineRule="auto"/>
              <w:ind w:left="0" w:leftChars="0" w:firstLine="480" w:firstLineChars="200"/>
              <w:jc w:val="left"/>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贮存危险废物时应按危险废物的种类和特性进行分区贮存，每个贮存区域之间可采用过道形式设置隔离，并设置防雨、防火、防雷、防扬尘装置。</w:t>
            </w:r>
          </w:p>
          <w:p w14:paraId="6C07A008">
            <w:pPr>
              <w:keepNext w:val="0"/>
              <w:keepLines w:val="0"/>
              <w:pageBreakBefore w:val="0"/>
              <w:widowControl/>
              <w:numPr>
                <w:ilvl w:val="0"/>
                <w:numId w:val="41"/>
              </w:numPr>
              <w:suppressLineNumbers w:val="0"/>
              <w:kinsoku/>
              <w:wordWrap/>
              <w:overflowPunct/>
              <w:topLinePunct w:val="0"/>
              <w:autoSpaceDE/>
              <w:autoSpaceDN/>
              <w:bidi w:val="0"/>
              <w:adjustRightInd/>
              <w:snapToGrid/>
              <w:spacing w:line="360" w:lineRule="auto"/>
              <w:ind w:left="0" w:leftChars="0" w:firstLine="480" w:firstLineChars="200"/>
              <w:jc w:val="left"/>
              <w:textAlignment w:val="auto"/>
              <w:rPr>
                <w:rFonts w:hint="eastAsia" w:ascii="Times New Roman" w:hAnsi="Times New Roman" w:eastAsia="宋体" w:cs="Times New Roman"/>
                <w:color w:val="auto"/>
                <w:sz w:val="24"/>
                <w:szCs w:val="24"/>
                <w:lang w:val="en-US" w:eastAsia="zh-CN"/>
              </w:rPr>
            </w:pPr>
            <w:r>
              <w:rPr>
                <w:rFonts w:hint="eastAsia" w:cs="Times New Roman"/>
                <w:color w:val="auto"/>
                <w:sz w:val="24"/>
                <w:szCs w:val="24"/>
                <w:lang w:val="en-US" w:eastAsia="zh-CN"/>
              </w:rPr>
              <w:t>贮存库内</w:t>
            </w:r>
            <w:r>
              <w:rPr>
                <w:rFonts w:hint="eastAsia" w:ascii="Times New Roman" w:hAnsi="Times New Roman" w:eastAsia="宋体" w:cs="Times New Roman"/>
                <w:color w:val="auto"/>
                <w:sz w:val="24"/>
                <w:szCs w:val="24"/>
                <w:lang w:val="en-US" w:eastAsia="zh-CN"/>
              </w:rPr>
              <w:t>应配备火灾报警装置和导出静电的接地装置。</w:t>
            </w:r>
          </w:p>
          <w:p w14:paraId="63A5D1D0">
            <w:pPr>
              <w:keepNext w:val="0"/>
              <w:keepLines w:val="0"/>
              <w:pageBreakBefore w:val="0"/>
              <w:widowControl/>
              <w:numPr>
                <w:ilvl w:val="0"/>
                <w:numId w:val="41"/>
              </w:numPr>
              <w:suppressLineNumbers w:val="0"/>
              <w:kinsoku/>
              <w:wordWrap/>
              <w:overflowPunct/>
              <w:topLinePunct w:val="0"/>
              <w:autoSpaceDE/>
              <w:autoSpaceDN/>
              <w:bidi w:val="0"/>
              <w:adjustRightInd/>
              <w:snapToGrid/>
              <w:spacing w:line="360" w:lineRule="auto"/>
              <w:ind w:left="0" w:leftChars="0" w:firstLine="480" w:firstLineChars="200"/>
              <w:jc w:val="left"/>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危险废物贮存期限应符合《中华人民共和国固体废物污染环境防治法》：贮存危险废物必须采取符合国家环境保护标准的防护措施，并不得超过一年；确需延长期限的，必须报经原批准经营许可证的环境保护行政主管部门批准；法律、法规另有规定的除外。</w:t>
            </w:r>
          </w:p>
          <w:p w14:paraId="395AEA92">
            <w:pPr>
              <w:keepNext w:val="0"/>
              <w:keepLines w:val="0"/>
              <w:pageBreakBefore w:val="0"/>
              <w:widowControl/>
              <w:numPr>
                <w:ilvl w:val="0"/>
                <w:numId w:val="41"/>
              </w:numPr>
              <w:suppressLineNumbers w:val="0"/>
              <w:kinsoku/>
              <w:wordWrap/>
              <w:overflowPunct/>
              <w:topLinePunct w:val="0"/>
              <w:autoSpaceDE/>
              <w:autoSpaceDN/>
              <w:bidi w:val="0"/>
              <w:adjustRightInd/>
              <w:snapToGrid/>
              <w:spacing w:line="360" w:lineRule="auto"/>
              <w:ind w:left="0" w:leftChars="0" w:firstLine="480" w:firstLineChars="200"/>
              <w:jc w:val="left"/>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禁止将不相容(相互反应)的危险废物在同一容器内混装，不相容的危险废物必须分开存放。</w:t>
            </w:r>
          </w:p>
          <w:p w14:paraId="5ACA5943">
            <w:pPr>
              <w:keepNext w:val="0"/>
              <w:keepLines w:val="0"/>
              <w:pageBreakBefore w:val="0"/>
              <w:widowControl/>
              <w:numPr>
                <w:ilvl w:val="0"/>
                <w:numId w:val="41"/>
              </w:numPr>
              <w:suppressLineNumbers w:val="0"/>
              <w:kinsoku/>
              <w:wordWrap/>
              <w:overflowPunct/>
              <w:topLinePunct w:val="0"/>
              <w:autoSpaceDE/>
              <w:autoSpaceDN/>
              <w:bidi w:val="0"/>
              <w:adjustRightInd/>
              <w:snapToGrid/>
              <w:spacing w:line="360" w:lineRule="auto"/>
              <w:ind w:left="0" w:leftChars="0" w:firstLine="480" w:firstLineChars="200"/>
              <w:jc w:val="left"/>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危险废物贮存过程要求防风、防雨、防晒。</w:t>
            </w:r>
          </w:p>
          <w:p w14:paraId="5A6ACE80">
            <w:pPr>
              <w:keepNext w:val="0"/>
              <w:keepLines w:val="0"/>
              <w:pageBreakBefore w:val="0"/>
              <w:widowControl/>
              <w:numPr>
                <w:ilvl w:val="0"/>
                <w:numId w:val="41"/>
              </w:numPr>
              <w:suppressLineNumbers w:val="0"/>
              <w:kinsoku/>
              <w:wordWrap/>
              <w:overflowPunct/>
              <w:topLinePunct w:val="0"/>
              <w:autoSpaceDE/>
              <w:autoSpaceDN/>
              <w:bidi w:val="0"/>
              <w:adjustRightInd/>
              <w:snapToGrid/>
              <w:spacing w:line="360" w:lineRule="auto"/>
              <w:ind w:left="0" w:leftChars="0" w:firstLine="480" w:firstLineChars="200"/>
              <w:jc w:val="left"/>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库房贮存区应留有搬运通道。</w:t>
            </w:r>
          </w:p>
          <w:p w14:paraId="2309FD1A">
            <w:pPr>
              <w:keepNext w:val="0"/>
              <w:keepLines w:val="0"/>
              <w:pageBreakBefore w:val="0"/>
              <w:widowControl/>
              <w:numPr>
                <w:ilvl w:val="0"/>
                <w:numId w:val="41"/>
              </w:numPr>
              <w:suppressLineNumbers w:val="0"/>
              <w:kinsoku/>
              <w:wordWrap/>
              <w:overflowPunct/>
              <w:topLinePunct w:val="0"/>
              <w:autoSpaceDE/>
              <w:autoSpaceDN/>
              <w:bidi w:val="0"/>
              <w:adjustRightInd/>
              <w:snapToGrid/>
              <w:spacing w:line="360" w:lineRule="auto"/>
              <w:ind w:left="0" w:leftChars="0" w:firstLine="480" w:firstLineChars="200"/>
              <w:jc w:val="left"/>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危险废物入库贮存后，须做好危险废物情况的记录，记录上须注明危险废物的名称、来源、数量、特性和包装容器的类别、入库时间、存放位置、废物出库时间及接收单位的名称等。同时危险废物的记录和货单在危险废物转运后应继续保留5年。</w:t>
            </w:r>
          </w:p>
          <w:p w14:paraId="1E66B5F8">
            <w:pPr>
              <w:keepNext w:val="0"/>
              <w:keepLines w:val="0"/>
              <w:pageBreakBefore w:val="0"/>
              <w:widowControl/>
              <w:numPr>
                <w:ilvl w:val="0"/>
                <w:numId w:val="41"/>
              </w:numPr>
              <w:suppressLineNumbers w:val="0"/>
              <w:kinsoku/>
              <w:wordWrap/>
              <w:overflowPunct/>
              <w:topLinePunct w:val="0"/>
              <w:autoSpaceDE/>
              <w:autoSpaceDN/>
              <w:bidi w:val="0"/>
              <w:adjustRightInd/>
              <w:snapToGrid/>
              <w:spacing w:line="360" w:lineRule="auto"/>
              <w:ind w:left="0" w:leftChars="0" w:firstLine="480" w:firstLineChars="200"/>
              <w:jc w:val="left"/>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危险废物贮存库房内必须设置警示标志，每种危险废物的性质标签要明确在相应的贮存区。</w:t>
            </w:r>
          </w:p>
          <w:p w14:paraId="2F58E745">
            <w:pPr>
              <w:keepNext w:val="0"/>
              <w:keepLines w:val="0"/>
              <w:pageBreakBefore w:val="0"/>
              <w:widowControl/>
              <w:numPr>
                <w:ilvl w:val="0"/>
                <w:numId w:val="41"/>
              </w:numPr>
              <w:suppressLineNumbers w:val="0"/>
              <w:kinsoku/>
              <w:wordWrap/>
              <w:overflowPunct/>
              <w:topLinePunct w:val="0"/>
              <w:autoSpaceDE/>
              <w:autoSpaceDN/>
              <w:bidi w:val="0"/>
              <w:adjustRightInd/>
              <w:snapToGrid/>
              <w:spacing w:line="360" w:lineRule="auto"/>
              <w:ind w:left="0" w:leftChars="0" w:firstLine="480" w:firstLineChars="200"/>
              <w:jc w:val="left"/>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危废厂区内转移过程中加强管理，避免跑冒滴漏。</w:t>
            </w:r>
          </w:p>
          <w:p w14:paraId="68A53BB7">
            <w:pPr>
              <w:keepNext w:val="0"/>
              <w:keepLines w:val="0"/>
              <w:pageBreakBefore w:val="0"/>
              <w:widowControl/>
              <w:numPr>
                <w:ilvl w:val="0"/>
                <w:numId w:val="41"/>
              </w:numPr>
              <w:suppressLineNumbers w:val="0"/>
              <w:kinsoku/>
              <w:wordWrap/>
              <w:overflowPunct/>
              <w:topLinePunct w:val="0"/>
              <w:autoSpaceDE/>
              <w:autoSpaceDN/>
              <w:bidi w:val="0"/>
              <w:adjustRightInd/>
              <w:snapToGrid/>
              <w:spacing w:line="360" w:lineRule="auto"/>
              <w:ind w:left="0" w:leftChars="0" w:firstLine="480" w:firstLineChars="200"/>
              <w:jc w:val="left"/>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贮存库内设置导流沟及收集池。危废贮存区产生的废液经导流沟收集至收集池，采用专用容器收集后作为危险废物暂存，交由有资质的危险废物处置单位妥善处置。</w:t>
            </w:r>
          </w:p>
          <w:p w14:paraId="2C040CB9">
            <w:pPr>
              <w:keepNext w:val="0"/>
              <w:keepLines w:val="0"/>
              <w:pageBreakBefore w:val="0"/>
              <w:widowControl/>
              <w:numPr>
                <w:ilvl w:val="0"/>
                <w:numId w:val="41"/>
              </w:numPr>
              <w:suppressLineNumbers w:val="0"/>
              <w:kinsoku/>
              <w:wordWrap/>
              <w:overflowPunct/>
              <w:topLinePunct w:val="0"/>
              <w:autoSpaceDE/>
              <w:autoSpaceDN/>
              <w:bidi w:val="0"/>
              <w:adjustRightInd/>
              <w:snapToGrid/>
              <w:spacing w:line="360" w:lineRule="auto"/>
              <w:ind w:left="0" w:leftChars="0" w:firstLine="480" w:firstLineChars="200"/>
              <w:jc w:val="left"/>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危险废物贮存区应配备消防设施、通讯设备、照明设施、安全防护服装及工具，并设有应急防护设施。</w:t>
            </w:r>
          </w:p>
          <w:p w14:paraId="74F640AF">
            <w:pPr>
              <w:keepNext w:val="0"/>
              <w:keepLines w:val="0"/>
              <w:pageBreakBefore w:val="0"/>
              <w:widowControl/>
              <w:numPr>
                <w:ilvl w:val="0"/>
                <w:numId w:val="41"/>
              </w:numPr>
              <w:suppressLineNumbers w:val="0"/>
              <w:kinsoku/>
              <w:wordWrap/>
              <w:overflowPunct/>
              <w:topLinePunct w:val="0"/>
              <w:autoSpaceDE/>
              <w:autoSpaceDN/>
              <w:bidi w:val="0"/>
              <w:adjustRightInd/>
              <w:snapToGrid/>
              <w:spacing w:line="360" w:lineRule="auto"/>
              <w:ind w:left="0" w:leftChars="0" w:firstLine="480" w:firstLineChars="200"/>
              <w:jc w:val="left"/>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库房内要设有安全照明设施和观察窗口。</w:t>
            </w:r>
          </w:p>
          <w:p w14:paraId="2987976A">
            <w:pPr>
              <w:keepNext w:val="0"/>
              <w:keepLines w:val="0"/>
              <w:pageBreakBefore w:val="0"/>
              <w:widowControl/>
              <w:numPr>
                <w:ilvl w:val="0"/>
                <w:numId w:val="41"/>
              </w:numPr>
              <w:suppressLineNumbers w:val="0"/>
              <w:kinsoku/>
              <w:wordWrap/>
              <w:overflowPunct/>
              <w:topLinePunct w:val="0"/>
              <w:autoSpaceDE/>
              <w:autoSpaceDN/>
              <w:bidi w:val="0"/>
              <w:adjustRightInd/>
              <w:snapToGrid/>
              <w:spacing w:line="360" w:lineRule="auto"/>
              <w:ind w:left="0" w:leftChars="0" w:firstLine="480" w:firstLineChars="200"/>
              <w:jc w:val="left"/>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用以存放装载液体、半固体危险废物容器的地方，必须有耐腐蚀的硬化地面，且表面无裂痕。</w:t>
            </w:r>
          </w:p>
          <w:p w14:paraId="06F12B09">
            <w:pPr>
              <w:keepNext w:val="0"/>
              <w:keepLines w:val="0"/>
              <w:pageBreakBefore w:val="0"/>
              <w:widowControl/>
              <w:numPr>
                <w:ilvl w:val="0"/>
                <w:numId w:val="41"/>
              </w:numPr>
              <w:suppressLineNumbers w:val="0"/>
              <w:kinsoku/>
              <w:wordWrap/>
              <w:overflowPunct/>
              <w:topLinePunct w:val="0"/>
              <w:autoSpaceDE/>
              <w:autoSpaceDN/>
              <w:bidi w:val="0"/>
              <w:adjustRightInd/>
              <w:snapToGrid/>
              <w:spacing w:line="360" w:lineRule="auto"/>
              <w:ind w:left="0" w:leftChars="0" w:firstLine="480" w:firstLineChars="200"/>
              <w:jc w:val="left"/>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必须有泄漏液体收集装置、气体导出口及气体净化装置。本项目针对易挥发的危险废物设置废气收集设施采用两级活性炭吸附工艺处理后经15m高排气筒排放。</w:t>
            </w:r>
          </w:p>
          <w:p w14:paraId="0AEDD7F7">
            <w:pPr>
              <w:keepNext w:val="0"/>
              <w:keepLines w:val="0"/>
              <w:pageBreakBefore w:val="0"/>
              <w:widowControl/>
              <w:numPr>
                <w:ilvl w:val="0"/>
                <w:numId w:val="41"/>
              </w:numPr>
              <w:suppressLineNumbers w:val="0"/>
              <w:kinsoku/>
              <w:wordWrap/>
              <w:overflowPunct/>
              <w:topLinePunct w:val="0"/>
              <w:autoSpaceDE/>
              <w:autoSpaceDN/>
              <w:bidi w:val="0"/>
              <w:adjustRightInd/>
              <w:snapToGrid/>
              <w:spacing w:line="360" w:lineRule="auto"/>
              <w:ind w:left="0" w:leftChars="0" w:firstLine="480" w:firstLineChars="200"/>
              <w:jc w:val="left"/>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危险废物的转移应严格按照《危险废物转移管理办法》执行，并填写危险废物转移联单。</w:t>
            </w:r>
          </w:p>
          <w:p w14:paraId="75F84905">
            <w:pPr>
              <w:keepNext w:val="0"/>
              <w:keepLines w:val="0"/>
              <w:pageBreakBefore w:val="0"/>
              <w:widowControl/>
              <w:numPr>
                <w:ilvl w:val="0"/>
                <w:numId w:val="41"/>
              </w:numPr>
              <w:suppressLineNumbers w:val="0"/>
              <w:kinsoku/>
              <w:wordWrap/>
              <w:overflowPunct/>
              <w:topLinePunct w:val="0"/>
              <w:autoSpaceDE/>
              <w:autoSpaceDN/>
              <w:bidi w:val="0"/>
              <w:adjustRightInd/>
              <w:snapToGrid/>
              <w:spacing w:line="360" w:lineRule="auto"/>
              <w:ind w:left="0" w:leftChars="0" w:firstLine="480" w:firstLineChars="200"/>
              <w:jc w:val="left"/>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危险废物贮存区应设置消防沙池、气体灭火装置和室内消火栓等消防设施。</w:t>
            </w:r>
          </w:p>
          <w:p w14:paraId="7A56CE64">
            <w:pPr>
              <w:keepNext w:val="0"/>
              <w:keepLines w:val="0"/>
              <w:pageBreakBefore w:val="0"/>
              <w:widowControl/>
              <w:numPr>
                <w:ilvl w:val="0"/>
                <w:numId w:val="41"/>
              </w:numPr>
              <w:suppressLineNumbers w:val="0"/>
              <w:kinsoku/>
              <w:wordWrap/>
              <w:overflowPunct/>
              <w:topLinePunct w:val="0"/>
              <w:autoSpaceDE/>
              <w:autoSpaceDN/>
              <w:bidi w:val="0"/>
              <w:adjustRightInd/>
              <w:snapToGrid/>
              <w:spacing w:line="360" w:lineRule="auto"/>
              <w:ind w:left="0" w:leftChars="0" w:firstLine="480" w:firstLineChars="200"/>
              <w:jc w:val="left"/>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加强对环保设施的管理和检查，及时更换活性炭，确保环保设施正常运行，防止废气事故排放。</w:t>
            </w:r>
          </w:p>
          <w:p w14:paraId="0943AC98">
            <w:pPr>
              <w:keepNext w:val="0"/>
              <w:keepLines w:val="0"/>
              <w:pageBreakBefore w:val="0"/>
              <w:widowControl/>
              <w:numPr>
                <w:ilvl w:val="0"/>
                <w:numId w:val="41"/>
              </w:numPr>
              <w:suppressLineNumbers w:val="0"/>
              <w:kinsoku/>
              <w:wordWrap/>
              <w:overflowPunct/>
              <w:topLinePunct w:val="0"/>
              <w:autoSpaceDE/>
              <w:autoSpaceDN/>
              <w:bidi w:val="0"/>
              <w:adjustRightInd/>
              <w:snapToGrid/>
              <w:spacing w:line="360" w:lineRule="auto"/>
              <w:ind w:left="0" w:leftChars="0" w:firstLine="480" w:firstLineChars="200"/>
              <w:jc w:val="left"/>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危废仓库贮存现场设置专职管理人员施，负责对危险废物的贮存进行管理和监控，管理人员每天定时巡视仓库内危险废物的包装容器和贮存设施，发现破损立即采取措施清理更换。</w:t>
            </w:r>
          </w:p>
          <w:p w14:paraId="262B82BB">
            <w:pPr>
              <w:keepNext w:val="0"/>
              <w:keepLines w:val="0"/>
              <w:pageBreakBefore w:val="0"/>
              <w:widowControl/>
              <w:numPr>
                <w:ilvl w:val="0"/>
                <w:numId w:val="39"/>
              </w:numPr>
              <w:suppressLineNumbers w:val="0"/>
              <w:kinsoku/>
              <w:wordWrap/>
              <w:overflowPunct/>
              <w:topLinePunct w:val="0"/>
              <w:autoSpaceDE/>
              <w:autoSpaceDN/>
              <w:bidi w:val="0"/>
              <w:adjustRightInd/>
              <w:snapToGrid/>
              <w:spacing w:line="360" w:lineRule="auto"/>
              <w:ind w:left="0" w:leftChars="0" w:firstLine="425" w:firstLineChars="0"/>
              <w:jc w:val="left"/>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贮存库房防腐防渗风险防范措施</w:t>
            </w:r>
          </w:p>
          <w:p w14:paraId="0D3AC78D">
            <w:pPr>
              <w:keepNext w:val="0"/>
              <w:keepLines w:val="0"/>
              <w:pageBreakBefore w:val="0"/>
              <w:widowControl/>
              <w:numPr>
                <w:ilvl w:val="0"/>
                <w:numId w:val="0"/>
              </w:numPr>
              <w:suppressLineNumbers w:val="0"/>
              <w:kinsoku/>
              <w:wordWrap/>
              <w:overflowPunct/>
              <w:topLinePunct w:val="0"/>
              <w:autoSpaceDE/>
              <w:autoSpaceDN/>
              <w:bidi w:val="0"/>
              <w:adjustRightInd/>
              <w:snapToGrid/>
              <w:spacing w:line="360" w:lineRule="auto"/>
              <w:ind w:leftChars="0" w:firstLine="480" w:firstLineChars="200"/>
              <w:jc w:val="left"/>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项目贮存的危险废物具有易燃性、腐蚀性、毒性等危险特性，因此贮存区做好如下措施：</w:t>
            </w:r>
          </w:p>
          <w:p w14:paraId="03F9F754">
            <w:pPr>
              <w:keepNext w:val="0"/>
              <w:keepLines w:val="0"/>
              <w:pageBreakBefore w:val="0"/>
              <w:widowControl/>
              <w:numPr>
                <w:ilvl w:val="0"/>
                <w:numId w:val="42"/>
              </w:numPr>
              <w:suppressLineNumbers w:val="0"/>
              <w:kinsoku/>
              <w:wordWrap/>
              <w:overflowPunct/>
              <w:topLinePunct w:val="0"/>
              <w:autoSpaceDE/>
              <w:autoSpaceDN/>
              <w:bidi w:val="0"/>
              <w:adjustRightInd/>
              <w:snapToGrid/>
              <w:spacing w:line="360" w:lineRule="auto"/>
              <w:ind w:left="0" w:leftChars="0" w:firstLine="480" w:firstLineChars="200"/>
              <w:jc w:val="left"/>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贮存库房地面、裙脚、导流沟、收集池、事故池等须进行重点防渗，并做防腐处理。</w:t>
            </w:r>
          </w:p>
          <w:p w14:paraId="434DE883">
            <w:pPr>
              <w:keepNext w:val="0"/>
              <w:keepLines w:val="0"/>
              <w:pageBreakBefore w:val="0"/>
              <w:widowControl/>
              <w:numPr>
                <w:ilvl w:val="0"/>
                <w:numId w:val="42"/>
              </w:numPr>
              <w:suppressLineNumbers w:val="0"/>
              <w:kinsoku/>
              <w:wordWrap/>
              <w:overflowPunct/>
              <w:topLinePunct w:val="0"/>
              <w:autoSpaceDE/>
              <w:autoSpaceDN/>
              <w:bidi w:val="0"/>
              <w:adjustRightInd/>
              <w:snapToGrid/>
              <w:spacing w:line="360" w:lineRule="auto"/>
              <w:ind w:left="0" w:leftChars="0" w:firstLine="480" w:firstLineChars="200"/>
              <w:jc w:val="left"/>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重点防渗区表面防渗材料应与所接触的物料或污染物相容，可采用抗渗混凝土、高密度聚乙烯膜、钠基膨润土防水毯或其他防渗性能等效的材料。贮存的危险废物直接接触地面的，还应进行基础防渗，防渗层为至少1m厚黏土层(渗透系数不大于10</w:t>
            </w:r>
            <w:r>
              <w:rPr>
                <w:rFonts w:hint="eastAsia" w:ascii="Times New Roman" w:hAnsi="Times New Roman" w:eastAsia="宋体" w:cs="Times New Roman"/>
                <w:color w:val="auto"/>
                <w:sz w:val="24"/>
                <w:szCs w:val="24"/>
                <w:vertAlign w:val="superscript"/>
                <w:lang w:val="en-US" w:eastAsia="zh-CN"/>
              </w:rPr>
              <w:t>-7</w:t>
            </w:r>
            <w:r>
              <w:rPr>
                <w:rFonts w:hint="eastAsia" w:ascii="Times New Roman" w:hAnsi="Times New Roman" w:eastAsia="宋体" w:cs="Times New Roman"/>
                <w:color w:val="auto"/>
                <w:sz w:val="24"/>
                <w:szCs w:val="24"/>
                <w:lang w:val="en-US" w:eastAsia="zh-CN"/>
              </w:rPr>
              <w:t>cm/s)，或至少2mm厚高密度聚乙烯膜等人工防渗材料(渗透系数不大于10</w:t>
            </w:r>
            <w:r>
              <w:rPr>
                <w:rFonts w:hint="eastAsia" w:ascii="Times New Roman" w:hAnsi="Times New Roman" w:eastAsia="宋体" w:cs="Times New Roman"/>
                <w:color w:val="auto"/>
                <w:sz w:val="24"/>
                <w:szCs w:val="24"/>
                <w:vertAlign w:val="superscript"/>
                <w:lang w:val="en-US" w:eastAsia="zh-CN"/>
              </w:rPr>
              <w:t>-10</w:t>
            </w:r>
            <w:r>
              <w:rPr>
                <w:rFonts w:hint="eastAsia" w:ascii="Times New Roman" w:hAnsi="Times New Roman" w:eastAsia="宋体" w:cs="Times New Roman"/>
                <w:color w:val="auto"/>
                <w:sz w:val="24"/>
                <w:szCs w:val="24"/>
                <w:lang w:val="en-US" w:eastAsia="zh-CN"/>
              </w:rPr>
              <w:t>cm/s)，或其他防渗性能等效的材料。</w:t>
            </w:r>
          </w:p>
          <w:p w14:paraId="52048E14">
            <w:pPr>
              <w:keepNext w:val="0"/>
              <w:keepLines w:val="0"/>
              <w:pageBreakBefore w:val="0"/>
              <w:widowControl/>
              <w:numPr>
                <w:ilvl w:val="0"/>
                <w:numId w:val="42"/>
              </w:numPr>
              <w:suppressLineNumbers w:val="0"/>
              <w:kinsoku/>
              <w:wordWrap/>
              <w:overflowPunct/>
              <w:topLinePunct w:val="0"/>
              <w:autoSpaceDE/>
              <w:autoSpaceDN/>
              <w:bidi w:val="0"/>
              <w:adjustRightInd/>
              <w:snapToGrid/>
              <w:spacing w:line="360" w:lineRule="auto"/>
              <w:ind w:left="0" w:leftChars="0" w:firstLine="480" w:firstLineChars="200"/>
              <w:jc w:val="left"/>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项目防腐、防渗工程的施工，应聘请具有相关资质的单位，根据实际情况对库房及其它需要进行防腐、防渗的地方详细设计，选用适合的防腐材料，做好厂区的分区防腐防渗工作。</w:t>
            </w:r>
          </w:p>
          <w:p w14:paraId="30DA7097">
            <w:pPr>
              <w:keepNext w:val="0"/>
              <w:keepLines w:val="0"/>
              <w:pageBreakBefore w:val="0"/>
              <w:widowControl/>
              <w:numPr>
                <w:ilvl w:val="0"/>
                <w:numId w:val="42"/>
              </w:numPr>
              <w:suppressLineNumbers w:val="0"/>
              <w:kinsoku/>
              <w:wordWrap/>
              <w:overflowPunct/>
              <w:topLinePunct w:val="0"/>
              <w:autoSpaceDE/>
              <w:autoSpaceDN/>
              <w:bidi w:val="0"/>
              <w:adjustRightInd/>
              <w:snapToGrid/>
              <w:spacing w:line="360" w:lineRule="auto"/>
              <w:ind w:left="0" w:leftChars="0" w:firstLine="480" w:firstLineChars="200"/>
              <w:jc w:val="left"/>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建设单位应确保废气末端治理设施日常正常稳定运行，避免超标排放等突发环境事件的发生，必须要加强废气治理设施的维护和管理。如发现人为原因不开启废气等末端治理措施，责任人应受行政和经济处罚，并承担事故排放责任及相应的法律责任。为确保处理效果，在车间设备检修期间，末端处理系统也应同时进行检修，日常安排专人负责进行维护。</w:t>
            </w:r>
          </w:p>
          <w:p w14:paraId="36AFBB70">
            <w:pPr>
              <w:keepNext w:val="0"/>
              <w:keepLines w:val="0"/>
              <w:pageBreakBefore w:val="0"/>
              <w:widowControl/>
              <w:numPr>
                <w:ilvl w:val="0"/>
                <w:numId w:val="39"/>
              </w:numPr>
              <w:suppressLineNumbers w:val="0"/>
              <w:kinsoku/>
              <w:wordWrap/>
              <w:overflowPunct/>
              <w:topLinePunct w:val="0"/>
              <w:autoSpaceDE/>
              <w:autoSpaceDN/>
              <w:bidi w:val="0"/>
              <w:adjustRightInd/>
              <w:snapToGrid/>
              <w:spacing w:line="360" w:lineRule="auto"/>
              <w:ind w:left="0" w:leftChars="0" w:firstLine="425" w:firstLineChars="0"/>
              <w:jc w:val="left"/>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次生/伴生污染防治措施</w:t>
            </w:r>
          </w:p>
          <w:p w14:paraId="10655688">
            <w:pPr>
              <w:keepNext w:val="0"/>
              <w:keepLines w:val="0"/>
              <w:pageBreakBefore w:val="0"/>
              <w:widowControl/>
              <w:numPr>
                <w:ilvl w:val="0"/>
                <w:numId w:val="0"/>
              </w:numPr>
              <w:suppressLineNumbers w:val="0"/>
              <w:kinsoku/>
              <w:wordWrap/>
              <w:overflowPunct/>
              <w:topLinePunct w:val="0"/>
              <w:autoSpaceDE/>
              <w:autoSpaceDN/>
              <w:bidi w:val="0"/>
              <w:adjustRightInd/>
              <w:snapToGrid/>
              <w:spacing w:line="360" w:lineRule="auto"/>
              <w:ind w:leftChars="0" w:firstLine="480" w:firstLineChars="200"/>
              <w:jc w:val="left"/>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事故救援过程中产生的泄漏废液应引入废液收集池暂存，消防废水</w:t>
            </w:r>
            <w:r>
              <w:rPr>
                <w:rFonts w:hint="eastAsia" w:cs="Times New Roman"/>
                <w:color w:val="auto"/>
                <w:sz w:val="24"/>
                <w:szCs w:val="24"/>
                <w:lang w:val="en-US" w:eastAsia="zh-CN"/>
              </w:rPr>
              <w:t>拦截在车间内</w:t>
            </w:r>
            <w:r>
              <w:rPr>
                <w:rFonts w:hint="eastAsia" w:ascii="Times New Roman" w:hAnsi="Times New Roman" w:eastAsia="宋体" w:cs="Times New Roman"/>
                <w:color w:val="auto"/>
                <w:sz w:val="24"/>
                <w:szCs w:val="24"/>
                <w:lang w:val="en-US" w:eastAsia="zh-CN"/>
              </w:rPr>
              <w:t>，送至有资质单位处置；其它废灭火剂、拦截、堵漏材料等在事故排放后统一收集，并根据性质作为危险废物统一收集后送有资质单位进行处理。</w:t>
            </w:r>
          </w:p>
          <w:p w14:paraId="73B326D2">
            <w:pPr>
              <w:keepNext w:val="0"/>
              <w:keepLines w:val="0"/>
              <w:pageBreakBefore w:val="0"/>
              <w:widowControl/>
              <w:numPr>
                <w:ilvl w:val="0"/>
                <w:numId w:val="0"/>
              </w:numPr>
              <w:suppressLineNumbers w:val="0"/>
              <w:kinsoku/>
              <w:wordWrap/>
              <w:overflowPunct/>
              <w:topLinePunct w:val="0"/>
              <w:autoSpaceDE/>
              <w:autoSpaceDN/>
              <w:bidi w:val="0"/>
              <w:adjustRightInd/>
              <w:snapToGrid/>
              <w:spacing w:line="360" w:lineRule="auto"/>
              <w:ind w:leftChars="0" w:firstLine="480" w:firstLineChars="200"/>
              <w:jc w:val="left"/>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在发生火灾爆炸或者泄漏等事故时，消防废水是一个不容忽视的二次污染问题，由于消防废水在灭火时产生，产生时间短，产生量较大，不易控制和导向，一般经火灾厂区雨水管网直接进入外界水体环境，从而使带有化学品的消防废水对外界水体环境造成污染</w:t>
            </w:r>
            <w:r>
              <w:rPr>
                <w:rFonts w:hint="eastAsia" w:cs="Times New Roman"/>
                <w:color w:val="auto"/>
                <w:sz w:val="24"/>
                <w:szCs w:val="24"/>
                <w:lang w:val="en-US" w:eastAsia="zh-CN"/>
              </w:rPr>
              <w:t>。</w:t>
            </w:r>
            <w:r>
              <w:rPr>
                <w:rFonts w:hint="eastAsia" w:ascii="Times New Roman" w:hAnsi="Times New Roman" w:eastAsia="宋体" w:cs="Times New Roman"/>
                <w:color w:val="auto"/>
                <w:sz w:val="24"/>
                <w:szCs w:val="24"/>
                <w:lang w:val="en-US" w:eastAsia="zh-CN"/>
              </w:rPr>
              <w:t>本项目设置环境风险事故水污染三级防控系统，防止环境风险事故造成水环境污染：</w:t>
            </w:r>
            <w:r>
              <w:rPr>
                <w:rFonts w:hint="default" w:ascii="Times New Roman" w:hAnsi="Times New Roman" w:eastAsia="宋体" w:cs="Times New Roman"/>
                <w:color w:val="auto"/>
                <w:kern w:val="2"/>
                <w:sz w:val="24"/>
                <w:szCs w:val="24"/>
                <w:highlight w:val="none"/>
                <w:u w:val="none"/>
                <w:shd w:val="clear" w:color="auto" w:fill="auto"/>
                <w:lang w:val="en-US" w:eastAsia="zh-CN" w:bidi="ar-SA"/>
              </w:rPr>
              <w:t>即</w:t>
            </w:r>
            <w:r>
              <w:rPr>
                <w:rFonts w:hint="eastAsia" w:ascii="Times New Roman" w:hAnsi="Times New Roman" w:eastAsia="宋体" w:cs="Times New Roman"/>
                <w:color w:val="auto"/>
                <w:kern w:val="2"/>
                <w:sz w:val="24"/>
                <w:szCs w:val="24"/>
                <w:highlight w:val="none"/>
                <w:u w:val="none"/>
                <w:shd w:val="clear" w:color="auto" w:fill="auto"/>
                <w:lang w:val="en-US" w:eastAsia="zh-CN" w:bidi="ar-SA"/>
              </w:rPr>
              <w:t>贮存库内设置收集池，</w:t>
            </w:r>
            <w:r>
              <w:rPr>
                <w:rFonts w:hint="eastAsia" w:cs="Times New Roman"/>
                <w:color w:val="auto"/>
                <w:kern w:val="2"/>
                <w:sz w:val="24"/>
                <w:szCs w:val="24"/>
                <w:highlight w:val="none"/>
                <w:u w:val="none"/>
                <w:shd w:val="clear" w:color="auto" w:fill="auto"/>
                <w:lang w:val="en-US" w:eastAsia="zh-CN" w:bidi="ar-SA"/>
              </w:rPr>
              <w:t>贮存库门口设置拦截围堰</w:t>
            </w:r>
            <w:r>
              <w:rPr>
                <w:rFonts w:hint="default" w:ascii="Times New Roman" w:hAnsi="Times New Roman" w:eastAsia="宋体" w:cs="Times New Roman"/>
                <w:color w:val="auto"/>
                <w:kern w:val="2"/>
                <w:sz w:val="24"/>
                <w:szCs w:val="24"/>
                <w:highlight w:val="none"/>
                <w:u w:val="none"/>
                <w:shd w:val="clear" w:color="auto" w:fill="auto"/>
                <w:lang w:val="en-US" w:eastAsia="zh-CN" w:bidi="ar-SA"/>
              </w:rPr>
              <w:t>，</w:t>
            </w:r>
            <w:r>
              <w:rPr>
                <w:rFonts w:hint="eastAsia" w:cs="Times New Roman"/>
                <w:color w:val="auto"/>
                <w:kern w:val="2"/>
                <w:sz w:val="24"/>
                <w:szCs w:val="24"/>
                <w:highlight w:val="none"/>
                <w:u w:val="none"/>
                <w:shd w:val="clear" w:color="auto" w:fill="auto"/>
                <w:lang w:val="en-US" w:eastAsia="zh-CN" w:bidi="ar-SA"/>
              </w:rPr>
              <w:t>厂区</w:t>
            </w:r>
            <w:r>
              <w:rPr>
                <w:rFonts w:hint="default" w:ascii="Times New Roman" w:hAnsi="Times New Roman" w:eastAsia="宋体" w:cs="Times New Roman"/>
                <w:color w:val="auto"/>
                <w:kern w:val="2"/>
                <w:sz w:val="24"/>
                <w:szCs w:val="24"/>
                <w:highlight w:val="none"/>
                <w:u w:val="none"/>
                <w:shd w:val="clear" w:color="auto" w:fill="auto"/>
                <w:lang w:val="en-US" w:eastAsia="zh-CN" w:bidi="ar-SA"/>
              </w:rPr>
              <w:t>雨水总排口设置切换阀。</w:t>
            </w:r>
          </w:p>
          <w:p w14:paraId="58F5D415">
            <w:pPr>
              <w:keepNext w:val="0"/>
              <w:keepLines w:val="0"/>
              <w:pageBreakBefore w:val="0"/>
              <w:widowControl/>
              <w:numPr>
                <w:ilvl w:val="0"/>
                <w:numId w:val="0"/>
              </w:numPr>
              <w:suppressLineNumbers w:val="0"/>
              <w:kinsoku/>
              <w:wordWrap/>
              <w:overflowPunct/>
              <w:topLinePunct w:val="0"/>
              <w:autoSpaceDE/>
              <w:autoSpaceDN/>
              <w:bidi w:val="0"/>
              <w:adjustRightInd/>
              <w:snapToGrid/>
              <w:spacing w:line="360" w:lineRule="auto"/>
              <w:ind w:leftChars="0" w:firstLine="480" w:firstLineChars="200"/>
              <w:jc w:val="left"/>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①为了防止危险废物容器破裂，导致危险废物泄漏，建设单位在贮存库内均设置了导流沟及收集池，单个收集池容积为1m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(1m×1m×1m)，本项目贮存容器最大容积为1m³，收集池容积能够满足单个容器破裂收集需求。</w:t>
            </w:r>
          </w:p>
          <w:p w14:paraId="70ED9B16">
            <w:pPr>
              <w:keepNext w:val="0"/>
              <w:keepLines w:val="0"/>
              <w:pageBreakBefore w:val="0"/>
              <w:widowControl/>
              <w:numPr>
                <w:ilvl w:val="0"/>
                <w:numId w:val="0"/>
              </w:numPr>
              <w:suppressLineNumbers w:val="0"/>
              <w:kinsoku/>
              <w:wordWrap/>
              <w:overflowPunct/>
              <w:topLinePunct w:val="0"/>
              <w:autoSpaceDE/>
              <w:autoSpaceDN/>
              <w:bidi w:val="0"/>
              <w:adjustRightInd/>
              <w:snapToGrid/>
              <w:spacing w:line="360" w:lineRule="auto"/>
              <w:ind w:leftChars="0" w:firstLine="480" w:firstLineChars="200"/>
              <w:jc w:val="left"/>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②</w:t>
            </w:r>
            <w:r>
              <w:rPr>
                <w:rFonts w:hint="eastAsia" w:cs="Times New Roman"/>
                <w:color w:val="auto"/>
                <w:sz w:val="24"/>
                <w:szCs w:val="24"/>
                <w:lang w:val="en-US" w:eastAsia="zh-CN"/>
              </w:rPr>
              <w:t>贮存库门口设置拦截围堰及沙袋等，将事故废水拦截在贮存库内。</w:t>
            </w:r>
          </w:p>
          <w:p w14:paraId="35645499">
            <w:pPr>
              <w:keepNext w:val="0"/>
              <w:keepLines w:val="0"/>
              <w:pageBreakBefore w:val="0"/>
              <w:widowControl/>
              <w:numPr>
                <w:ilvl w:val="0"/>
                <w:numId w:val="0"/>
              </w:numPr>
              <w:suppressLineNumbers w:val="0"/>
              <w:kinsoku/>
              <w:wordWrap/>
              <w:overflowPunct/>
              <w:topLinePunct w:val="0"/>
              <w:autoSpaceDE/>
              <w:autoSpaceDN/>
              <w:bidi w:val="0"/>
              <w:adjustRightInd/>
              <w:snapToGrid/>
              <w:spacing w:line="360" w:lineRule="auto"/>
              <w:ind w:leftChars="0" w:firstLine="480" w:firstLineChars="200"/>
              <w:jc w:val="left"/>
              <w:textAlignment w:val="auto"/>
              <w:rPr>
                <w:rFonts w:hint="eastAsia" w:ascii="Times New Roman" w:hAnsi="Times New Roman" w:eastAsia="宋体" w:cs="Times New Roman"/>
                <w:color w:val="auto"/>
                <w:sz w:val="24"/>
                <w:szCs w:val="24"/>
                <w:lang w:val="en-US" w:eastAsia="zh-CN"/>
              </w:rPr>
            </w:pPr>
            <w:r>
              <w:rPr>
                <w:rFonts w:hint="eastAsia" w:cs="Times New Roman"/>
                <w:color w:val="auto"/>
                <w:sz w:val="24"/>
                <w:szCs w:val="24"/>
                <w:lang w:val="en-US" w:eastAsia="zh-CN"/>
              </w:rPr>
              <w:t>③</w:t>
            </w:r>
            <w:r>
              <w:rPr>
                <w:rFonts w:hint="eastAsia" w:ascii="Times New Roman" w:hAnsi="Times New Roman" w:eastAsia="宋体" w:cs="Times New Roman"/>
                <w:color w:val="auto"/>
                <w:sz w:val="24"/>
                <w:szCs w:val="24"/>
                <w:lang w:val="en-US" w:eastAsia="zh-CN"/>
              </w:rPr>
              <w:t>厂区雨水排口设置切断措施，事故状态下切断雨水排口，利用防汛沙袋等围堵设施，将事故消防废水控制在厂内，事故过后，</w:t>
            </w:r>
            <w:r>
              <w:rPr>
                <w:rFonts w:hint="eastAsia" w:cs="Times New Roman"/>
                <w:color w:val="auto"/>
                <w:sz w:val="24"/>
                <w:szCs w:val="24"/>
                <w:lang w:val="en-US" w:eastAsia="zh-CN"/>
              </w:rPr>
              <w:t>将</w:t>
            </w:r>
            <w:r>
              <w:rPr>
                <w:rFonts w:hint="eastAsia" w:ascii="Times New Roman" w:hAnsi="Times New Roman" w:eastAsia="宋体" w:cs="Times New Roman"/>
                <w:color w:val="auto"/>
                <w:sz w:val="24"/>
                <w:szCs w:val="24"/>
                <w:lang w:val="en-US" w:eastAsia="zh-CN"/>
              </w:rPr>
              <w:t>事故废水交由有相应危废处理资质的单位清运处置。</w:t>
            </w:r>
          </w:p>
          <w:p w14:paraId="10506057">
            <w:pPr>
              <w:pStyle w:val="116"/>
              <w:keepNext w:val="0"/>
              <w:keepLines w:val="0"/>
              <w:pageBreakBefore w:val="0"/>
              <w:widowControl w:val="0"/>
              <w:shd w:val="clear" w:color="auto" w:fill="auto"/>
              <w:kinsoku/>
              <w:wordWrap/>
              <w:overflowPunct/>
              <w:topLinePunct w:val="0"/>
              <w:autoSpaceDE/>
              <w:autoSpaceDN/>
              <w:bidi w:val="0"/>
              <w:adjustRightInd/>
              <w:snapToGrid/>
              <w:spacing w:before="0" w:line="360" w:lineRule="auto"/>
              <w:ind w:left="0" w:right="0" w:firstLine="482"/>
              <w:jc w:val="both"/>
              <w:textAlignment w:val="auto"/>
              <w:outlineLvl w:val="9"/>
              <w:rPr>
                <w:rFonts w:hint="eastAsia" w:ascii="Times New Roman" w:hAnsi="Times New Roman" w:cs="Times New Roman"/>
                <w:color w:val="auto"/>
                <w:kern w:val="2"/>
                <w:sz w:val="24"/>
                <w:szCs w:val="24"/>
                <w:highlight w:val="none"/>
                <w:u w:val="none"/>
                <w:shd w:val="clear" w:color="auto" w:fill="auto"/>
                <w:lang w:val="en-US" w:eastAsia="zh-CN" w:bidi="ar-SA"/>
              </w:rPr>
            </w:pPr>
            <w:r>
              <w:rPr>
                <w:rFonts w:hint="eastAsia" w:ascii="Times New Roman" w:hAnsi="Times New Roman" w:cs="Times New Roman"/>
                <w:color w:val="auto"/>
                <w:kern w:val="2"/>
                <w:sz w:val="24"/>
                <w:szCs w:val="24"/>
                <w:highlight w:val="none"/>
                <w:u w:val="none"/>
                <w:shd w:val="clear" w:color="auto" w:fill="auto"/>
                <w:lang w:val="en-US" w:eastAsia="zh-CN" w:bidi="ar-SA"/>
              </w:rPr>
              <w:t>根据《化工建设项目环境保护设计规范标准》（GB/T50483-2019）的相关内容，事故水池设施总有效容积按照以下公式计算：</w:t>
            </w:r>
          </w:p>
          <w:p w14:paraId="36D7FA29">
            <w:pPr>
              <w:pStyle w:val="116"/>
              <w:keepNext w:val="0"/>
              <w:keepLines w:val="0"/>
              <w:pageBreakBefore w:val="0"/>
              <w:widowControl w:val="0"/>
              <w:shd w:val="clear" w:color="auto" w:fill="auto"/>
              <w:kinsoku/>
              <w:wordWrap/>
              <w:overflowPunct/>
              <w:topLinePunct w:val="0"/>
              <w:autoSpaceDE/>
              <w:autoSpaceDN/>
              <w:bidi w:val="0"/>
              <w:adjustRightInd/>
              <w:snapToGrid/>
              <w:spacing w:before="0" w:line="360" w:lineRule="auto"/>
              <w:ind w:left="0" w:right="0" w:firstLine="482"/>
              <w:jc w:val="both"/>
              <w:textAlignment w:val="auto"/>
              <w:outlineLvl w:val="9"/>
              <w:rPr>
                <w:rFonts w:hint="default" w:ascii="Times New Roman" w:hAnsi="Times New Roman" w:cs="Times New Roman"/>
                <w:color w:val="auto"/>
                <w:kern w:val="2"/>
                <w:sz w:val="24"/>
                <w:szCs w:val="24"/>
                <w:highlight w:val="none"/>
                <w:u w:val="none"/>
                <w:shd w:val="clear" w:color="auto" w:fill="auto"/>
                <w:lang w:val="en-US" w:eastAsia="zh-CN" w:bidi="ar-SA"/>
              </w:rPr>
            </w:pPr>
            <w:r>
              <w:rPr>
                <w:rFonts w:hint="eastAsia" w:ascii="Times New Roman" w:hAnsi="Times New Roman" w:cs="Times New Roman"/>
                <w:color w:val="auto"/>
                <w:kern w:val="2"/>
                <w:sz w:val="24"/>
                <w:szCs w:val="24"/>
                <w:highlight w:val="none"/>
                <w:u w:val="none"/>
                <w:shd w:val="clear" w:color="auto" w:fill="auto"/>
                <w:lang w:val="en-US" w:eastAsia="zh-CN" w:bidi="ar-SA"/>
              </w:rPr>
              <w:t>V</w:t>
            </w:r>
            <w:r>
              <w:rPr>
                <w:rFonts w:hint="eastAsia" w:ascii="Times New Roman" w:hAnsi="Times New Roman" w:cs="Times New Roman"/>
                <w:color w:val="auto"/>
                <w:kern w:val="2"/>
                <w:sz w:val="24"/>
                <w:szCs w:val="24"/>
                <w:highlight w:val="none"/>
                <w:u w:val="none"/>
                <w:shd w:val="clear" w:color="auto" w:fill="auto"/>
                <w:vertAlign w:val="subscript"/>
                <w:lang w:val="en-US" w:eastAsia="zh-CN" w:bidi="ar-SA"/>
              </w:rPr>
              <w:t>总</w:t>
            </w:r>
            <w:r>
              <w:rPr>
                <w:rFonts w:hint="eastAsia" w:ascii="Times New Roman" w:hAnsi="Times New Roman" w:cs="Times New Roman"/>
                <w:color w:val="auto"/>
                <w:kern w:val="2"/>
                <w:sz w:val="24"/>
                <w:szCs w:val="24"/>
                <w:highlight w:val="none"/>
                <w:u w:val="none"/>
                <w:shd w:val="clear" w:color="auto" w:fill="auto"/>
                <w:lang w:val="en-US" w:eastAsia="zh-CN" w:bidi="ar-SA"/>
              </w:rPr>
              <w:t>=（V</w:t>
            </w:r>
            <w:r>
              <w:rPr>
                <w:rFonts w:hint="eastAsia" w:ascii="Times New Roman" w:hAnsi="Times New Roman" w:cs="Times New Roman"/>
                <w:color w:val="auto"/>
                <w:kern w:val="2"/>
                <w:sz w:val="24"/>
                <w:szCs w:val="24"/>
                <w:highlight w:val="none"/>
                <w:u w:val="none"/>
                <w:shd w:val="clear" w:color="auto" w:fill="auto"/>
                <w:vertAlign w:val="subscript"/>
                <w:lang w:val="en-US" w:eastAsia="zh-CN" w:bidi="ar-SA"/>
              </w:rPr>
              <w:t>1</w:t>
            </w:r>
            <w:r>
              <w:rPr>
                <w:rFonts w:hint="eastAsia" w:ascii="Times New Roman" w:hAnsi="Times New Roman" w:cs="Times New Roman"/>
                <w:color w:val="auto"/>
                <w:kern w:val="2"/>
                <w:sz w:val="24"/>
                <w:szCs w:val="24"/>
                <w:highlight w:val="none"/>
                <w:u w:val="none"/>
                <w:shd w:val="clear" w:color="auto" w:fill="auto"/>
                <w:lang w:val="en-US" w:eastAsia="zh-CN" w:bidi="ar-SA"/>
              </w:rPr>
              <w:t>+V</w:t>
            </w:r>
            <w:r>
              <w:rPr>
                <w:rFonts w:hint="eastAsia" w:ascii="Times New Roman" w:hAnsi="Times New Roman" w:cs="Times New Roman"/>
                <w:color w:val="auto"/>
                <w:kern w:val="2"/>
                <w:sz w:val="24"/>
                <w:szCs w:val="24"/>
                <w:highlight w:val="none"/>
                <w:u w:val="none"/>
                <w:shd w:val="clear" w:color="auto" w:fill="auto"/>
                <w:vertAlign w:val="subscript"/>
                <w:lang w:val="en-US" w:eastAsia="zh-CN" w:bidi="ar-SA"/>
              </w:rPr>
              <w:t>2</w:t>
            </w:r>
            <w:r>
              <w:rPr>
                <w:rFonts w:hint="eastAsia" w:ascii="Times New Roman" w:hAnsi="Times New Roman" w:cs="Times New Roman"/>
                <w:color w:val="auto"/>
                <w:kern w:val="2"/>
                <w:sz w:val="24"/>
                <w:szCs w:val="24"/>
                <w:highlight w:val="none"/>
                <w:u w:val="none"/>
                <w:shd w:val="clear" w:color="auto" w:fill="auto"/>
                <w:lang w:val="en-US" w:eastAsia="zh-CN" w:bidi="ar-SA"/>
              </w:rPr>
              <w:t>-V</w:t>
            </w:r>
            <w:r>
              <w:rPr>
                <w:rFonts w:hint="eastAsia" w:ascii="Times New Roman" w:hAnsi="Times New Roman" w:cs="Times New Roman"/>
                <w:color w:val="auto"/>
                <w:kern w:val="2"/>
                <w:sz w:val="24"/>
                <w:szCs w:val="24"/>
                <w:highlight w:val="none"/>
                <w:u w:val="none"/>
                <w:shd w:val="clear" w:color="auto" w:fill="auto"/>
                <w:vertAlign w:val="subscript"/>
                <w:lang w:val="en-US" w:eastAsia="zh-CN" w:bidi="ar-SA"/>
              </w:rPr>
              <w:t>3</w:t>
            </w:r>
            <w:r>
              <w:rPr>
                <w:rFonts w:hint="eastAsia" w:ascii="Times New Roman" w:hAnsi="Times New Roman" w:cs="Times New Roman"/>
                <w:color w:val="auto"/>
                <w:kern w:val="2"/>
                <w:sz w:val="24"/>
                <w:szCs w:val="24"/>
                <w:highlight w:val="none"/>
                <w:u w:val="none"/>
                <w:shd w:val="clear" w:color="auto" w:fill="auto"/>
                <w:lang w:val="en-US" w:eastAsia="zh-CN" w:bidi="ar-SA"/>
              </w:rPr>
              <w:t>）</w:t>
            </w:r>
            <w:r>
              <w:rPr>
                <w:rFonts w:hint="eastAsia" w:ascii="Times New Roman" w:hAnsi="Times New Roman" w:cs="Times New Roman"/>
                <w:color w:val="auto"/>
                <w:kern w:val="2"/>
                <w:sz w:val="24"/>
                <w:szCs w:val="24"/>
                <w:highlight w:val="none"/>
                <w:u w:val="none"/>
                <w:shd w:val="clear" w:color="auto" w:fill="auto"/>
                <w:vertAlign w:val="subscript"/>
                <w:lang w:val="en-US" w:eastAsia="zh-CN" w:bidi="ar-SA"/>
              </w:rPr>
              <w:t>max</w:t>
            </w:r>
            <w:r>
              <w:rPr>
                <w:rFonts w:hint="eastAsia" w:ascii="Times New Roman" w:hAnsi="Times New Roman" w:cs="Times New Roman"/>
                <w:color w:val="auto"/>
                <w:kern w:val="2"/>
                <w:sz w:val="24"/>
                <w:szCs w:val="24"/>
                <w:highlight w:val="none"/>
                <w:u w:val="none"/>
                <w:shd w:val="clear" w:color="auto" w:fill="auto"/>
                <w:lang w:val="en-US" w:eastAsia="zh-CN" w:bidi="ar-SA"/>
              </w:rPr>
              <w:t>+V</w:t>
            </w:r>
            <w:r>
              <w:rPr>
                <w:rFonts w:hint="eastAsia" w:ascii="Times New Roman" w:hAnsi="Times New Roman" w:cs="Times New Roman"/>
                <w:color w:val="auto"/>
                <w:kern w:val="2"/>
                <w:sz w:val="24"/>
                <w:szCs w:val="24"/>
                <w:highlight w:val="none"/>
                <w:u w:val="none"/>
                <w:shd w:val="clear" w:color="auto" w:fill="auto"/>
                <w:vertAlign w:val="subscript"/>
                <w:lang w:val="en-US" w:eastAsia="zh-CN" w:bidi="ar-SA"/>
              </w:rPr>
              <w:t>4</w:t>
            </w:r>
            <w:r>
              <w:rPr>
                <w:rFonts w:hint="eastAsia" w:ascii="Times New Roman" w:hAnsi="Times New Roman" w:cs="Times New Roman"/>
                <w:color w:val="auto"/>
                <w:kern w:val="2"/>
                <w:sz w:val="24"/>
                <w:szCs w:val="24"/>
                <w:highlight w:val="none"/>
                <w:u w:val="none"/>
                <w:shd w:val="clear" w:color="auto" w:fill="auto"/>
                <w:lang w:val="en-US" w:eastAsia="zh-CN" w:bidi="ar-SA"/>
              </w:rPr>
              <w:t>+V</w:t>
            </w:r>
            <w:r>
              <w:rPr>
                <w:rFonts w:hint="eastAsia" w:ascii="Times New Roman" w:hAnsi="Times New Roman" w:cs="Times New Roman"/>
                <w:color w:val="auto"/>
                <w:kern w:val="2"/>
                <w:sz w:val="24"/>
                <w:szCs w:val="24"/>
                <w:highlight w:val="none"/>
                <w:u w:val="none"/>
                <w:shd w:val="clear" w:color="auto" w:fill="auto"/>
                <w:vertAlign w:val="subscript"/>
                <w:lang w:val="en-US" w:eastAsia="zh-CN" w:bidi="ar-SA"/>
              </w:rPr>
              <w:t>5</w:t>
            </w:r>
          </w:p>
          <w:p w14:paraId="72E5765A">
            <w:pPr>
              <w:pStyle w:val="116"/>
              <w:keepNext w:val="0"/>
              <w:keepLines w:val="0"/>
              <w:pageBreakBefore w:val="0"/>
              <w:widowControl w:val="0"/>
              <w:shd w:val="clear" w:color="auto" w:fill="auto"/>
              <w:kinsoku/>
              <w:wordWrap/>
              <w:overflowPunct/>
              <w:topLinePunct w:val="0"/>
              <w:autoSpaceDE/>
              <w:autoSpaceDN/>
              <w:bidi w:val="0"/>
              <w:adjustRightInd/>
              <w:snapToGrid/>
              <w:spacing w:before="0" w:line="360" w:lineRule="auto"/>
              <w:ind w:left="0" w:right="0" w:firstLine="482"/>
              <w:jc w:val="both"/>
              <w:textAlignment w:val="auto"/>
              <w:outlineLvl w:val="9"/>
              <w:rPr>
                <w:rFonts w:hint="default" w:ascii="Times New Roman" w:hAnsi="Times New Roman" w:eastAsia="宋体" w:cs="Times New Roman"/>
                <w:color w:val="auto"/>
                <w:kern w:val="2"/>
                <w:sz w:val="24"/>
                <w:szCs w:val="24"/>
                <w:highlight w:val="none"/>
                <w:u w:val="none"/>
                <w:shd w:val="clear" w:color="auto" w:fill="auto"/>
                <w:lang w:val="en-US" w:eastAsia="zh-CN" w:bidi="ar-SA"/>
              </w:rPr>
            </w:pPr>
            <w:r>
              <w:rPr>
                <w:rFonts w:hint="default" w:ascii="Times New Roman" w:hAnsi="Times New Roman" w:eastAsia="宋体" w:cs="Times New Roman"/>
                <w:color w:val="auto"/>
                <w:kern w:val="2"/>
                <w:sz w:val="24"/>
                <w:szCs w:val="24"/>
                <w:highlight w:val="none"/>
                <w:u w:val="none"/>
                <w:shd w:val="clear" w:color="auto" w:fill="auto"/>
                <w:lang w:val="en-US" w:eastAsia="zh-CN" w:bidi="ar-SA"/>
              </w:rPr>
              <w:t>式中</w:t>
            </w:r>
            <w:r>
              <w:rPr>
                <w:rFonts w:hint="eastAsia" w:ascii="Times New Roman" w:hAnsi="Times New Roman" w:cs="Times New Roman"/>
                <w:color w:val="auto"/>
                <w:kern w:val="2"/>
                <w:sz w:val="24"/>
                <w:szCs w:val="24"/>
                <w:highlight w:val="none"/>
                <w:u w:val="none"/>
                <w:shd w:val="clear" w:color="auto" w:fill="auto"/>
                <w:lang w:val="en-US" w:eastAsia="zh-CN" w:bidi="ar-SA"/>
              </w:rPr>
              <w:t>：</w:t>
            </w:r>
          </w:p>
          <w:p w14:paraId="1DC83D35">
            <w:pPr>
              <w:pStyle w:val="116"/>
              <w:keepNext w:val="0"/>
              <w:keepLines w:val="0"/>
              <w:pageBreakBefore w:val="0"/>
              <w:widowControl w:val="0"/>
              <w:shd w:val="clear" w:color="auto" w:fill="auto"/>
              <w:kinsoku/>
              <w:wordWrap/>
              <w:overflowPunct/>
              <w:topLinePunct w:val="0"/>
              <w:autoSpaceDE/>
              <w:autoSpaceDN/>
              <w:bidi w:val="0"/>
              <w:adjustRightInd/>
              <w:snapToGrid/>
              <w:spacing w:before="0" w:line="360" w:lineRule="auto"/>
              <w:ind w:left="0" w:right="0" w:firstLine="482"/>
              <w:jc w:val="both"/>
              <w:textAlignment w:val="auto"/>
              <w:outlineLvl w:val="9"/>
              <w:rPr>
                <w:rFonts w:hint="default" w:ascii="Times New Roman" w:hAnsi="Times New Roman" w:eastAsia="宋体" w:cs="Times New Roman"/>
                <w:color w:val="auto"/>
                <w:kern w:val="2"/>
                <w:sz w:val="24"/>
                <w:szCs w:val="24"/>
                <w:highlight w:val="none"/>
                <w:u w:val="none"/>
                <w:shd w:val="clear" w:color="auto" w:fill="auto"/>
                <w:lang w:val="en-US" w:eastAsia="zh-CN" w:bidi="ar-SA"/>
              </w:rPr>
            </w:pPr>
            <w:r>
              <w:rPr>
                <w:rFonts w:hint="default" w:ascii="Times New Roman" w:hAnsi="Times New Roman" w:eastAsia="宋体" w:cs="Times New Roman"/>
                <w:color w:val="auto"/>
                <w:kern w:val="2"/>
                <w:sz w:val="24"/>
                <w:szCs w:val="24"/>
                <w:highlight w:val="none"/>
                <w:u w:val="none"/>
                <w:shd w:val="clear" w:color="auto" w:fill="auto"/>
                <w:lang w:val="en-US" w:eastAsia="zh-CN" w:bidi="ar-SA"/>
              </w:rPr>
              <w:t>V</w:t>
            </w:r>
            <w:r>
              <w:rPr>
                <w:rFonts w:hint="default" w:ascii="Times New Roman" w:hAnsi="Times New Roman" w:eastAsia="宋体" w:cs="Times New Roman"/>
                <w:color w:val="auto"/>
                <w:kern w:val="2"/>
                <w:sz w:val="24"/>
                <w:szCs w:val="24"/>
                <w:highlight w:val="none"/>
                <w:u w:val="none"/>
                <w:shd w:val="clear" w:color="auto" w:fill="auto"/>
                <w:vertAlign w:val="subscript"/>
                <w:lang w:val="en-US" w:eastAsia="zh-CN" w:bidi="ar-SA"/>
              </w:rPr>
              <w:t>1</w:t>
            </w:r>
            <w:r>
              <w:rPr>
                <w:rFonts w:hint="eastAsia" w:ascii="Times New Roman" w:hAnsi="Times New Roman" w:cs="Times New Roman"/>
                <w:color w:val="auto"/>
                <w:kern w:val="2"/>
                <w:sz w:val="24"/>
                <w:szCs w:val="24"/>
                <w:highlight w:val="none"/>
                <w:u w:val="none"/>
                <w:shd w:val="clear" w:color="auto" w:fill="auto"/>
                <w:lang w:val="en-US" w:eastAsia="zh-CN" w:bidi="ar-SA"/>
              </w:rPr>
              <w:t>：</w:t>
            </w:r>
            <w:r>
              <w:rPr>
                <w:rFonts w:hint="default" w:ascii="Times New Roman" w:hAnsi="Times New Roman" w:eastAsia="宋体" w:cs="Times New Roman"/>
                <w:color w:val="auto"/>
                <w:kern w:val="2"/>
                <w:sz w:val="24"/>
                <w:szCs w:val="24"/>
                <w:highlight w:val="none"/>
                <w:u w:val="none"/>
                <w:shd w:val="clear" w:color="auto" w:fill="auto"/>
                <w:lang w:val="en-US" w:eastAsia="zh-CN" w:bidi="ar-SA"/>
              </w:rPr>
              <w:t>收集系统范围内发生事故的一个罐组或一套装置的物料量，m</w:t>
            </w:r>
            <w:r>
              <w:rPr>
                <w:rFonts w:hint="default" w:ascii="Times New Roman" w:hAnsi="Times New Roman" w:eastAsia="宋体" w:cs="Times New Roman"/>
                <w:color w:val="auto"/>
                <w:kern w:val="2"/>
                <w:sz w:val="24"/>
                <w:szCs w:val="24"/>
                <w:highlight w:val="none"/>
                <w:u w:val="none"/>
                <w:shd w:val="clear" w:color="auto" w:fill="auto"/>
                <w:vertAlign w:val="superscript"/>
                <w:lang w:val="en-US" w:eastAsia="zh-CN" w:bidi="ar-SA"/>
              </w:rPr>
              <w:t>3</w:t>
            </w:r>
            <w:r>
              <w:rPr>
                <w:rFonts w:hint="default" w:ascii="Times New Roman" w:hAnsi="Times New Roman" w:eastAsia="宋体" w:cs="Times New Roman"/>
                <w:color w:val="auto"/>
                <w:kern w:val="2"/>
                <w:sz w:val="24"/>
                <w:szCs w:val="24"/>
                <w:highlight w:val="none"/>
                <w:u w:val="none"/>
                <w:shd w:val="clear" w:color="auto" w:fill="auto"/>
                <w:lang w:val="en-US" w:eastAsia="zh-CN" w:bidi="ar-SA"/>
              </w:rPr>
              <w:t>，本项目</w:t>
            </w:r>
            <w:r>
              <w:rPr>
                <w:rFonts w:hint="eastAsia" w:ascii="Times New Roman" w:hAnsi="Times New Roman" w:cs="Times New Roman"/>
                <w:color w:val="auto"/>
                <w:kern w:val="2"/>
                <w:sz w:val="24"/>
                <w:szCs w:val="24"/>
                <w:highlight w:val="none"/>
                <w:u w:val="none"/>
                <w:shd w:val="clear" w:color="auto" w:fill="auto"/>
                <w:lang w:val="en-US" w:eastAsia="zh-CN" w:bidi="ar-SA"/>
              </w:rPr>
              <w:t>取1m³</w:t>
            </w:r>
            <w:r>
              <w:rPr>
                <w:rFonts w:hint="default" w:ascii="Times New Roman" w:hAnsi="Times New Roman" w:eastAsia="宋体" w:cs="Times New Roman"/>
                <w:color w:val="auto"/>
                <w:kern w:val="2"/>
                <w:sz w:val="24"/>
                <w:szCs w:val="24"/>
                <w:highlight w:val="none"/>
                <w:u w:val="none"/>
                <w:shd w:val="clear" w:color="auto" w:fill="auto"/>
                <w:lang w:val="en-US" w:eastAsia="zh-CN" w:bidi="ar-SA"/>
              </w:rPr>
              <w:t>。</w:t>
            </w:r>
          </w:p>
          <w:p w14:paraId="2AA69187">
            <w:pPr>
              <w:pStyle w:val="116"/>
              <w:keepNext w:val="0"/>
              <w:keepLines w:val="0"/>
              <w:pageBreakBefore w:val="0"/>
              <w:widowControl w:val="0"/>
              <w:shd w:val="clear" w:color="auto" w:fill="auto"/>
              <w:kinsoku/>
              <w:wordWrap/>
              <w:overflowPunct/>
              <w:topLinePunct w:val="0"/>
              <w:autoSpaceDE/>
              <w:autoSpaceDN/>
              <w:bidi w:val="0"/>
              <w:adjustRightInd/>
              <w:snapToGrid/>
              <w:spacing w:before="0" w:line="360" w:lineRule="auto"/>
              <w:ind w:left="0" w:right="0" w:firstLine="482"/>
              <w:jc w:val="both"/>
              <w:textAlignment w:val="auto"/>
              <w:outlineLvl w:val="9"/>
              <w:rPr>
                <w:rFonts w:hint="default" w:ascii="Times New Roman" w:hAnsi="Times New Roman" w:eastAsia="宋体" w:cs="Times New Roman"/>
                <w:color w:val="auto"/>
                <w:kern w:val="2"/>
                <w:sz w:val="24"/>
                <w:szCs w:val="24"/>
                <w:highlight w:val="none"/>
                <w:u w:val="none"/>
                <w:shd w:val="clear" w:color="auto" w:fill="auto"/>
                <w:lang w:val="en-US" w:eastAsia="zh-CN" w:bidi="ar-SA"/>
              </w:rPr>
            </w:pPr>
            <w:r>
              <w:rPr>
                <w:rFonts w:hint="default" w:ascii="Times New Roman" w:hAnsi="Times New Roman" w:eastAsia="宋体" w:cs="Times New Roman"/>
                <w:color w:val="auto"/>
                <w:kern w:val="2"/>
                <w:sz w:val="24"/>
                <w:szCs w:val="24"/>
                <w:highlight w:val="none"/>
                <w:u w:val="none"/>
                <w:shd w:val="clear" w:color="auto" w:fill="auto"/>
                <w:lang w:val="en-US" w:eastAsia="zh-CN" w:bidi="ar-SA"/>
              </w:rPr>
              <w:t>V</w:t>
            </w:r>
            <w:r>
              <w:rPr>
                <w:rFonts w:hint="default" w:ascii="Times New Roman" w:hAnsi="Times New Roman" w:eastAsia="宋体" w:cs="Times New Roman"/>
                <w:color w:val="auto"/>
                <w:kern w:val="2"/>
                <w:sz w:val="24"/>
                <w:szCs w:val="24"/>
                <w:highlight w:val="none"/>
                <w:u w:val="none"/>
                <w:shd w:val="clear" w:color="auto" w:fill="auto"/>
                <w:vertAlign w:val="subscript"/>
                <w:lang w:val="en-US" w:eastAsia="zh-CN" w:bidi="ar-SA"/>
              </w:rPr>
              <w:t>2</w:t>
            </w:r>
            <w:r>
              <w:rPr>
                <w:rFonts w:hint="eastAsia" w:ascii="Times New Roman" w:hAnsi="Times New Roman" w:cs="Times New Roman"/>
                <w:color w:val="auto"/>
                <w:kern w:val="2"/>
                <w:sz w:val="24"/>
                <w:szCs w:val="24"/>
                <w:highlight w:val="none"/>
                <w:u w:val="none"/>
                <w:shd w:val="clear" w:color="auto" w:fill="auto"/>
                <w:lang w:val="en-US" w:eastAsia="zh-CN" w:bidi="ar-SA"/>
              </w:rPr>
              <w:t>：</w:t>
            </w:r>
            <w:r>
              <w:rPr>
                <w:rFonts w:hint="default" w:ascii="Times New Roman" w:hAnsi="Times New Roman" w:eastAsia="宋体" w:cs="Times New Roman"/>
                <w:color w:val="auto"/>
                <w:kern w:val="2"/>
                <w:sz w:val="24"/>
                <w:szCs w:val="24"/>
                <w:highlight w:val="none"/>
                <w:u w:val="none"/>
                <w:shd w:val="clear" w:color="auto" w:fill="auto"/>
                <w:lang w:val="en-US" w:eastAsia="zh-CN" w:bidi="ar-SA"/>
              </w:rPr>
              <w:t>发生事故的同时使用的消防设施给水量</w:t>
            </w:r>
            <w:r>
              <w:rPr>
                <w:rFonts w:hint="eastAsia" w:ascii="Times New Roman" w:hAnsi="Times New Roman" w:cs="Times New Roman"/>
                <w:color w:val="auto"/>
                <w:kern w:val="2"/>
                <w:sz w:val="24"/>
                <w:szCs w:val="24"/>
                <w:highlight w:val="none"/>
                <w:u w:val="none"/>
                <w:shd w:val="clear" w:color="auto" w:fill="auto"/>
                <w:lang w:val="en-US" w:eastAsia="zh-CN" w:bidi="ar-SA"/>
              </w:rPr>
              <w:t>；</w:t>
            </w:r>
            <w:r>
              <w:rPr>
                <w:rFonts w:hint="default" w:ascii="Times New Roman" w:hAnsi="Times New Roman" w:eastAsia="宋体" w:cs="Times New Roman"/>
                <w:color w:val="auto"/>
                <w:kern w:val="2"/>
                <w:sz w:val="24"/>
                <w:szCs w:val="24"/>
                <w:highlight w:val="none"/>
                <w:u w:val="none"/>
                <w:shd w:val="clear" w:color="auto" w:fill="auto"/>
                <w:lang w:val="en-US" w:eastAsia="zh-CN" w:bidi="ar-SA"/>
              </w:rPr>
              <w:t>根据设计，本项目工艺装置消防用水量按1</w:t>
            </w:r>
            <w:r>
              <w:rPr>
                <w:rFonts w:hint="eastAsia" w:ascii="Times New Roman" w:hAnsi="Times New Roman" w:cs="Times New Roman"/>
                <w:color w:val="auto"/>
                <w:kern w:val="2"/>
                <w:sz w:val="24"/>
                <w:szCs w:val="24"/>
                <w:highlight w:val="none"/>
                <w:u w:val="none"/>
                <w:shd w:val="clear" w:color="auto" w:fill="auto"/>
                <w:lang w:val="en-US" w:eastAsia="zh-CN" w:bidi="ar-SA"/>
              </w:rPr>
              <w:t>5</w:t>
            </w:r>
            <w:r>
              <w:rPr>
                <w:rFonts w:hint="default" w:ascii="Times New Roman" w:hAnsi="Times New Roman" w:eastAsia="宋体" w:cs="Times New Roman"/>
                <w:color w:val="auto"/>
                <w:kern w:val="2"/>
                <w:sz w:val="24"/>
                <w:szCs w:val="24"/>
                <w:highlight w:val="none"/>
                <w:u w:val="none"/>
                <w:shd w:val="clear" w:color="auto" w:fill="auto"/>
                <w:lang w:val="en-US" w:eastAsia="zh-CN" w:bidi="ar-SA"/>
              </w:rPr>
              <w:t>L/s取值，火灾延续时间按</w:t>
            </w:r>
            <w:r>
              <w:rPr>
                <w:rFonts w:hint="eastAsia" w:ascii="Times New Roman" w:hAnsi="Times New Roman" w:cs="Times New Roman"/>
                <w:color w:val="auto"/>
                <w:kern w:val="2"/>
                <w:sz w:val="24"/>
                <w:szCs w:val="24"/>
                <w:highlight w:val="none"/>
                <w:u w:val="none"/>
                <w:shd w:val="clear" w:color="auto" w:fill="auto"/>
                <w:lang w:val="en-US" w:eastAsia="zh-CN" w:bidi="ar-SA"/>
              </w:rPr>
              <w:t>3</w:t>
            </w:r>
            <w:r>
              <w:rPr>
                <w:rFonts w:hint="default" w:ascii="Times New Roman" w:hAnsi="Times New Roman" w:eastAsia="宋体" w:cs="Times New Roman"/>
                <w:color w:val="auto"/>
                <w:kern w:val="2"/>
                <w:sz w:val="24"/>
                <w:szCs w:val="24"/>
                <w:highlight w:val="none"/>
                <w:u w:val="none"/>
                <w:shd w:val="clear" w:color="auto" w:fill="auto"/>
                <w:lang w:val="en-US" w:eastAsia="zh-CN" w:bidi="ar-SA"/>
              </w:rPr>
              <w:t>.0h计算，一次最大消防用水量为</w:t>
            </w:r>
            <w:r>
              <w:rPr>
                <w:rFonts w:hint="eastAsia" w:ascii="Times New Roman" w:hAnsi="Times New Roman" w:cs="Times New Roman"/>
                <w:color w:val="auto"/>
                <w:kern w:val="2"/>
                <w:sz w:val="24"/>
                <w:szCs w:val="24"/>
                <w:highlight w:val="none"/>
                <w:u w:val="none"/>
                <w:shd w:val="clear" w:color="auto" w:fill="auto"/>
                <w:lang w:val="en-US" w:eastAsia="zh-CN" w:bidi="ar-SA"/>
              </w:rPr>
              <w:t>162</w:t>
            </w:r>
            <w:r>
              <w:rPr>
                <w:rFonts w:hint="default" w:ascii="Times New Roman" w:hAnsi="Times New Roman" w:eastAsia="宋体" w:cs="Times New Roman"/>
                <w:color w:val="auto"/>
                <w:kern w:val="2"/>
                <w:sz w:val="24"/>
                <w:szCs w:val="24"/>
                <w:highlight w:val="none"/>
                <w:u w:val="none"/>
                <w:shd w:val="clear" w:color="auto" w:fill="auto"/>
                <w:lang w:val="en-US" w:eastAsia="zh-CN" w:bidi="ar-SA"/>
              </w:rPr>
              <w:t>m</w:t>
            </w:r>
            <w:r>
              <w:rPr>
                <w:rFonts w:hint="default" w:ascii="Times New Roman" w:hAnsi="Times New Roman" w:eastAsia="宋体" w:cs="Times New Roman"/>
                <w:color w:val="auto"/>
                <w:kern w:val="2"/>
                <w:sz w:val="24"/>
                <w:szCs w:val="24"/>
                <w:highlight w:val="none"/>
                <w:u w:val="none"/>
                <w:shd w:val="clear" w:color="auto" w:fill="auto"/>
                <w:vertAlign w:val="superscript"/>
                <w:lang w:val="en-US" w:eastAsia="zh-CN" w:bidi="ar-SA"/>
              </w:rPr>
              <w:t>3</w:t>
            </w:r>
            <w:r>
              <w:rPr>
                <w:rFonts w:hint="default" w:ascii="Times New Roman" w:hAnsi="Times New Roman" w:eastAsia="宋体" w:cs="Times New Roman"/>
                <w:color w:val="auto"/>
                <w:kern w:val="2"/>
                <w:sz w:val="24"/>
                <w:szCs w:val="24"/>
                <w:highlight w:val="none"/>
                <w:u w:val="none"/>
                <w:shd w:val="clear" w:color="auto" w:fill="auto"/>
                <w:lang w:val="en-US" w:eastAsia="zh-CN" w:bidi="ar-SA"/>
              </w:rPr>
              <w:t>，即V</w:t>
            </w:r>
            <w:r>
              <w:rPr>
                <w:rFonts w:hint="default" w:ascii="Times New Roman" w:hAnsi="Times New Roman" w:eastAsia="宋体" w:cs="Times New Roman"/>
                <w:color w:val="auto"/>
                <w:kern w:val="2"/>
                <w:sz w:val="24"/>
                <w:szCs w:val="24"/>
                <w:highlight w:val="none"/>
                <w:u w:val="none"/>
                <w:shd w:val="clear" w:color="auto" w:fill="auto"/>
                <w:vertAlign w:val="subscript"/>
                <w:lang w:val="en-US" w:eastAsia="zh-CN" w:bidi="ar-SA"/>
              </w:rPr>
              <w:t>2</w:t>
            </w:r>
            <w:r>
              <w:rPr>
                <w:rFonts w:hint="default" w:ascii="Times New Roman" w:hAnsi="Times New Roman" w:eastAsia="宋体" w:cs="Times New Roman"/>
                <w:color w:val="auto"/>
                <w:kern w:val="2"/>
                <w:sz w:val="24"/>
                <w:szCs w:val="24"/>
                <w:highlight w:val="none"/>
                <w:u w:val="none"/>
                <w:shd w:val="clear" w:color="auto" w:fill="auto"/>
                <w:lang w:val="en-US" w:eastAsia="zh-CN" w:bidi="ar-SA"/>
              </w:rPr>
              <w:t>=</w:t>
            </w:r>
            <w:r>
              <w:rPr>
                <w:rFonts w:hint="eastAsia" w:ascii="Times New Roman" w:hAnsi="Times New Roman" w:cs="Times New Roman"/>
                <w:color w:val="auto"/>
                <w:kern w:val="2"/>
                <w:sz w:val="24"/>
                <w:szCs w:val="24"/>
                <w:highlight w:val="none"/>
                <w:u w:val="none"/>
                <w:shd w:val="clear" w:color="auto" w:fill="auto"/>
                <w:lang w:val="en-US" w:eastAsia="zh-CN" w:bidi="ar-SA"/>
              </w:rPr>
              <w:t>162</w:t>
            </w:r>
            <w:r>
              <w:rPr>
                <w:rFonts w:hint="default" w:ascii="Times New Roman" w:hAnsi="Times New Roman" w:eastAsia="宋体" w:cs="Times New Roman"/>
                <w:color w:val="auto"/>
                <w:kern w:val="2"/>
                <w:sz w:val="24"/>
                <w:szCs w:val="24"/>
                <w:highlight w:val="none"/>
                <w:u w:val="none"/>
                <w:shd w:val="clear" w:color="auto" w:fill="auto"/>
                <w:lang w:val="en-US" w:eastAsia="zh-CN" w:bidi="ar-SA"/>
              </w:rPr>
              <w:t>m</w:t>
            </w:r>
            <w:r>
              <w:rPr>
                <w:rFonts w:hint="default" w:ascii="Times New Roman" w:hAnsi="Times New Roman" w:eastAsia="宋体" w:cs="Times New Roman"/>
                <w:color w:val="auto"/>
                <w:kern w:val="2"/>
                <w:sz w:val="24"/>
                <w:szCs w:val="24"/>
                <w:highlight w:val="none"/>
                <w:u w:val="none"/>
                <w:shd w:val="clear" w:color="auto" w:fill="auto"/>
                <w:vertAlign w:val="superscript"/>
                <w:lang w:val="en-US" w:eastAsia="zh-CN" w:bidi="ar-SA"/>
              </w:rPr>
              <w:t>3</w:t>
            </w:r>
            <w:r>
              <w:rPr>
                <w:rFonts w:hint="default" w:ascii="Times New Roman" w:hAnsi="Times New Roman" w:eastAsia="宋体" w:cs="Times New Roman"/>
                <w:color w:val="auto"/>
                <w:kern w:val="2"/>
                <w:sz w:val="24"/>
                <w:szCs w:val="24"/>
                <w:highlight w:val="none"/>
                <w:u w:val="none"/>
                <w:shd w:val="clear" w:color="auto" w:fill="auto"/>
                <w:lang w:val="en-US" w:eastAsia="zh-CN" w:bidi="ar-SA"/>
              </w:rPr>
              <w:t>。</w:t>
            </w:r>
          </w:p>
          <w:p w14:paraId="64E233E4">
            <w:pPr>
              <w:pStyle w:val="116"/>
              <w:keepNext w:val="0"/>
              <w:keepLines w:val="0"/>
              <w:pageBreakBefore w:val="0"/>
              <w:widowControl w:val="0"/>
              <w:shd w:val="clear" w:color="auto" w:fill="auto"/>
              <w:kinsoku/>
              <w:wordWrap/>
              <w:overflowPunct/>
              <w:topLinePunct w:val="0"/>
              <w:autoSpaceDE/>
              <w:autoSpaceDN/>
              <w:bidi w:val="0"/>
              <w:adjustRightInd/>
              <w:snapToGrid/>
              <w:spacing w:before="0" w:line="360" w:lineRule="auto"/>
              <w:ind w:left="0" w:right="0" w:firstLine="482"/>
              <w:jc w:val="both"/>
              <w:textAlignment w:val="auto"/>
              <w:outlineLvl w:val="9"/>
              <w:rPr>
                <w:rFonts w:hint="default" w:ascii="Times New Roman" w:hAnsi="Times New Roman" w:eastAsia="宋体" w:cs="Times New Roman"/>
                <w:color w:val="FF0000"/>
                <w:kern w:val="2"/>
                <w:sz w:val="24"/>
                <w:szCs w:val="24"/>
                <w:highlight w:val="none"/>
                <w:u w:val="none"/>
                <w:shd w:val="clear" w:color="auto" w:fill="auto"/>
                <w:lang w:val="en-US" w:eastAsia="zh-CN" w:bidi="ar-SA"/>
              </w:rPr>
            </w:pPr>
            <w:r>
              <w:rPr>
                <w:rFonts w:hint="default" w:ascii="Times New Roman" w:hAnsi="Times New Roman" w:eastAsia="宋体" w:cs="Times New Roman"/>
                <w:color w:val="auto"/>
                <w:kern w:val="2"/>
                <w:sz w:val="24"/>
                <w:szCs w:val="24"/>
                <w:highlight w:val="none"/>
                <w:u w:val="none"/>
                <w:shd w:val="clear" w:color="auto" w:fill="auto"/>
                <w:lang w:val="en-US" w:eastAsia="zh-CN" w:bidi="ar-SA"/>
              </w:rPr>
              <w:t>V</w:t>
            </w:r>
            <w:r>
              <w:rPr>
                <w:rFonts w:hint="default" w:ascii="Times New Roman" w:hAnsi="Times New Roman" w:eastAsia="宋体" w:cs="Times New Roman"/>
                <w:color w:val="auto"/>
                <w:kern w:val="2"/>
                <w:sz w:val="24"/>
                <w:szCs w:val="24"/>
                <w:highlight w:val="none"/>
                <w:u w:val="none"/>
                <w:shd w:val="clear" w:color="auto" w:fill="auto"/>
                <w:vertAlign w:val="subscript"/>
                <w:lang w:val="en-US" w:eastAsia="zh-CN" w:bidi="ar-SA"/>
              </w:rPr>
              <w:t>3</w:t>
            </w:r>
            <w:r>
              <w:rPr>
                <w:rFonts w:hint="eastAsia" w:ascii="Times New Roman" w:hAnsi="Times New Roman" w:cs="Times New Roman"/>
                <w:color w:val="auto"/>
                <w:kern w:val="2"/>
                <w:sz w:val="24"/>
                <w:szCs w:val="24"/>
                <w:highlight w:val="none"/>
                <w:u w:val="none"/>
                <w:shd w:val="clear" w:color="auto" w:fill="auto"/>
                <w:lang w:val="en-US" w:eastAsia="zh-CN" w:bidi="ar-SA"/>
              </w:rPr>
              <w:t>：</w:t>
            </w:r>
            <w:r>
              <w:rPr>
                <w:rFonts w:hint="default" w:ascii="Times New Roman" w:hAnsi="Times New Roman" w:eastAsia="宋体" w:cs="Times New Roman"/>
                <w:color w:val="auto"/>
                <w:kern w:val="2"/>
                <w:sz w:val="24"/>
                <w:szCs w:val="24"/>
                <w:highlight w:val="none"/>
                <w:u w:val="none"/>
                <w:shd w:val="clear" w:color="auto" w:fill="auto"/>
                <w:lang w:val="en-US" w:eastAsia="zh-CN" w:bidi="ar-SA"/>
              </w:rPr>
              <w:t>发生事故时可以转输到其他设施的物料量，本项目</w:t>
            </w:r>
            <w:r>
              <w:rPr>
                <w:rFonts w:hint="eastAsia" w:ascii="Times New Roman" w:hAnsi="Times New Roman" w:cs="Times New Roman"/>
                <w:color w:val="auto"/>
                <w:kern w:val="2"/>
                <w:sz w:val="24"/>
                <w:szCs w:val="24"/>
                <w:highlight w:val="none"/>
                <w:u w:val="none"/>
                <w:shd w:val="clear" w:color="auto" w:fill="auto"/>
                <w:lang w:val="en-US" w:eastAsia="zh-CN" w:bidi="ar-SA"/>
              </w:rPr>
              <w:t>仓储区面积为754㎡，门口围堰为0.25m，则仓库可以拦截的物料量为188.5m³，收集池容积为1m³，因此</w:t>
            </w:r>
            <w:r>
              <w:rPr>
                <w:rFonts w:hint="default" w:ascii="Times New Roman" w:hAnsi="Times New Roman" w:eastAsia="宋体" w:cs="Times New Roman"/>
                <w:color w:val="auto"/>
                <w:kern w:val="2"/>
                <w:sz w:val="24"/>
                <w:szCs w:val="24"/>
                <w:highlight w:val="none"/>
                <w:u w:val="none"/>
                <w:shd w:val="clear" w:color="auto" w:fill="auto"/>
                <w:lang w:val="en-US" w:eastAsia="zh-CN" w:bidi="ar-SA"/>
              </w:rPr>
              <w:t>V</w:t>
            </w:r>
            <w:r>
              <w:rPr>
                <w:rFonts w:hint="default" w:ascii="Times New Roman" w:hAnsi="Times New Roman" w:eastAsia="宋体" w:cs="Times New Roman"/>
                <w:color w:val="auto"/>
                <w:kern w:val="2"/>
                <w:sz w:val="24"/>
                <w:szCs w:val="24"/>
                <w:highlight w:val="none"/>
                <w:u w:val="none"/>
                <w:shd w:val="clear" w:color="auto" w:fill="auto"/>
                <w:vertAlign w:val="subscript"/>
                <w:lang w:val="en-US" w:eastAsia="zh-CN" w:bidi="ar-SA"/>
              </w:rPr>
              <w:t>3</w:t>
            </w:r>
            <w:r>
              <w:rPr>
                <w:rFonts w:hint="default" w:ascii="Times New Roman" w:hAnsi="Times New Roman" w:eastAsia="宋体" w:cs="Times New Roman"/>
                <w:color w:val="auto"/>
                <w:kern w:val="2"/>
                <w:sz w:val="24"/>
                <w:szCs w:val="24"/>
                <w:highlight w:val="none"/>
                <w:u w:val="none"/>
                <w:shd w:val="clear" w:color="auto" w:fill="auto"/>
                <w:lang w:val="en-US" w:eastAsia="zh-CN" w:bidi="ar-SA"/>
              </w:rPr>
              <w:t>=</w:t>
            </w:r>
            <w:r>
              <w:rPr>
                <w:rFonts w:hint="eastAsia" w:ascii="Times New Roman" w:hAnsi="Times New Roman" w:cs="Times New Roman"/>
                <w:color w:val="auto"/>
                <w:kern w:val="2"/>
                <w:sz w:val="24"/>
                <w:szCs w:val="24"/>
                <w:highlight w:val="none"/>
                <w:u w:val="none"/>
                <w:shd w:val="clear" w:color="auto" w:fill="auto"/>
                <w:lang w:val="en-US" w:eastAsia="zh-CN" w:bidi="ar-SA"/>
              </w:rPr>
              <w:t>189.5</w:t>
            </w:r>
            <w:r>
              <w:rPr>
                <w:rFonts w:hint="default" w:ascii="Times New Roman" w:hAnsi="Times New Roman" w:eastAsia="宋体" w:cs="Times New Roman"/>
                <w:color w:val="auto"/>
                <w:kern w:val="2"/>
                <w:sz w:val="24"/>
                <w:szCs w:val="24"/>
                <w:highlight w:val="none"/>
                <w:u w:val="none"/>
                <w:shd w:val="clear" w:color="auto" w:fill="auto"/>
                <w:lang w:val="en-US" w:eastAsia="zh-CN" w:bidi="ar-SA"/>
              </w:rPr>
              <w:t>m³</w:t>
            </w:r>
            <w:r>
              <w:rPr>
                <w:rFonts w:hint="eastAsia" w:ascii="Times New Roman" w:hAnsi="Times New Roman" w:cs="Times New Roman"/>
                <w:color w:val="auto"/>
                <w:kern w:val="2"/>
                <w:sz w:val="24"/>
                <w:szCs w:val="24"/>
                <w:highlight w:val="none"/>
                <w:u w:val="none"/>
                <w:shd w:val="clear" w:color="auto" w:fill="auto"/>
                <w:lang w:val="en-US" w:eastAsia="zh-CN" w:bidi="ar-SA"/>
              </w:rPr>
              <w:t>；</w:t>
            </w:r>
          </w:p>
          <w:p w14:paraId="20A9ED58">
            <w:pPr>
              <w:pStyle w:val="116"/>
              <w:keepNext w:val="0"/>
              <w:keepLines w:val="0"/>
              <w:pageBreakBefore w:val="0"/>
              <w:widowControl w:val="0"/>
              <w:shd w:val="clear" w:color="auto" w:fill="auto"/>
              <w:kinsoku/>
              <w:wordWrap/>
              <w:overflowPunct/>
              <w:topLinePunct w:val="0"/>
              <w:autoSpaceDE/>
              <w:autoSpaceDN/>
              <w:bidi w:val="0"/>
              <w:adjustRightInd/>
              <w:snapToGrid/>
              <w:spacing w:before="0" w:line="360" w:lineRule="auto"/>
              <w:ind w:left="0" w:right="0" w:firstLine="482"/>
              <w:jc w:val="both"/>
              <w:textAlignment w:val="auto"/>
              <w:outlineLvl w:val="9"/>
              <w:rPr>
                <w:rFonts w:hint="default" w:ascii="Times New Roman" w:hAnsi="Times New Roman" w:eastAsia="宋体" w:cs="Times New Roman"/>
                <w:color w:val="auto"/>
                <w:kern w:val="2"/>
                <w:sz w:val="24"/>
                <w:szCs w:val="24"/>
                <w:highlight w:val="none"/>
                <w:u w:val="none"/>
                <w:shd w:val="clear" w:color="auto" w:fill="auto"/>
                <w:lang w:val="en-US" w:eastAsia="zh-CN" w:bidi="ar-SA"/>
              </w:rPr>
            </w:pPr>
            <w:r>
              <w:rPr>
                <w:rFonts w:hint="default" w:ascii="Times New Roman" w:hAnsi="Times New Roman" w:eastAsia="宋体" w:cs="Times New Roman"/>
                <w:color w:val="auto"/>
                <w:kern w:val="2"/>
                <w:sz w:val="24"/>
                <w:szCs w:val="24"/>
                <w:highlight w:val="none"/>
                <w:u w:val="none"/>
                <w:shd w:val="clear" w:color="auto" w:fill="auto"/>
                <w:lang w:val="en-US" w:eastAsia="zh-CN" w:bidi="ar-SA"/>
              </w:rPr>
              <w:t>V</w:t>
            </w:r>
            <w:r>
              <w:rPr>
                <w:rFonts w:hint="default" w:ascii="Times New Roman" w:hAnsi="Times New Roman" w:eastAsia="宋体" w:cs="Times New Roman"/>
                <w:color w:val="auto"/>
                <w:kern w:val="2"/>
                <w:sz w:val="24"/>
                <w:szCs w:val="24"/>
                <w:highlight w:val="none"/>
                <w:u w:val="none"/>
                <w:shd w:val="clear" w:color="auto" w:fill="auto"/>
                <w:vertAlign w:val="subscript"/>
                <w:lang w:val="en-US" w:eastAsia="zh-CN" w:bidi="ar-SA"/>
              </w:rPr>
              <w:t>4</w:t>
            </w:r>
            <w:r>
              <w:rPr>
                <w:rFonts w:hint="eastAsia" w:ascii="Times New Roman" w:hAnsi="Times New Roman" w:cs="Times New Roman"/>
                <w:color w:val="auto"/>
                <w:kern w:val="2"/>
                <w:sz w:val="24"/>
                <w:szCs w:val="24"/>
                <w:highlight w:val="none"/>
                <w:u w:val="none"/>
                <w:shd w:val="clear" w:color="auto" w:fill="auto"/>
                <w:lang w:val="en-US" w:eastAsia="zh-CN" w:bidi="ar-SA"/>
              </w:rPr>
              <w:t>：</w:t>
            </w:r>
            <w:r>
              <w:rPr>
                <w:rFonts w:hint="default" w:ascii="Times New Roman" w:hAnsi="Times New Roman" w:eastAsia="宋体" w:cs="Times New Roman"/>
                <w:color w:val="auto"/>
                <w:kern w:val="2"/>
                <w:sz w:val="24"/>
                <w:szCs w:val="24"/>
                <w:highlight w:val="none"/>
                <w:u w:val="none"/>
                <w:shd w:val="clear" w:color="auto" w:fill="auto"/>
                <w:lang w:val="en-US" w:eastAsia="zh-CN" w:bidi="ar-SA"/>
              </w:rPr>
              <w:t>发生事故时必须进入该收集系统的生产废水量，本项目V</w:t>
            </w:r>
            <w:r>
              <w:rPr>
                <w:rFonts w:hint="default" w:ascii="Times New Roman" w:hAnsi="Times New Roman" w:eastAsia="宋体" w:cs="Times New Roman"/>
                <w:color w:val="auto"/>
                <w:kern w:val="2"/>
                <w:sz w:val="24"/>
                <w:szCs w:val="24"/>
                <w:highlight w:val="none"/>
                <w:u w:val="none"/>
                <w:shd w:val="clear" w:color="auto" w:fill="auto"/>
                <w:vertAlign w:val="subscript"/>
                <w:lang w:val="en-US" w:eastAsia="zh-CN" w:bidi="ar-SA"/>
              </w:rPr>
              <w:t>4</w:t>
            </w:r>
            <w:r>
              <w:rPr>
                <w:rFonts w:hint="default" w:ascii="Times New Roman" w:hAnsi="Times New Roman" w:eastAsia="宋体" w:cs="Times New Roman"/>
                <w:color w:val="auto"/>
                <w:kern w:val="2"/>
                <w:sz w:val="24"/>
                <w:szCs w:val="24"/>
                <w:highlight w:val="none"/>
                <w:u w:val="none"/>
                <w:shd w:val="clear" w:color="auto" w:fill="auto"/>
                <w:lang w:val="en-US" w:eastAsia="zh-CN" w:bidi="ar-SA"/>
              </w:rPr>
              <w:t>=0m³(本项忽略)</w:t>
            </w:r>
            <w:r>
              <w:rPr>
                <w:rFonts w:hint="eastAsia" w:ascii="Times New Roman" w:hAnsi="Times New Roman" w:cs="Times New Roman"/>
                <w:color w:val="auto"/>
                <w:kern w:val="2"/>
                <w:sz w:val="24"/>
                <w:szCs w:val="24"/>
                <w:highlight w:val="none"/>
                <w:u w:val="none"/>
                <w:shd w:val="clear" w:color="auto" w:fill="auto"/>
                <w:lang w:val="en-US" w:eastAsia="zh-CN" w:bidi="ar-SA"/>
              </w:rPr>
              <w:t>；</w:t>
            </w:r>
          </w:p>
          <w:p w14:paraId="1955B083">
            <w:pPr>
              <w:pStyle w:val="116"/>
              <w:keepNext w:val="0"/>
              <w:keepLines w:val="0"/>
              <w:pageBreakBefore w:val="0"/>
              <w:widowControl w:val="0"/>
              <w:shd w:val="clear" w:color="auto" w:fill="auto"/>
              <w:kinsoku/>
              <w:wordWrap/>
              <w:overflowPunct/>
              <w:topLinePunct w:val="0"/>
              <w:autoSpaceDE/>
              <w:autoSpaceDN/>
              <w:bidi w:val="0"/>
              <w:adjustRightInd/>
              <w:snapToGrid/>
              <w:spacing w:before="0" w:line="360" w:lineRule="auto"/>
              <w:ind w:left="0" w:right="0" w:firstLine="482"/>
              <w:jc w:val="both"/>
              <w:textAlignment w:val="auto"/>
              <w:outlineLvl w:val="9"/>
              <w:rPr>
                <w:rFonts w:hint="default" w:ascii="Times New Roman" w:hAnsi="Times New Roman" w:eastAsia="宋体" w:cs="Times New Roman"/>
                <w:color w:val="auto"/>
                <w:kern w:val="2"/>
                <w:sz w:val="24"/>
                <w:szCs w:val="24"/>
                <w:highlight w:val="none"/>
                <w:u w:val="none"/>
                <w:shd w:val="clear" w:color="auto" w:fill="auto"/>
                <w:lang w:val="en-US" w:eastAsia="zh-CN" w:bidi="ar-SA"/>
              </w:rPr>
            </w:pPr>
            <w:r>
              <w:rPr>
                <w:rFonts w:hint="default" w:ascii="Times New Roman" w:hAnsi="Times New Roman" w:eastAsia="宋体" w:cs="Times New Roman"/>
                <w:color w:val="auto"/>
                <w:kern w:val="2"/>
                <w:sz w:val="24"/>
                <w:szCs w:val="24"/>
                <w:highlight w:val="none"/>
                <w:u w:val="none"/>
                <w:shd w:val="clear" w:color="auto" w:fill="auto"/>
                <w:lang w:val="en-US" w:eastAsia="zh-CN" w:bidi="ar-SA"/>
              </w:rPr>
              <w:t>V</w:t>
            </w:r>
            <w:r>
              <w:rPr>
                <w:rFonts w:hint="default" w:ascii="Times New Roman" w:hAnsi="Times New Roman" w:eastAsia="宋体" w:cs="Times New Roman"/>
                <w:color w:val="auto"/>
                <w:kern w:val="2"/>
                <w:sz w:val="24"/>
                <w:szCs w:val="24"/>
                <w:highlight w:val="none"/>
                <w:u w:val="none"/>
                <w:shd w:val="clear" w:color="auto" w:fill="auto"/>
                <w:vertAlign w:val="subscript"/>
                <w:lang w:val="en-US" w:eastAsia="zh-CN" w:bidi="ar-SA"/>
              </w:rPr>
              <w:t>5</w:t>
            </w:r>
            <w:r>
              <w:rPr>
                <w:rFonts w:hint="eastAsia" w:ascii="Times New Roman" w:hAnsi="Times New Roman" w:cs="Times New Roman"/>
                <w:color w:val="auto"/>
                <w:kern w:val="2"/>
                <w:sz w:val="24"/>
                <w:szCs w:val="24"/>
                <w:highlight w:val="none"/>
                <w:u w:val="none"/>
                <w:shd w:val="clear" w:color="auto" w:fill="auto"/>
                <w:lang w:val="en-US" w:eastAsia="zh-CN" w:bidi="ar-SA"/>
              </w:rPr>
              <w:t>：</w:t>
            </w:r>
            <w:r>
              <w:rPr>
                <w:rFonts w:hint="default" w:ascii="Times New Roman" w:hAnsi="Times New Roman" w:eastAsia="宋体" w:cs="Times New Roman"/>
                <w:color w:val="auto"/>
                <w:kern w:val="2"/>
                <w:sz w:val="24"/>
                <w:szCs w:val="24"/>
                <w:highlight w:val="none"/>
                <w:u w:val="none"/>
                <w:shd w:val="clear" w:color="auto" w:fill="auto"/>
                <w:lang w:val="en-US" w:eastAsia="zh-CN" w:bidi="ar-SA"/>
              </w:rPr>
              <w:t>发生事故时可能进入该收集系统的降雨量</w:t>
            </w:r>
            <w:r>
              <w:rPr>
                <w:rFonts w:hint="eastAsia" w:ascii="Times New Roman" w:hAnsi="Times New Roman" w:cs="Times New Roman"/>
                <w:color w:val="auto"/>
                <w:kern w:val="2"/>
                <w:sz w:val="24"/>
                <w:szCs w:val="24"/>
                <w:highlight w:val="none"/>
                <w:u w:val="none"/>
                <w:shd w:val="clear" w:color="auto" w:fill="auto"/>
                <w:lang w:val="en-US" w:eastAsia="zh-CN" w:bidi="ar-SA"/>
              </w:rPr>
              <w:t>；项目危废在仓库内贮存，雨水不会进入仓库，本次环评不考虑降雨量，即</w:t>
            </w:r>
            <w:r>
              <w:rPr>
                <w:rFonts w:hint="default" w:ascii="Times New Roman" w:hAnsi="Times New Roman" w:eastAsia="宋体" w:cs="Times New Roman"/>
                <w:color w:val="auto"/>
                <w:kern w:val="2"/>
                <w:sz w:val="24"/>
                <w:szCs w:val="24"/>
                <w:highlight w:val="none"/>
                <w:u w:val="none"/>
                <w:shd w:val="clear" w:color="auto" w:fill="auto"/>
                <w:lang w:val="en-US" w:eastAsia="zh-CN" w:bidi="ar-SA"/>
              </w:rPr>
              <w:t>V</w:t>
            </w:r>
            <w:r>
              <w:rPr>
                <w:rFonts w:hint="eastAsia" w:ascii="Times New Roman" w:hAnsi="Times New Roman" w:cs="Times New Roman"/>
                <w:color w:val="auto"/>
                <w:kern w:val="2"/>
                <w:sz w:val="24"/>
                <w:szCs w:val="24"/>
                <w:highlight w:val="none"/>
                <w:u w:val="none"/>
                <w:shd w:val="clear" w:color="auto" w:fill="auto"/>
                <w:vertAlign w:val="subscript"/>
                <w:lang w:val="en-US" w:eastAsia="zh-CN" w:bidi="ar-SA"/>
              </w:rPr>
              <w:t>5</w:t>
            </w:r>
            <w:r>
              <w:rPr>
                <w:rFonts w:hint="default" w:ascii="Times New Roman" w:hAnsi="Times New Roman" w:eastAsia="宋体" w:cs="Times New Roman"/>
                <w:color w:val="auto"/>
                <w:kern w:val="2"/>
                <w:sz w:val="24"/>
                <w:szCs w:val="24"/>
                <w:highlight w:val="none"/>
                <w:u w:val="none"/>
                <w:shd w:val="clear" w:color="auto" w:fill="auto"/>
                <w:lang w:val="en-US" w:eastAsia="zh-CN" w:bidi="ar-SA"/>
              </w:rPr>
              <w:t>=0m³</w:t>
            </w:r>
            <w:r>
              <w:rPr>
                <w:rFonts w:hint="eastAsia" w:ascii="Times New Roman" w:hAnsi="Times New Roman" w:cs="Times New Roman"/>
                <w:color w:val="auto"/>
                <w:kern w:val="2"/>
                <w:sz w:val="24"/>
                <w:szCs w:val="24"/>
                <w:highlight w:val="none"/>
                <w:u w:val="none"/>
                <w:shd w:val="clear" w:color="auto" w:fill="auto"/>
                <w:lang w:val="en-US" w:eastAsia="zh-CN" w:bidi="ar-SA"/>
              </w:rPr>
              <w:t>。</w:t>
            </w:r>
          </w:p>
          <w:p w14:paraId="2BFD0CDE">
            <w:pPr>
              <w:pStyle w:val="116"/>
              <w:keepNext w:val="0"/>
              <w:keepLines w:val="0"/>
              <w:pageBreakBefore w:val="0"/>
              <w:widowControl w:val="0"/>
              <w:shd w:val="clear" w:color="auto" w:fill="auto"/>
              <w:kinsoku/>
              <w:wordWrap/>
              <w:overflowPunct/>
              <w:topLinePunct w:val="0"/>
              <w:autoSpaceDE/>
              <w:autoSpaceDN/>
              <w:bidi w:val="0"/>
              <w:adjustRightInd/>
              <w:snapToGrid/>
              <w:spacing w:before="0" w:line="360" w:lineRule="auto"/>
              <w:ind w:left="0" w:right="0" w:firstLine="482"/>
              <w:jc w:val="both"/>
              <w:textAlignment w:val="auto"/>
              <w:outlineLvl w:val="9"/>
              <w:rPr>
                <w:rFonts w:hint="default" w:ascii="Times New Roman" w:hAnsi="Times New Roman" w:cs="Times New Roman"/>
                <w:color w:val="auto"/>
                <w:kern w:val="2"/>
                <w:sz w:val="24"/>
                <w:szCs w:val="24"/>
                <w:highlight w:val="none"/>
                <w:u w:val="none"/>
                <w:shd w:val="clear" w:color="auto" w:fill="auto"/>
                <w:lang w:val="en-US" w:eastAsia="zh-CN" w:bidi="ar-SA"/>
              </w:rPr>
            </w:pPr>
            <w:r>
              <w:rPr>
                <w:rFonts w:hint="eastAsia" w:ascii="Times New Roman" w:hAnsi="Times New Roman" w:cs="Times New Roman"/>
                <w:color w:val="auto"/>
                <w:kern w:val="2"/>
                <w:sz w:val="24"/>
                <w:szCs w:val="24"/>
                <w:highlight w:val="none"/>
                <w:u w:val="none"/>
                <w:shd w:val="clear" w:color="auto" w:fill="auto"/>
                <w:lang w:val="en-US" w:eastAsia="zh-CN" w:bidi="ar-SA"/>
              </w:rPr>
              <w:t>经计算，V</w:t>
            </w:r>
            <w:r>
              <w:rPr>
                <w:rFonts w:hint="eastAsia" w:ascii="Times New Roman" w:hAnsi="Times New Roman" w:cs="Times New Roman"/>
                <w:color w:val="auto"/>
                <w:kern w:val="2"/>
                <w:sz w:val="24"/>
                <w:szCs w:val="24"/>
                <w:highlight w:val="none"/>
                <w:u w:val="none"/>
                <w:shd w:val="clear" w:color="auto" w:fill="auto"/>
                <w:vertAlign w:val="subscript"/>
                <w:lang w:val="en-US" w:eastAsia="zh-CN" w:bidi="ar-SA"/>
              </w:rPr>
              <w:t>总</w:t>
            </w:r>
            <w:r>
              <w:rPr>
                <w:rFonts w:hint="eastAsia" w:ascii="Times New Roman" w:hAnsi="Times New Roman" w:cs="Times New Roman"/>
                <w:color w:val="auto"/>
                <w:kern w:val="2"/>
                <w:sz w:val="24"/>
                <w:szCs w:val="24"/>
                <w:highlight w:val="none"/>
                <w:u w:val="none"/>
                <w:shd w:val="clear" w:color="auto" w:fill="auto"/>
                <w:lang w:val="en-US" w:eastAsia="zh-CN" w:bidi="ar-SA"/>
              </w:rPr>
              <w:t>=-26.5m³，即本项目消防废水可以拦截在贮存库内，因此，搬迁项目无需设置事故水池。</w:t>
            </w:r>
          </w:p>
          <w:p w14:paraId="30C6E6DC">
            <w:pPr>
              <w:keepNext w:val="0"/>
              <w:keepLines w:val="0"/>
              <w:pageBreakBefore w:val="0"/>
              <w:widowControl/>
              <w:numPr>
                <w:ilvl w:val="0"/>
                <w:numId w:val="39"/>
              </w:numPr>
              <w:suppressLineNumbers w:val="0"/>
              <w:kinsoku/>
              <w:wordWrap/>
              <w:overflowPunct/>
              <w:topLinePunct w:val="0"/>
              <w:autoSpaceDE/>
              <w:autoSpaceDN/>
              <w:bidi w:val="0"/>
              <w:adjustRightInd/>
              <w:snapToGrid/>
              <w:spacing w:line="360" w:lineRule="auto"/>
              <w:ind w:left="0" w:leftChars="0" w:firstLine="425" w:firstLineChars="0"/>
              <w:jc w:val="left"/>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防范与管理</w:t>
            </w:r>
          </w:p>
          <w:p w14:paraId="773A4E28">
            <w:pPr>
              <w:pStyle w:val="116"/>
              <w:keepNext w:val="0"/>
              <w:keepLines w:val="0"/>
              <w:pageBreakBefore w:val="0"/>
              <w:widowControl w:val="0"/>
              <w:shd w:val="clear" w:color="auto" w:fill="auto"/>
              <w:kinsoku/>
              <w:wordWrap/>
              <w:overflowPunct/>
              <w:topLinePunct w:val="0"/>
              <w:autoSpaceDE/>
              <w:autoSpaceDN/>
              <w:bidi w:val="0"/>
              <w:adjustRightInd/>
              <w:snapToGrid/>
              <w:spacing w:before="0" w:line="360" w:lineRule="auto"/>
              <w:ind w:left="0" w:right="0" w:firstLine="482"/>
              <w:jc w:val="both"/>
              <w:textAlignment w:val="auto"/>
              <w:outlineLvl w:val="9"/>
              <w:rPr>
                <w:rFonts w:hint="eastAsia" w:ascii="Times New Roman" w:hAnsi="Times New Roman" w:cs="Times New Roman"/>
                <w:color w:val="auto"/>
                <w:kern w:val="2"/>
                <w:sz w:val="24"/>
                <w:szCs w:val="24"/>
                <w:highlight w:val="none"/>
                <w:u w:val="none"/>
                <w:shd w:val="clear" w:color="auto" w:fill="auto"/>
                <w:lang w:val="en-US" w:eastAsia="zh-CN" w:bidi="ar-SA"/>
              </w:rPr>
            </w:pPr>
            <w:r>
              <w:rPr>
                <w:rFonts w:hint="eastAsia" w:ascii="Times New Roman" w:hAnsi="Times New Roman" w:eastAsia="宋体" w:cs="Times New Roman"/>
                <w:color w:val="auto"/>
                <w:sz w:val="24"/>
                <w:szCs w:val="24"/>
                <w:lang w:val="en-US" w:eastAsia="zh-CN"/>
              </w:rPr>
              <w:t>从</w:t>
            </w:r>
            <w:r>
              <w:rPr>
                <w:rFonts w:hint="eastAsia" w:ascii="Times New Roman" w:hAnsi="Times New Roman" w:cs="Times New Roman"/>
                <w:color w:val="auto"/>
                <w:kern w:val="2"/>
                <w:sz w:val="24"/>
                <w:szCs w:val="24"/>
                <w:highlight w:val="none"/>
                <w:u w:val="none"/>
                <w:shd w:val="clear" w:color="auto" w:fill="auto"/>
                <w:lang w:val="en-US" w:eastAsia="zh-CN" w:bidi="ar-SA"/>
              </w:rPr>
              <w:t>事危险废物贮存的单位，应该按照相关规范建立相应的规章制度和污染防治措施：</w:t>
            </w:r>
          </w:p>
          <w:p w14:paraId="5B287667">
            <w:pPr>
              <w:pStyle w:val="116"/>
              <w:keepNext w:val="0"/>
              <w:keepLines w:val="0"/>
              <w:pageBreakBefore w:val="0"/>
              <w:widowControl w:val="0"/>
              <w:numPr>
                <w:ilvl w:val="0"/>
                <w:numId w:val="43"/>
              </w:numPr>
              <w:shd w:val="clear" w:color="auto" w:fill="auto"/>
              <w:kinsoku/>
              <w:wordWrap/>
              <w:overflowPunct/>
              <w:topLinePunct w:val="0"/>
              <w:autoSpaceDE/>
              <w:autoSpaceDN/>
              <w:bidi w:val="0"/>
              <w:adjustRightInd/>
              <w:snapToGrid/>
              <w:spacing w:before="0" w:line="360" w:lineRule="auto"/>
              <w:ind w:left="0" w:leftChars="0" w:right="0" w:firstLine="480" w:firstLineChars="200"/>
              <w:jc w:val="both"/>
              <w:textAlignment w:val="auto"/>
              <w:outlineLvl w:val="9"/>
              <w:rPr>
                <w:rFonts w:hint="eastAsia" w:ascii="Times New Roman" w:hAnsi="Times New Roman" w:cs="Times New Roman"/>
                <w:color w:val="auto"/>
                <w:kern w:val="2"/>
                <w:sz w:val="24"/>
                <w:szCs w:val="24"/>
                <w:highlight w:val="none"/>
                <w:u w:val="none"/>
                <w:shd w:val="clear" w:color="auto" w:fill="auto"/>
                <w:lang w:val="en-US" w:eastAsia="zh-CN" w:bidi="ar-SA"/>
              </w:rPr>
            </w:pPr>
            <w:r>
              <w:rPr>
                <w:rFonts w:hint="eastAsia" w:ascii="Times New Roman" w:hAnsi="Times New Roman" w:cs="Times New Roman"/>
                <w:color w:val="auto"/>
                <w:kern w:val="2"/>
                <w:sz w:val="24"/>
                <w:szCs w:val="24"/>
                <w:highlight w:val="none"/>
                <w:u w:val="none"/>
                <w:shd w:val="clear" w:color="auto" w:fill="auto"/>
                <w:lang w:val="en-US" w:eastAsia="zh-CN" w:bidi="ar-SA"/>
              </w:rPr>
              <w:t>建立健全危险废物分析管理制度、安全管理制度、污染防治措施等。</w:t>
            </w:r>
          </w:p>
          <w:p w14:paraId="633BE591">
            <w:pPr>
              <w:pStyle w:val="116"/>
              <w:keepNext w:val="0"/>
              <w:keepLines w:val="0"/>
              <w:pageBreakBefore w:val="0"/>
              <w:widowControl w:val="0"/>
              <w:numPr>
                <w:ilvl w:val="0"/>
                <w:numId w:val="43"/>
              </w:numPr>
              <w:shd w:val="clear" w:color="auto" w:fill="auto"/>
              <w:kinsoku/>
              <w:wordWrap/>
              <w:overflowPunct/>
              <w:topLinePunct w:val="0"/>
              <w:autoSpaceDE/>
              <w:autoSpaceDN/>
              <w:bidi w:val="0"/>
              <w:adjustRightInd/>
              <w:snapToGrid/>
              <w:spacing w:before="0" w:line="360" w:lineRule="auto"/>
              <w:ind w:left="0" w:leftChars="0" w:right="0" w:firstLine="480" w:firstLineChars="200"/>
              <w:jc w:val="both"/>
              <w:textAlignment w:val="auto"/>
              <w:outlineLvl w:val="9"/>
              <w:rPr>
                <w:rFonts w:hint="eastAsia" w:ascii="Times New Roman" w:hAnsi="Times New Roman" w:cs="Times New Roman"/>
                <w:color w:val="auto"/>
                <w:kern w:val="2"/>
                <w:sz w:val="24"/>
                <w:szCs w:val="24"/>
                <w:highlight w:val="none"/>
                <w:u w:val="none"/>
                <w:shd w:val="clear" w:color="auto" w:fill="auto"/>
                <w:lang w:val="en-US" w:eastAsia="zh-CN" w:bidi="ar-SA"/>
              </w:rPr>
            </w:pPr>
            <w:r>
              <w:rPr>
                <w:rFonts w:hint="eastAsia" w:ascii="Times New Roman" w:hAnsi="Times New Roman" w:cs="Times New Roman"/>
                <w:color w:val="auto"/>
                <w:kern w:val="2"/>
                <w:sz w:val="24"/>
                <w:szCs w:val="24"/>
                <w:highlight w:val="none"/>
                <w:u w:val="none"/>
                <w:shd w:val="clear" w:color="auto" w:fill="auto"/>
                <w:lang w:val="en-US" w:eastAsia="zh-CN" w:bidi="ar-SA"/>
              </w:rPr>
              <w:t>建立健全规章制度及操作流程，确保贮存过程的安全、可靠。</w:t>
            </w:r>
          </w:p>
          <w:p w14:paraId="5A743DA6">
            <w:pPr>
              <w:pStyle w:val="116"/>
              <w:keepNext w:val="0"/>
              <w:keepLines w:val="0"/>
              <w:pageBreakBefore w:val="0"/>
              <w:widowControl w:val="0"/>
              <w:numPr>
                <w:ilvl w:val="0"/>
                <w:numId w:val="43"/>
              </w:numPr>
              <w:shd w:val="clear" w:color="auto" w:fill="auto"/>
              <w:kinsoku/>
              <w:wordWrap/>
              <w:overflowPunct/>
              <w:topLinePunct w:val="0"/>
              <w:autoSpaceDE/>
              <w:autoSpaceDN/>
              <w:bidi w:val="0"/>
              <w:adjustRightInd/>
              <w:snapToGrid/>
              <w:spacing w:before="0" w:line="360" w:lineRule="auto"/>
              <w:ind w:left="0" w:leftChars="0" w:right="0" w:firstLine="480" w:firstLineChars="200"/>
              <w:jc w:val="both"/>
              <w:textAlignment w:val="auto"/>
              <w:outlineLvl w:val="9"/>
              <w:rPr>
                <w:rFonts w:hint="eastAsia" w:ascii="Times New Roman" w:hAnsi="Times New Roman" w:cs="Times New Roman"/>
                <w:color w:val="auto"/>
                <w:kern w:val="2"/>
                <w:sz w:val="24"/>
                <w:szCs w:val="24"/>
                <w:highlight w:val="none"/>
                <w:u w:val="none"/>
                <w:shd w:val="clear" w:color="auto" w:fill="auto"/>
                <w:lang w:val="en-US" w:eastAsia="zh-CN" w:bidi="ar-SA"/>
              </w:rPr>
            </w:pPr>
            <w:r>
              <w:rPr>
                <w:rFonts w:hint="eastAsia" w:ascii="Times New Roman" w:hAnsi="Times New Roman" w:cs="Times New Roman"/>
                <w:color w:val="auto"/>
                <w:kern w:val="2"/>
                <w:sz w:val="24"/>
                <w:szCs w:val="24"/>
                <w:highlight w:val="none"/>
                <w:u w:val="none"/>
                <w:shd w:val="clear" w:color="auto" w:fill="auto"/>
                <w:lang w:val="en-US" w:eastAsia="zh-CN" w:bidi="ar-SA"/>
              </w:rPr>
              <w:t>危险废物贮存单位应建立危险废物贮存的台账制度，包括危险废物出入库交接记录内容。</w:t>
            </w:r>
          </w:p>
          <w:p w14:paraId="2C027753">
            <w:pPr>
              <w:pStyle w:val="116"/>
              <w:keepNext w:val="0"/>
              <w:keepLines w:val="0"/>
              <w:pageBreakBefore w:val="0"/>
              <w:widowControl w:val="0"/>
              <w:numPr>
                <w:ilvl w:val="0"/>
                <w:numId w:val="43"/>
              </w:numPr>
              <w:shd w:val="clear" w:color="auto" w:fill="auto"/>
              <w:kinsoku/>
              <w:wordWrap/>
              <w:overflowPunct/>
              <w:topLinePunct w:val="0"/>
              <w:autoSpaceDE/>
              <w:autoSpaceDN/>
              <w:bidi w:val="0"/>
              <w:adjustRightInd/>
              <w:snapToGrid/>
              <w:spacing w:before="0" w:line="360" w:lineRule="auto"/>
              <w:ind w:left="0" w:leftChars="0" w:right="0" w:firstLine="480" w:firstLineChars="200"/>
              <w:jc w:val="both"/>
              <w:textAlignment w:val="auto"/>
              <w:outlineLvl w:val="9"/>
              <w:rPr>
                <w:rFonts w:hint="eastAsia" w:ascii="Times New Roman" w:hAnsi="Times New Roman" w:cs="Times New Roman"/>
                <w:color w:val="auto"/>
                <w:kern w:val="2"/>
                <w:sz w:val="24"/>
                <w:szCs w:val="24"/>
                <w:highlight w:val="none"/>
                <w:u w:val="none"/>
                <w:shd w:val="clear" w:color="auto" w:fill="auto"/>
                <w:lang w:val="en-US" w:eastAsia="zh-CN" w:bidi="ar-SA"/>
              </w:rPr>
            </w:pPr>
            <w:r>
              <w:rPr>
                <w:rFonts w:hint="eastAsia" w:ascii="Times New Roman" w:hAnsi="Times New Roman" w:cs="Times New Roman"/>
                <w:color w:val="auto"/>
                <w:kern w:val="2"/>
                <w:sz w:val="24"/>
                <w:szCs w:val="24"/>
                <w:highlight w:val="none"/>
                <w:u w:val="none"/>
                <w:shd w:val="clear" w:color="auto" w:fill="auto"/>
                <w:lang w:val="en-US" w:eastAsia="zh-CN" w:bidi="ar-SA"/>
              </w:rPr>
              <w:t>落实环境管理及风险监控的机构、人员，加强日常监控和管理，并制定相应的环境风险事故应急预案，强化消防安全措施及管理；定期检查和保养废气治理设备，提高企业员工安全意识。</w:t>
            </w:r>
          </w:p>
          <w:p w14:paraId="011D5B36">
            <w:pPr>
              <w:pStyle w:val="116"/>
              <w:keepNext w:val="0"/>
              <w:keepLines w:val="0"/>
              <w:pageBreakBefore w:val="0"/>
              <w:widowControl w:val="0"/>
              <w:numPr>
                <w:ilvl w:val="0"/>
                <w:numId w:val="43"/>
              </w:numPr>
              <w:shd w:val="clear" w:color="auto" w:fill="auto"/>
              <w:kinsoku/>
              <w:wordWrap/>
              <w:overflowPunct/>
              <w:topLinePunct w:val="0"/>
              <w:autoSpaceDE/>
              <w:autoSpaceDN/>
              <w:bidi w:val="0"/>
              <w:adjustRightInd/>
              <w:snapToGrid/>
              <w:spacing w:before="0" w:line="360" w:lineRule="auto"/>
              <w:ind w:left="0" w:leftChars="0" w:right="0" w:firstLine="480" w:firstLineChars="200"/>
              <w:jc w:val="both"/>
              <w:textAlignment w:val="auto"/>
              <w:outlineLvl w:val="9"/>
              <w:rPr>
                <w:rFonts w:hint="eastAsia" w:ascii="Times New Roman" w:hAnsi="Times New Roman" w:cs="Times New Roman"/>
                <w:color w:val="auto"/>
                <w:kern w:val="2"/>
                <w:sz w:val="24"/>
                <w:szCs w:val="24"/>
                <w:highlight w:val="none"/>
                <w:u w:val="none"/>
                <w:shd w:val="clear" w:color="auto" w:fill="auto"/>
                <w:lang w:val="en-US" w:eastAsia="zh-CN" w:bidi="ar-SA"/>
              </w:rPr>
            </w:pPr>
            <w:r>
              <w:rPr>
                <w:rFonts w:hint="eastAsia" w:ascii="Times New Roman" w:hAnsi="Times New Roman" w:cs="Times New Roman"/>
                <w:color w:val="auto"/>
                <w:kern w:val="2"/>
                <w:sz w:val="24"/>
                <w:szCs w:val="24"/>
                <w:highlight w:val="none"/>
                <w:u w:val="none"/>
                <w:shd w:val="clear" w:color="auto" w:fill="auto"/>
                <w:lang w:val="en-US" w:eastAsia="zh-CN" w:bidi="ar-SA"/>
              </w:rPr>
              <w:t>加强员工培训、教育，经常演练，通过演练发现和弥补应急救援体系中的不足。</w:t>
            </w:r>
          </w:p>
          <w:p w14:paraId="4CAF8E50">
            <w:pPr>
              <w:pStyle w:val="116"/>
              <w:keepNext w:val="0"/>
              <w:keepLines w:val="0"/>
              <w:pageBreakBefore w:val="0"/>
              <w:widowControl w:val="0"/>
              <w:numPr>
                <w:ilvl w:val="0"/>
                <w:numId w:val="43"/>
              </w:numPr>
              <w:shd w:val="clear" w:color="auto" w:fill="auto"/>
              <w:kinsoku/>
              <w:wordWrap/>
              <w:overflowPunct/>
              <w:topLinePunct w:val="0"/>
              <w:autoSpaceDE/>
              <w:autoSpaceDN/>
              <w:bidi w:val="0"/>
              <w:adjustRightInd/>
              <w:snapToGrid/>
              <w:spacing w:before="0" w:line="360" w:lineRule="auto"/>
              <w:ind w:left="0" w:leftChars="0" w:right="0" w:firstLine="480" w:firstLineChars="200"/>
              <w:jc w:val="both"/>
              <w:textAlignment w:val="auto"/>
              <w:outlineLvl w:val="9"/>
              <w:rPr>
                <w:rFonts w:hint="eastAsia" w:ascii="Times New Roman" w:hAnsi="Times New Roman" w:cs="Times New Roman"/>
                <w:color w:val="auto"/>
                <w:kern w:val="2"/>
                <w:sz w:val="24"/>
                <w:szCs w:val="24"/>
                <w:highlight w:val="none"/>
                <w:u w:val="none"/>
                <w:shd w:val="clear" w:color="auto" w:fill="auto"/>
                <w:lang w:val="en-US" w:eastAsia="zh-CN" w:bidi="ar-SA"/>
              </w:rPr>
            </w:pPr>
            <w:r>
              <w:rPr>
                <w:rFonts w:hint="eastAsia" w:ascii="Times New Roman" w:hAnsi="Times New Roman" w:cs="Times New Roman"/>
                <w:color w:val="auto"/>
                <w:kern w:val="2"/>
                <w:sz w:val="24"/>
                <w:szCs w:val="24"/>
                <w:highlight w:val="none"/>
                <w:u w:val="none"/>
                <w:shd w:val="clear" w:color="auto" w:fill="auto"/>
                <w:lang w:val="en-US" w:eastAsia="zh-CN" w:bidi="ar-SA"/>
              </w:rPr>
              <w:t>加强应急物资管理工作，定期进行维护、保养。通过应急预案的演练，根据发现的不足和问题进一步落实抢险急救备用物资、设备的配备。</w:t>
            </w:r>
          </w:p>
          <w:p w14:paraId="50E2CC24">
            <w:pPr>
              <w:pStyle w:val="116"/>
              <w:keepNext w:val="0"/>
              <w:keepLines w:val="0"/>
              <w:pageBreakBefore w:val="0"/>
              <w:widowControl w:val="0"/>
              <w:numPr>
                <w:ilvl w:val="0"/>
                <w:numId w:val="43"/>
              </w:numPr>
              <w:shd w:val="clear" w:color="auto" w:fill="auto"/>
              <w:kinsoku/>
              <w:wordWrap/>
              <w:overflowPunct/>
              <w:topLinePunct w:val="0"/>
              <w:autoSpaceDE/>
              <w:autoSpaceDN/>
              <w:bidi w:val="0"/>
              <w:adjustRightInd/>
              <w:snapToGrid/>
              <w:spacing w:before="0" w:line="360" w:lineRule="auto"/>
              <w:ind w:left="0" w:leftChars="0" w:right="0" w:firstLine="480" w:firstLineChars="200"/>
              <w:jc w:val="both"/>
              <w:textAlignment w:val="auto"/>
              <w:outlineLvl w:val="9"/>
              <w:rPr>
                <w:rFonts w:hint="eastAsia" w:ascii="Times New Roman" w:hAnsi="Times New Roman" w:cs="Times New Roman"/>
                <w:color w:val="auto"/>
                <w:kern w:val="2"/>
                <w:sz w:val="24"/>
                <w:szCs w:val="24"/>
                <w:highlight w:val="none"/>
                <w:u w:val="none"/>
                <w:shd w:val="clear" w:color="auto" w:fill="auto"/>
                <w:lang w:val="en-US" w:eastAsia="zh-CN" w:bidi="ar-SA"/>
              </w:rPr>
            </w:pPr>
            <w:r>
              <w:rPr>
                <w:rFonts w:hint="eastAsia" w:ascii="Times New Roman" w:hAnsi="Times New Roman" w:cs="Times New Roman"/>
                <w:color w:val="auto"/>
                <w:kern w:val="2"/>
                <w:sz w:val="24"/>
                <w:szCs w:val="24"/>
                <w:highlight w:val="none"/>
                <w:u w:val="none"/>
                <w:shd w:val="clear" w:color="auto" w:fill="auto"/>
                <w:lang w:val="en-US" w:eastAsia="zh-CN" w:bidi="ar-SA"/>
              </w:rPr>
              <w:t>按照应急预案，定期组织培训、演练，并作好记录，对其在演练中发现的问题应积极组织整改。</w:t>
            </w:r>
          </w:p>
          <w:p w14:paraId="1CE352D8">
            <w:pPr>
              <w:keepNext w:val="0"/>
              <w:keepLines w:val="0"/>
              <w:pageBreakBefore w:val="0"/>
              <w:widowControl/>
              <w:numPr>
                <w:ilvl w:val="0"/>
                <w:numId w:val="39"/>
              </w:numPr>
              <w:suppressLineNumbers w:val="0"/>
              <w:kinsoku/>
              <w:wordWrap/>
              <w:overflowPunct/>
              <w:topLinePunct w:val="0"/>
              <w:autoSpaceDE/>
              <w:autoSpaceDN/>
              <w:bidi w:val="0"/>
              <w:adjustRightInd/>
              <w:snapToGrid/>
              <w:spacing w:line="360" w:lineRule="auto"/>
              <w:ind w:left="0" w:leftChars="0" w:firstLine="425" w:firstLineChars="0"/>
              <w:jc w:val="left"/>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应急处理措施</w:t>
            </w:r>
          </w:p>
          <w:p w14:paraId="3AD73AFC">
            <w:pPr>
              <w:pStyle w:val="116"/>
              <w:keepNext w:val="0"/>
              <w:keepLines w:val="0"/>
              <w:pageBreakBefore w:val="0"/>
              <w:widowControl w:val="0"/>
              <w:numPr>
                <w:ilvl w:val="0"/>
                <w:numId w:val="44"/>
              </w:numPr>
              <w:shd w:val="clear" w:color="auto" w:fill="auto"/>
              <w:kinsoku/>
              <w:wordWrap/>
              <w:overflowPunct/>
              <w:topLinePunct w:val="0"/>
              <w:autoSpaceDE/>
              <w:autoSpaceDN/>
              <w:bidi w:val="0"/>
              <w:adjustRightInd/>
              <w:snapToGrid/>
              <w:spacing w:before="0" w:line="360" w:lineRule="auto"/>
              <w:ind w:left="0" w:leftChars="0" w:right="0" w:firstLine="480" w:firstLineChars="200"/>
              <w:jc w:val="both"/>
              <w:textAlignment w:val="auto"/>
              <w:outlineLvl w:val="9"/>
              <w:rPr>
                <w:rFonts w:hint="eastAsia" w:ascii="Times New Roman" w:hAnsi="Times New Roman" w:cs="Times New Roman"/>
                <w:color w:val="auto"/>
                <w:kern w:val="2"/>
                <w:sz w:val="24"/>
                <w:szCs w:val="24"/>
                <w:highlight w:val="none"/>
                <w:u w:val="none"/>
                <w:shd w:val="clear" w:color="auto" w:fill="auto"/>
                <w:lang w:val="en-US" w:eastAsia="zh-CN" w:bidi="ar-SA"/>
              </w:rPr>
            </w:pPr>
            <w:r>
              <w:rPr>
                <w:rFonts w:hint="eastAsia" w:ascii="Times New Roman" w:hAnsi="Times New Roman" w:cs="Times New Roman"/>
                <w:color w:val="auto"/>
                <w:kern w:val="2"/>
                <w:sz w:val="24"/>
                <w:szCs w:val="24"/>
                <w:highlight w:val="none"/>
                <w:u w:val="none"/>
                <w:shd w:val="clear" w:color="auto" w:fill="auto"/>
                <w:lang w:val="en-US" w:eastAsia="zh-CN" w:bidi="ar-SA"/>
              </w:rPr>
              <w:t>泄漏应急处理</w:t>
            </w:r>
          </w:p>
          <w:p w14:paraId="5D032658">
            <w:pPr>
              <w:pStyle w:val="116"/>
              <w:keepNext w:val="0"/>
              <w:keepLines w:val="0"/>
              <w:pageBreakBefore w:val="0"/>
              <w:widowControl w:val="0"/>
              <w:numPr>
                <w:ilvl w:val="0"/>
                <w:numId w:val="45"/>
              </w:numPr>
              <w:shd w:val="clear" w:color="auto" w:fill="auto"/>
              <w:kinsoku/>
              <w:wordWrap/>
              <w:overflowPunct/>
              <w:topLinePunct w:val="0"/>
              <w:autoSpaceDE/>
              <w:autoSpaceDN/>
              <w:bidi w:val="0"/>
              <w:adjustRightInd/>
              <w:snapToGrid/>
              <w:spacing w:before="0" w:line="360" w:lineRule="auto"/>
              <w:ind w:left="0" w:leftChars="0" w:right="0" w:firstLine="425" w:firstLineChars="0"/>
              <w:jc w:val="both"/>
              <w:textAlignment w:val="auto"/>
              <w:outlineLvl w:val="9"/>
              <w:rPr>
                <w:rFonts w:hint="eastAsia" w:ascii="Times New Roman" w:hAnsi="Times New Roman" w:cs="Times New Roman"/>
                <w:color w:val="auto"/>
                <w:kern w:val="2"/>
                <w:sz w:val="24"/>
                <w:szCs w:val="24"/>
                <w:highlight w:val="none"/>
                <w:u w:val="none"/>
                <w:shd w:val="clear" w:color="auto" w:fill="auto"/>
                <w:lang w:val="en-US" w:eastAsia="zh-CN" w:bidi="ar-SA"/>
              </w:rPr>
            </w:pPr>
            <w:r>
              <w:rPr>
                <w:rFonts w:hint="eastAsia" w:ascii="Times New Roman" w:hAnsi="Times New Roman" w:cs="Times New Roman"/>
                <w:color w:val="auto"/>
                <w:kern w:val="2"/>
                <w:sz w:val="24"/>
                <w:szCs w:val="24"/>
                <w:highlight w:val="none"/>
                <w:u w:val="none"/>
                <w:shd w:val="clear" w:color="auto" w:fill="auto"/>
                <w:lang w:val="en-US" w:eastAsia="zh-CN" w:bidi="ar-SA"/>
              </w:rPr>
              <w:t>如果贮存区半固态或液态危险废物发生泄漏事故，应立即将容器中剩余液体转入其他专用容器内；对于泄露的半固体物质，可采取人工收集方式(铁铲和扫帚)进行收集；对于少量泄露的液态物质，可由贮存区内收集池进行收集；对于大量泄露的液态物质，首先采用泵抽至收集池内，然后采用吸油毯等具有吸附能力的介质进行吸附；吸附危险废物后的物质纳入危险废物进行处置；最后对泄露地面用抹布进行清理，抹布作为危险废物委外处置。</w:t>
            </w:r>
          </w:p>
          <w:p w14:paraId="2D052CB7">
            <w:pPr>
              <w:pStyle w:val="116"/>
              <w:keepNext w:val="0"/>
              <w:keepLines w:val="0"/>
              <w:pageBreakBefore w:val="0"/>
              <w:widowControl w:val="0"/>
              <w:numPr>
                <w:ilvl w:val="0"/>
                <w:numId w:val="45"/>
              </w:numPr>
              <w:shd w:val="clear" w:color="auto" w:fill="auto"/>
              <w:kinsoku/>
              <w:wordWrap/>
              <w:overflowPunct/>
              <w:topLinePunct w:val="0"/>
              <w:autoSpaceDE/>
              <w:autoSpaceDN/>
              <w:bidi w:val="0"/>
              <w:adjustRightInd/>
              <w:snapToGrid/>
              <w:spacing w:before="0" w:line="360" w:lineRule="auto"/>
              <w:ind w:left="0" w:leftChars="0" w:right="0" w:firstLine="425" w:firstLineChars="0"/>
              <w:jc w:val="both"/>
              <w:textAlignment w:val="auto"/>
              <w:outlineLvl w:val="9"/>
              <w:rPr>
                <w:rFonts w:hint="eastAsia" w:ascii="Times New Roman" w:hAnsi="Times New Roman" w:cs="Times New Roman"/>
                <w:color w:val="auto"/>
                <w:kern w:val="2"/>
                <w:sz w:val="24"/>
                <w:szCs w:val="24"/>
                <w:highlight w:val="none"/>
                <w:u w:val="none"/>
                <w:shd w:val="clear" w:color="auto" w:fill="auto"/>
                <w:lang w:val="en-US" w:eastAsia="zh-CN" w:bidi="ar-SA"/>
              </w:rPr>
            </w:pPr>
            <w:r>
              <w:rPr>
                <w:rFonts w:hint="eastAsia" w:ascii="Times New Roman" w:hAnsi="Times New Roman" w:cs="Times New Roman"/>
                <w:color w:val="auto"/>
                <w:kern w:val="2"/>
                <w:sz w:val="24"/>
                <w:szCs w:val="24"/>
                <w:highlight w:val="none"/>
                <w:u w:val="none"/>
                <w:shd w:val="clear" w:color="auto" w:fill="auto"/>
                <w:lang w:val="en-US" w:eastAsia="zh-CN" w:bidi="ar-SA"/>
              </w:rPr>
              <w:t>设立事故警戒线，启动应急预案。</w:t>
            </w:r>
          </w:p>
          <w:p w14:paraId="6B7CF5A2">
            <w:pPr>
              <w:pStyle w:val="116"/>
              <w:keepNext w:val="0"/>
              <w:keepLines w:val="0"/>
              <w:pageBreakBefore w:val="0"/>
              <w:widowControl w:val="0"/>
              <w:numPr>
                <w:ilvl w:val="0"/>
                <w:numId w:val="45"/>
              </w:numPr>
              <w:shd w:val="clear" w:color="auto" w:fill="auto"/>
              <w:kinsoku/>
              <w:wordWrap/>
              <w:overflowPunct/>
              <w:topLinePunct w:val="0"/>
              <w:autoSpaceDE/>
              <w:autoSpaceDN/>
              <w:bidi w:val="0"/>
              <w:adjustRightInd/>
              <w:snapToGrid/>
              <w:spacing w:before="0" w:line="360" w:lineRule="auto"/>
              <w:ind w:left="0" w:leftChars="0" w:right="0" w:firstLine="425" w:firstLineChars="0"/>
              <w:jc w:val="both"/>
              <w:textAlignment w:val="auto"/>
              <w:outlineLvl w:val="9"/>
              <w:rPr>
                <w:rFonts w:hint="eastAsia" w:ascii="Times New Roman" w:hAnsi="Times New Roman" w:cs="Times New Roman"/>
                <w:color w:val="auto"/>
                <w:kern w:val="2"/>
                <w:sz w:val="24"/>
                <w:szCs w:val="24"/>
                <w:highlight w:val="none"/>
                <w:u w:val="none"/>
                <w:shd w:val="clear" w:color="auto" w:fill="auto"/>
                <w:lang w:val="en-US" w:eastAsia="zh-CN" w:bidi="ar-SA"/>
              </w:rPr>
            </w:pPr>
            <w:r>
              <w:rPr>
                <w:rFonts w:hint="eastAsia" w:ascii="Times New Roman" w:hAnsi="Times New Roman" w:cs="Times New Roman"/>
                <w:color w:val="auto"/>
                <w:kern w:val="2"/>
                <w:sz w:val="24"/>
                <w:szCs w:val="24"/>
                <w:highlight w:val="none"/>
                <w:u w:val="none"/>
                <w:shd w:val="clear" w:color="auto" w:fill="auto"/>
                <w:lang w:val="en-US" w:eastAsia="zh-CN" w:bidi="ar-SA"/>
              </w:rPr>
              <w:t>若造成事故的危险废物具有毒性、易燃性、爆炸性，应立即疏散人群，并请求环境保护、消防、医疗、公安等相关部门支援。</w:t>
            </w:r>
          </w:p>
          <w:p w14:paraId="2F11F087">
            <w:pPr>
              <w:pStyle w:val="116"/>
              <w:keepNext w:val="0"/>
              <w:keepLines w:val="0"/>
              <w:pageBreakBefore w:val="0"/>
              <w:widowControl w:val="0"/>
              <w:numPr>
                <w:ilvl w:val="0"/>
                <w:numId w:val="45"/>
              </w:numPr>
              <w:shd w:val="clear" w:color="auto" w:fill="auto"/>
              <w:kinsoku/>
              <w:wordWrap/>
              <w:overflowPunct/>
              <w:topLinePunct w:val="0"/>
              <w:autoSpaceDE/>
              <w:autoSpaceDN/>
              <w:bidi w:val="0"/>
              <w:adjustRightInd/>
              <w:snapToGrid/>
              <w:spacing w:before="0" w:line="360" w:lineRule="auto"/>
              <w:ind w:left="0" w:leftChars="0" w:right="0" w:firstLine="425" w:firstLineChars="0"/>
              <w:jc w:val="both"/>
              <w:textAlignment w:val="auto"/>
              <w:outlineLvl w:val="9"/>
              <w:rPr>
                <w:rFonts w:hint="eastAsia" w:ascii="Times New Roman" w:hAnsi="Times New Roman" w:cs="Times New Roman"/>
                <w:color w:val="auto"/>
                <w:kern w:val="2"/>
                <w:sz w:val="24"/>
                <w:szCs w:val="24"/>
                <w:highlight w:val="none"/>
                <w:u w:val="none"/>
                <w:shd w:val="clear" w:color="auto" w:fill="auto"/>
                <w:lang w:val="en-US" w:eastAsia="zh-CN" w:bidi="ar-SA"/>
              </w:rPr>
            </w:pPr>
            <w:r>
              <w:rPr>
                <w:rFonts w:hint="eastAsia" w:ascii="Times New Roman" w:hAnsi="Times New Roman" w:cs="Times New Roman"/>
                <w:color w:val="auto"/>
                <w:kern w:val="2"/>
                <w:sz w:val="24"/>
                <w:szCs w:val="24"/>
                <w:highlight w:val="none"/>
                <w:u w:val="none"/>
                <w:shd w:val="clear" w:color="auto" w:fill="auto"/>
                <w:lang w:val="en-US" w:eastAsia="zh-CN" w:bidi="ar-SA"/>
              </w:rPr>
              <w:t>对事故现场受到污染的土壤和水体等环境介质应进行相应的清理和修复。清理过程中产生的所有废物均应按危险废物进行管理和处置。</w:t>
            </w:r>
          </w:p>
          <w:p w14:paraId="66CA7EA8">
            <w:pPr>
              <w:pStyle w:val="116"/>
              <w:keepNext w:val="0"/>
              <w:keepLines w:val="0"/>
              <w:pageBreakBefore w:val="0"/>
              <w:widowControl w:val="0"/>
              <w:numPr>
                <w:ilvl w:val="0"/>
                <w:numId w:val="45"/>
              </w:numPr>
              <w:shd w:val="clear" w:color="auto" w:fill="auto"/>
              <w:kinsoku/>
              <w:wordWrap/>
              <w:overflowPunct/>
              <w:topLinePunct w:val="0"/>
              <w:autoSpaceDE/>
              <w:autoSpaceDN/>
              <w:bidi w:val="0"/>
              <w:adjustRightInd/>
              <w:snapToGrid/>
              <w:spacing w:before="0" w:line="360" w:lineRule="auto"/>
              <w:ind w:left="0" w:leftChars="0" w:right="0" w:firstLine="425" w:firstLineChars="0"/>
              <w:jc w:val="both"/>
              <w:textAlignment w:val="auto"/>
              <w:outlineLvl w:val="9"/>
              <w:rPr>
                <w:rFonts w:hint="eastAsia" w:ascii="Times New Roman" w:hAnsi="Times New Roman" w:cs="Times New Roman"/>
                <w:color w:val="auto"/>
                <w:kern w:val="2"/>
                <w:sz w:val="24"/>
                <w:szCs w:val="24"/>
                <w:highlight w:val="none"/>
                <w:u w:val="none"/>
                <w:shd w:val="clear" w:color="auto" w:fill="auto"/>
                <w:lang w:val="en-US" w:eastAsia="zh-CN" w:bidi="ar-SA"/>
              </w:rPr>
            </w:pPr>
            <w:r>
              <w:rPr>
                <w:rFonts w:hint="eastAsia" w:ascii="Times New Roman" w:hAnsi="Times New Roman" w:cs="Times New Roman"/>
                <w:color w:val="auto"/>
                <w:kern w:val="2"/>
                <w:sz w:val="24"/>
                <w:szCs w:val="24"/>
                <w:highlight w:val="none"/>
                <w:u w:val="none"/>
                <w:shd w:val="clear" w:color="auto" w:fill="auto"/>
                <w:lang w:val="en-US" w:eastAsia="zh-CN" w:bidi="ar-SA"/>
              </w:rPr>
              <w:t>进入现场清理和包装危险废物的人员应受过专业培训，穿着防护服，并佩戴相应的防护用具。</w:t>
            </w:r>
          </w:p>
          <w:p w14:paraId="7E595FCC">
            <w:pPr>
              <w:pStyle w:val="116"/>
              <w:keepNext w:val="0"/>
              <w:keepLines w:val="0"/>
              <w:pageBreakBefore w:val="0"/>
              <w:widowControl w:val="0"/>
              <w:numPr>
                <w:ilvl w:val="0"/>
                <w:numId w:val="45"/>
              </w:numPr>
              <w:shd w:val="clear" w:color="auto" w:fill="auto"/>
              <w:kinsoku/>
              <w:wordWrap/>
              <w:overflowPunct/>
              <w:topLinePunct w:val="0"/>
              <w:autoSpaceDE/>
              <w:autoSpaceDN/>
              <w:bidi w:val="0"/>
              <w:adjustRightInd/>
              <w:snapToGrid/>
              <w:spacing w:before="0" w:line="360" w:lineRule="auto"/>
              <w:ind w:left="0" w:leftChars="0" w:right="0" w:firstLine="425" w:firstLineChars="0"/>
              <w:jc w:val="both"/>
              <w:textAlignment w:val="auto"/>
              <w:outlineLvl w:val="9"/>
              <w:rPr>
                <w:rFonts w:hint="eastAsia" w:ascii="Times New Roman" w:hAnsi="Times New Roman" w:cs="Times New Roman"/>
                <w:color w:val="auto"/>
                <w:kern w:val="2"/>
                <w:sz w:val="24"/>
                <w:szCs w:val="24"/>
                <w:highlight w:val="none"/>
                <w:u w:val="none"/>
                <w:shd w:val="clear" w:color="auto" w:fill="auto"/>
                <w:lang w:val="en-US" w:eastAsia="zh-CN" w:bidi="ar-SA"/>
              </w:rPr>
            </w:pPr>
            <w:r>
              <w:rPr>
                <w:rFonts w:hint="eastAsia" w:ascii="Times New Roman" w:hAnsi="Times New Roman" w:cs="Times New Roman"/>
                <w:color w:val="auto"/>
                <w:kern w:val="2"/>
                <w:sz w:val="24"/>
                <w:szCs w:val="24"/>
                <w:highlight w:val="none"/>
                <w:u w:val="none"/>
                <w:shd w:val="clear" w:color="auto" w:fill="auto"/>
                <w:lang w:val="en-US" w:eastAsia="zh-CN" w:bidi="ar-SA"/>
              </w:rPr>
              <w:t>危险废物泄漏导致有毒有害气体挥发扩散时，环境风险防范区内的人群应作为紧急撤离目标；现场紧急撤离时，应按照事故现场风向、周边居民分布及公众对毒物应急剂量控制的规定，制定人员紧急撤离、疏散计划和医疗救护方案。同时厂内需要在高点设立明显的风向标，确定安全疏散路线。</w:t>
            </w:r>
          </w:p>
          <w:p w14:paraId="4C90D95F">
            <w:pPr>
              <w:pStyle w:val="116"/>
              <w:keepNext w:val="0"/>
              <w:keepLines w:val="0"/>
              <w:pageBreakBefore w:val="0"/>
              <w:widowControl w:val="0"/>
              <w:numPr>
                <w:ilvl w:val="0"/>
                <w:numId w:val="44"/>
              </w:numPr>
              <w:shd w:val="clear" w:color="auto" w:fill="auto"/>
              <w:kinsoku/>
              <w:wordWrap/>
              <w:overflowPunct/>
              <w:topLinePunct w:val="0"/>
              <w:autoSpaceDE/>
              <w:autoSpaceDN/>
              <w:bidi w:val="0"/>
              <w:adjustRightInd/>
              <w:snapToGrid/>
              <w:spacing w:before="0" w:line="360" w:lineRule="auto"/>
              <w:ind w:left="0" w:leftChars="0" w:right="0" w:firstLine="480" w:firstLineChars="200"/>
              <w:jc w:val="both"/>
              <w:textAlignment w:val="auto"/>
              <w:outlineLvl w:val="9"/>
              <w:rPr>
                <w:rFonts w:hint="eastAsia" w:ascii="Times New Roman" w:hAnsi="Times New Roman" w:cs="Times New Roman"/>
                <w:color w:val="auto"/>
                <w:kern w:val="2"/>
                <w:sz w:val="24"/>
                <w:szCs w:val="24"/>
                <w:highlight w:val="none"/>
                <w:u w:val="none"/>
                <w:shd w:val="clear" w:color="auto" w:fill="auto"/>
                <w:lang w:val="en-US" w:eastAsia="zh-CN" w:bidi="ar-SA"/>
              </w:rPr>
            </w:pPr>
            <w:r>
              <w:rPr>
                <w:rFonts w:hint="eastAsia" w:ascii="Times New Roman" w:hAnsi="Times New Roman" w:cs="Times New Roman"/>
                <w:color w:val="auto"/>
                <w:kern w:val="2"/>
                <w:sz w:val="24"/>
                <w:szCs w:val="24"/>
                <w:highlight w:val="none"/>
                <w:u w:val="none"/>
                <w:shd w:val="clear" w:color="auto" w:fill="auto"/>
                <w:lang w:val="en-US" w:eastAsia="zh-CN" w:bidi="ar-SA"/>
              </w:rPr>
              <w:t>着火应急处理</w:t>
            </w:r>
          </w:p>
          <w:p w14:paraId="63FE8614">
            <w:pPr>
              <w:pStyle w:val="116"/>
              <w:keepNext w:val="0"/>
              <w:keepLines w:val="0"/>
              <w:pageBreakBefore w:val="0"/>
              <w:widowControl w:val="0"/>
              <w:numPr>
                <w:ilvl w:val="0"/>
                <w:numId w:val="46"/>
              </w:numPr>
              <w:shd w:val="clear" w:color="auto" w:fill="auto"/>
              <w:kinsoku/>
              <w:wordWrap/>
              <w:overflowPunct/>
              <w:topLinePunct w:val="0"/>
              <w:autoSpaceDE/>
              <w:autoSpaceDN/>
              <w:bidi w:val="0"/>
              <w:adjustRightInd/>
              <w:snapToGrid/>
              <w:spacing w:before="0" w:line="360" w:lineRule="auto"/>
              <w:ind w:left="0" w:leftChars="0" w:right="0" w:firstLine="425" w:firstLineChars="0"/>
              <w:jc w:val="both"/>
              <w:textAlignment w:val="auto"/>
              <w:outlineLvl w:val="9"/>
              <w:rPr>
                <w:rFonts w:hint="eastAsia" w:ascii="Times New Roman" w:hAnsi="Times New Roman" w:cs="Times New Roman"/>
                <w:color w:val="auto"/>
                <w:kern w:val="2"/>
                <w:sz w:val="24"/>
                <w:szCs w:val="24"/>
                <w:highlight w:val="none"/>
                <w:u w:val="none"/>
                <w:shd w:val="clear" w:color="auto" w:fill="auto"/>
                <w:lang w:val="en-US" w:eastAsia="zh-CN" w:bidi="ar-SA"/>
              </w:rPr>
            </w:pPr>
            <w:r>
              <w:rPr>
                <w:rFonts w:hint="eastAsia" w:ascii="Times New Roman" w:hAnsi="Times New Roman" w:cs="Times New Roman"/>
                <w:color w:val="auto"/>
                <w:kern w:val="2"/>
                <w:sz w:val="24"/>
                <w:szCs w:val="24"/>
                <w:highlight w:val="none"/>
                <w:u w:val="none"/>
                <w:shd w:val="clear" w:color="auto" w:fill="auto"/>
                <w:lang w:val="en-US" w:eastAsia="zh-CN" w:bidi="ar-SA"/>
              </w:rPr>
              <w:t>灭火方法：本项目中转贮存的危险废物部分具有易燃性，若发生火灾事故，应根据着火物质的特性，采用相应的灭火方式进行灭火。</w:t>
            </w:r>
          </w:p>
          <w:p w14:paraId="0129E694">
            <w:pPr>
              <w:pStyle w:val="116"/>
              <w:keepNext w:val="0"/>
              <w:keepLines w:val="0"/>
              <w:pageBreakBefore w:val="0"/>
              <w:widowControl w:val="0"/>
              <w:numPr>
                <w:ilvl w:val="0"/>
                <w:numId w:val="46"/>
              </w:numPr>
              <w:shd w:val="clear" w:color="auto" w:fill="auto"/>
              <w:kinsoku/>
              <w:wordWrap/>
              <w:overflowPunct/>
              <w:topLinePunct w:val="0"/>
              <w:autoSpaceDE/>
              <w:autoSpaceDN/>
              <w:bidi w:val="0"/>
              <w:adjustRightInd/>
              <w:snapToGrid/>
              <w:spacing w:before="0" w:line="360" w:lineRule="auto"/>
              <w:ind w:left="0" w:leftChars="0" w:right="0" w:firstLine="425" w:firstLineChars="0"/>
              <w:jc w:val="both"/>
              <w:textAlignment w:val="auto"/>
              <w:outlineLvl w:val="9"/>
              <w:rPr>
                <w:rFonts w:hint="eastAsia" w:ascii="Times New Roman" w:hAnsi="Times New Roman" w:cs="Times New Roman"/>
                <w:color w:val="auto"/>
                <w:kern w:val="2"/>
                <w:sz w:val="24"/>
                <w:szCs w:val="24"/>
                <w:highlight w:val="none"/>
                <w:u w:val="none"/>
                <w:shd w:val="clear" w:color="auto" w:fill="auto"/>
                <w:lang w:val="en-US" w:eastAsia="zh-CN" w:bidi="ar-SA"/>
              </w:rPr>
            </w:pPr>
            <w:r>
              <w:rPr>
                <w:rFonts w:hint="eastAsia" w:ascii="Times New Roman" w:hAnsi="Times New Roman" w:cs="Times New Roman"/>
                <w:color w:val="auto"/>
                <w:kern w:val="2"/>
                <w:sz w:val="24"/>
                <w:szCs w:val="24"/>
                <w:highlight w:val="none"/>
                <w:u w:val="none"/>
                <w:shd w:val="clear" w:color="auto" w:fill="auto"/>
                <w:lang w:val="en-US" w:eastAsia="zh-CN" w:bidi="ar-SA"/>
              </w:rPr>
              <w:t>冷却和疏散受火势威胁的密闭容器和可燃物，控制燃烧范围，并积极抢救受伤和被困人员。</w:t>
            </w:r>
          </w:p>
          <w:p w14:paraId="0E5A44DE">
            <w:pPr>
              <w:pStyle w:val="116"/>
              <w:keepNext w:val="0"/>
              <w:keepLines w:val="0"/>
              <w:pageBreakBefore w:val="0"/>
              <w:widowControl w:val="0"/>
              <w:numPr>
                <w:ilvl w:val="0"/>
                <w:numId w:val="46"/>
              </w:numPr>
              <w:shd w:val="clear" w:color="auto" w:fill="auto"/>
              <w:kinsoku/>
              <w:wordWrap/>
              <w:overflowPunct/>
              <w:topLinePunct w:val="0"/>
              <w:autoSpaceDE/>
              <w:autoSpaceDN/>
              <w:bidi w:val="0"/>
              <w:adjustRightInd/>
              <w:snapToGrid/>
              <w:spacing w:before="0" w:line="360" w:lineRule="auto"/>
              <w:ind w:left="0" w:leftChars="0" w:right="0" w:firstLine="425" w:firstLineChars="0"/>
              <w:jc w:val="both"/>
              <w:textAlignment w:val="auto"/>
              <w:outlineLvl w:val="9"/>
              <w:rPr>
                <w:rFonts w:hint="eastAsia" w:ascii="Times New Roman" w:hAnsi="Times New Roman" w:eastAsia="宋体" w:cs="Times New Roman"/>
                <w:color w:val="auto"/>
                <w:sz w:val="24"/>
                <w:szCs w:val="24"/>
                <w:lang w:val="en-US" w:eastAsia="zh-CN"/>
              </w:rPr>
            </w:pPr>
            <w:r>
              <w:rPr>
                <w:rFonts w:hint="eastAsia" w:ascii="Times New Roman" w:hAnsi="Times New Roman" w:cs="Times New Roman"/>
                <w:color w:val="auto"/>
                <w:kern w:val="2"/>
                <w:sz w:val="24"/>
                <w:szCs w:val="24"/>
                <w:highlight w:val="none"/>
                <w:u w:val="none"/>
                <w:shd w:val="clear" w:color="auto" w:fill="auto"/>
                <w:lang w:val="en-US" w:eastAsia="zh-CN" w:bidi="ar-SA"/>
              </w:rPr>
              <w:t>通知环保、安全等相关部门人员，启动应急救护程序。</w:t>
            </w:r>
          </w:p>
          <w:p w14:paraId="0F55CC21">
            <w:pPr>
              <w:pStyle w:val="116"/>
              <w:keepNext w:val="0"/>
              <w:keepLines w:val="0"/>
              <w:pageBreakBefore w:val="0"/>
              <w:widowControl w:val="0"/>
              <w:numPr>
                <w:ilvl w:val="0"/>
                <w:numId w:val="46"/>
              </w:numPr>
              <w:shd w:val="clear" w:color="auto" w:fill="auto"/>
              <w:kinsoku/>
              <w:wordWrap/>
              <w:overflowPunct/>
              <w:topLinePunct w:val="0"/>
              <w:autoSpaceDE/>
              <w:autoSpaceDN/>
              <w:bidi w:val="0"/>
              <w:adjustRightInd/>
              <w:snapToGrid/>
              <w:spacing w:before="0" w:line="360" w:lineRule="auto"/>
              <w:ind w:left="0" w:leftChars="0" w:right="0" w:firstLine="425" w:firstLineChars="0"/>
              <w:jc w:val="both"/>
              <w:textAlignment w:val="auto"/>
              <w:outlineLvl w:val="9"/>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组织救援小组，封锁现场，疏散人员。</w:t>
            </w:r>
          </w:p>
          <w:p w14:paraId="14FC2999">
            <w:pPr>
              <w:pStyle w:val="116"/>
              <w:keepNext w:val="0"/>
              <w:keepLines w:val="0"/>
              <w:pageBreakBefore w:val="0"/>
              <w:widowControl w:val="0"/>
              <w:numPr>
                <w:ilvl w:val="0"/>
                <w:numId w:val="46"/>
              </w:numPr>
              <w:shd w:val="clear" w:color="auto" w:fill="auto"/>
              <w:kinsoku/>
              <w:wordWrap/>
              <w:overflowPunct/>
              <w:topLinePunct w:val="0"/>
              <w:autoSpaceDE/>
              <w:autoSpaceDN/>
              <w:bidi w:val="0"/>
              <w:adjustRightInd/>
              <w:snapToGrid/>
              <w:spacing w:before="0" w:line="360" w:lineRule="auto"/>
              <w:ind w:left="0" w:leftChars="0" w:right="0" w:firstLine="425" w:firstLineChars="0"/>
              <w:jc w:val="both"/>
              <w:textAlignment w:val="auto"/>
              <w:outlineLvl w:val="9"/>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灭火工作结束后，对现场进行恢复清理，对环境可能受到污染范围内的空气、水样、土壤进行取样监测，判定污染影响程度和采取必要的处理。</w:t>
            </w:r>
          </w:p>
          <w:p w14:paraId="44D86DD0">
            <w:pPr>
              <w:pStyle w:val="116"/>
              <w:keepNext w:val="0"/>
              <w:keepLines w:val="0"/>
              <w:pageBreakBefore w:val="0"/>
              <w:widowControl w:val="0"/>
              <w:numPr>
                <w:ilvl w:val="0"/>
                <w:numId w:val="46"/>
              </w:numPr>
              <w:shd w:val="clear" w:color="auto" w:fill="auto"/>
              <w:kinsoku/>
              <w:wordWrap/>
              <w:overflowPunct/>
              <w:topLinePunct w:val="0"/>
              <w:autoSpaceDE/>
              <w:autoSpaceDN/>
              <w:bidi w:val="0"/>
              <w:adjustRightInd/>
              <w:snapToGrid/>
              <w:spacing w:before="0" w:line="360" w:lineRule="auto"/>
              <w:ind w:left="0" w:leftChars="0" w:right="0" w:firstLine="425" w:firstLineChars="0"/>
              <w:jc w:val="both"/>
              <w:textAlignment w:val="auto"/>
              <w:outlineLvl w:val="9"/>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调查和鉴定事故原因，提出事故评估报告，补充和修改事故防范措施和应急方案。</w:t>
            </w:r>
          </w:p>
          <w:p w14:paraId="40925AC5">
            <w:pPr>
              <w:pStyle w:val="116"/>
              <w:keepNext w:val="0"/>
              <w:keepLines w:val="0"/>
              <w:pageBreakBefore w:val="0"/>
              <w:widowControl w:val="0"/>
              <w:numPr>
                <w:ilvl w:val="0"/>
                <w:numId w:val="44"/>
              </w:numPr>
              <w:shd w:val="clear" w:color="auto" w:fill="auto"/>
              <w:kinsoku/>
              <w:wordWrap/>
              <w:overflowPunct/>
              <w:topLinePunct w:val="0"/>
              <w:autoSpaceDE/>
              <w:autoSpaceDN/>
              <w:bidi w:val="0"/>
              <w:adjustRightInd/>
              <w:snapToGrid/>
              <w:spacing w:before="0" w:line="360" w:lineRule="auto"/>
              <w:ind w:left="0" w:leftChars="0" w:right="0" w:firstLine="480" w:firstLineChars="200"/>
              <w:jc w:val="both"/>
              <w:textAlignment w:val="auto"/>
              <w:outlineLvl w:val="9"/>
              <w:rPr>
                <w:rFonts w:hint="eastAsia" w:ascii="Times New Roman" w:hAnsi="Times New Roman" w:cs="Times New Roman"/>
                <w:color w:val="auto"/>
                <w:kern w:val="2"/>
                <w:sz w:val="24"/>
                <w:szCs w:val="24"/>
                <w:highlight w:val="none"/>
                <w:u w:val="none"/>
                <w:shd w:val="clear" w:color="auto" w:fill="auto"/>
                <w:lang w:val="en-US" w:eastAsia="zh-CN" w:bidi="ar-SA"/>
              </w:rPr>
            </w:pPr>
            <w:r>
              <w:rPr>
                <w:rFonts w:hint="eastAsia" w:ascii="Times New Roman" w:hAnsi="Times New Roman" w:cs="Times New Roman"/>
                <w:color w:val="auto"/>
                <w:kern w:val="2"/>
                <w:sz w:val="24"/>
                <w:szCs w:val="24"/>
                <w:highlight w:val="none"/>
                <w:u w:val="none"/>
                <w:shd w:val="clear" w:color="auto" w:fill="auto"/>
                <w:lang w:val="en-US" w:eastAsia="zh-CN" w:bidi="ar-SA"/>
              </w:rPr>
              <w:t>风险应急监测</w:t>
            </w:r>
          </w:p>
          <w:p w14:paraId="3B9FACE7">
            <w:pPr>
              <w:pStyle w:val="116"/>
              <w:keepNext w:val="0"/>
              <w:keepLines w:val="0"/>
              <w:pageBreakBefore w:val="0"/>
              <w:widowControl w:val="0"/>
              <w:shd w:val="clear" w:color="auto" w:fill="auto"/>
              <w:kinsoku/>
              <w:wordWrap/>
              <w:overflowPunct/>
              <w:topLinePunct w:val="0"/>
              <w:autoSpaceDE/>
              <w:autoSpaceDN/>
              <w:bidi w:val="0"/>
              <w:adjustRightInd/>
              <w:snapToGrid/>
              <w:spacing w:before="0" w:line="360" w:lineRule="auto"/>
              <w:ind w:left="0" w:right="0" w:firstLine="482"/>
              <w:jc w:val="both"/>
              <w:textAlignment w:val="auto"/>
              <w:outlineLvl w:val="9"/>
              <w:rPr>
                <w:rFonts w:hint="eastAsia" w:ascii="Times New Roman" w:hAnsi="Times New Roman" w:eastAsia="宋体" w:cs="Times New Roman"/>
                <w:color w:val="auto"/>
                <w:kern w:val="2"/>
                <w:sz w:val="24"/>
                <w:szCs w:val="24"/>
                <w:highlight w:val="none"/>
                <w:u w:val="none"/>
                <w:shd w:val="clear" w:color="auto" w:fill="auto"/>
                <w:lang w:val="en-US" w:eastAsia="zh-CN" w:bidi="ar-SA"/>
              </w:rPr>
            </w:pPr>
            <w:r>
              <w:rPr>
                <w:rFonts w:hint="eastAsia" w:ascii="Times New Roman" w:hAnsi="Times New Roman" w:eastAsia="宋体" w:cs="Times New Roman"/>
                <w:color w:val="auto"/>
                <w:kern w:val="2"/>
                <w:sz w:val="24"/>
                <w:szCs w:val="24"/>
                <w:highlight w:val="none"/>
                <w:u w:val="none"/>
                <w:shd w:val="clear" w:color="auto" w:fill="auto"/>
                <w:lang w:val="en-US" w:eastAsia="zh-CN" w:bidi="ar-SA"/>
              </w:rPr>
              <w:t>发生突发环境事件时，由企业根据事件性质、涉及的物料等组织调度附近具有监测能力的监测队伍，立即赶赴现场，及时开展针对突发环境事件的应急监测工作。</w:t>
            </w:r>
          </w:p>
          <w:p w14:paraId="5033E5D0">
            <w:pPr>
              <w:keepNext w:val="0"/>
              <w:keepLines w:val="0"/>
              <w:pageBreakBefore w:val="0"/>
              <w:widowControl/>
              <w:numPr>
                <w:ilvl w:val="0"/>
                <w:numId w:val="39"/>
              </w:numPr>
              <w:suppressLineNumbers w:val="0"/>
              <w:kinsoku/>
              <w:wordWrap/>
              <w:overflowPunct/>
              <w:topLinePunct w:val="0"/>
              <w:autoSpaceDE/>
              <w:autoSpaceDN/>
              <w:bidi w:val="0"/>
              <w:adjustRightInd/>
              <w:snapToGrid/>
              <w:spacing w:line="360" w:lineRule="auto"/>
              <w:ind w:left="0" w:leftChars="0" w:firstLine="425" w:firstLineChars="0"/>
              <w:jc w:val="left"/>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突发环境事件应急预案</w:t>
            </w:r>
          </w:p>
          <w:p w14:paraId="33740CB1">
            <w:pPr>
              <w:pStyle w:val="116"/>
              <w:keepNext w:val="0"/>
              <w:keepLines w:val="0"/>
              <w:pageBreakBefore w:val="0"/>
              <w:widowControl w:val="0"/>
              <w:shd w:val="clear" w:color="auto" w:fill="auto"/>
              <w:kinsoku/>
              <w:wordWrap/>
              <w:overflowPunct/>
              <w:topLinePunct w:val="0"/>
              <w:autoSpaceDE/>
              <w:autoSpaceDN/>
              <w:bidi w:val="0"/>
              <w:adjustRightInd/>
              <w:snapToGrid/>
              <w:spacing w:before="0" w:line="360" w:lineRule="auto"/>
              <w:ind w:left="0" w:right="0" w:firstLine="482"/>
              <w:jc w:val="both"/>
              <w:textAlignment w:val="auto"/>
              <w:outlineLvl w:val="9"/>
              <w:rPr>
                <w:rFonts w:hint="eastAsia" w:ascii="Times New Roman" w:hAnsi="Times New Roman" w:eastAsia="宋体" w:cs="Times New Roman"/>
                <w:color w:val="auto"/>
                <w:kern w:val="2"/>
                <w:sz w:val="24"/>
                <w:szCs w:val="24"/>
                <w:highlight w:val="none"/>
                <w:u w:val="none"/>
                <w:shd w:val="clear" w:color="auto" w:fill="auto"/>
                <w:lang w:val="en-US" w:eastAsia="zh-CN" w:bidi="ar-SA"/>
              </w:rPr>
            </w:pPr>
            <w:r>
              <w:rPr>
                <w:rFonts w:hint="eastAsia" w:ascii="Times New Roman" w:hAnsi="Times New Roman" w:eastAsia="宋体" w:cs="Times New Roman"/>
                <w:color w:val="auto"/>
                <w:kern w:val="2"/>
                <w:sz w:val="24"/>
                <w:szCs w:val="24"/>
                <w:highlight w:val="none"/>
                <w:u w:val="none"/>
                <w:shd w:val="clear" w:color="auto" w:fill="auto"/>
                <w:lang w:val="en-US" w:eastAsia="zh-CN" w:bidi="ar-SA"/>
              </w:rPr>
              <w:t>根据《突发环境事件应急预案管理办法》，向环境排放污染物的企业事业单位，生产、贮存、经营、使用、运输危险化学品的企业事业单位，产生、收集、贮存、运输、利用、处置危险废物的企业事业单位，以及其他可能发生突发环境事件的单位应编制突发环境事件应急预案。</w:t>
            </w:r>
          </w:p>
          <w:p w14:paraId="1567FF43">
            <w:pPr>
              <w:pStyle w:val="116"/>
              <w:keepNext w:val="0"/>
              <w:keepLines w:val="0"/>
              <w:pageBreakBefore w:val="0"/>
              <w:widowControl w:val="0"/>
              <w:shd w:val="clear" w:color="auto" w:fill="auto"/>
              <w:kinsoku/>
              <w:wordWrap/>
              <w:overflowPunct/>
              <w:topLinePunct w:val="0"/>
              <w:autoSpaceDE/>
              <w:autoSpaceDN/>
              <w:bidi w:val="0"/>
              <w:adjustRightInd/>
              <w:snapToGrid/>
              <w:spacing w:before="0" w:line="360" w:lineRule="auto"/>
              <w:ind w:left="0" w:right="0" w:firstLine="482"/>
              <w:jc w:val="both"/>
              <w:textAlignment w:val="auto"/>
              <w:outlineLvl w:val="9"/>
              <w:rPr>
                <w:rFonts w:hint="default" w:ascii="Times New Roman" w:hAnsi="Times New Roman" w:eastAsia="宋体" w:cs="Times New Roman"/>
                <w:color w:val="auto"/>
                <w:kern w:val="2"/>
                <w:sz w:val="24"/>
                <w:szCs w:val="24"/>
                <w:highlight w:val="none"/>
                <w:u w:val="none"/>
                <w:shd w:val="clear" w:color="auto" w:fill="auto"/>
                <w:lang w:val="en-US" w:eastAsia="zh-CN" w:bidi="ar-SA"/>
              </w:rPr>
            </w:pPr>
            <w:r>
              <w:rPr>
                <w:rFonts w:hint="eastAsia" w:ascii="Times New Roman" w:hAnsi="Times New Roman" w:cs="Times New Roman"/>
                <w:color w:val="auto"/>
                <w:kern w:val="2"/>
                <w:sz w:val="24"/>
                <w:szCs w:val="24"/>
                <w:highlight w:val="none"/>
                <w:u w:val="none"/>
                <w:shd w:val="clear" w:color="auto" w:fill="auto"/>
                <w:lang w:val="en-US" w:eastAsia="zh-CN" w:bidi="ar-SA"/>
              </w:rPr>
              <w:t>企业现有项目已编制突发环境事件应急预案，并已备案，备案编号为370302-2025-082-L（详见附件十），项目搬迁后，应进行相应的修订。</w:t>
            </w:r>
          </w:p>
          <w:p w14:paraId="74761E61">
            <w:pPr>
              <w:keepNext w:val="0"/>
              <w:keepLines w:val="0"/>
              <w:pageBreakBefore w:val="0"/>
              <w:widowControl/>
              <w:numPr>
                <w:ilvl w:val="0"/>
                <w:numId w:val="36"/>
              </w:numPr>
              <w:suppressLineNumbers w:val="0"/>
              <w:kinsoku/>
              <w:wordWrap/>
              <w:overflowPunct/>
              <w:topLinePunct w:val="0"/>
              <w:autoSpaceDE/>
              <w:autoSpaceDN/>
              <w:bidi w:val="0"/>
              <w:adjustRightInd/>
              <w:snapToGrid/>
              <w:spacing w:line="360" w:lineRule="auto"/>
              <w:ind w:left="0" w:leftChars="0" w:firstLine="480" w:firstLineChars="200"/>
              <w:jc w:val="left"/>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环境风险评价结论</w:t>
            </w:r>
          </w:p>
          <w:p w14:paraId="7AE18C31">
            <w:pPr>
              <w:pStyle w:val="116"/>
              <w:keepNext w:val="0"/>
              <w:keepLines w:val="0"/>
              <w:pageBreakBefore w:val="0"/>
              <w:widowControl w:val="0"/>
              <w:shd w:val="clear" w:color="auto" w:fill="auto"/>
              <w:kinsoku/>
              <w:wordWrap/>
              <w:overflowPunct/>
              <w:topLinePunct w:val="0"/>
              <w:autoSpaceDE/>
              <w:autoSpaceDN/>
              <w:bidi w:val="0"/>
              <w:adjustRightInd/>
              <w:snapToGrid/>
              <w:spacing w:before="0" w:line="360" w:lineRule="auto"/>
              <w:ind w:left="0" w:right="0" w:firstLine="482"/>
              <w:jc w:val="both"/>
              <w:textAlignment w:val="auto"/>
              <w:outlineLvl w:val="9"/>
              <w:rPr>
                <w:rFonts w:hint="eastAsia" w:ascii="Times New Roman" w:hAnsi="Times New Roman" w:eastAsia="宋体" w:cs="Times New Roman"/>
                <w:color w:val="auto"/>
                <w:kern w:val="2"/>
                <w:sz w:val="24"/>
                <w:szCs w:val="24"/>
                <w:highlight w:val="none"/>
                <w:u w:val="none"/>
                <w:shd w:val="clear" w:color="auto" w:fill="auto"/>
                <w:lang w:val="en-US" w:eastAsia="zh-CN" w:bidi="ar-SA"/>
              </w:rPr>
            </w:pPr>
            <w:r>
              <w:rPr>
                <w:rFonts w:hint="eastAsia" w:ascii="Times New Roman" w:hAnsi="Times New Roman" w:eastAsia="宋体" w:cs="Times New Roman"/>
                <w:color w:val="auto"/>
                <w:kern w:val="2"/>
                <w:sz w:val="24"/>
                <w:szCs w:val="24"/>
                <w:highlight w:val="none"/>
                <w:u w:val="none"/>
                <w:shd w:val="clear" w:color="auto" w:fill="auto"/>
                <w:lang w:val="en-US" w:eastAsia="zh-CN" w:bidi="ar-SA"/>
              </w:rPr>
              <w:t>通过对本项目各个风险源分析表明，风险的发生和前期勘查、预防、生产过程中管理密不可分，生产中要以“预防为主，防治结合”为指导，采取有效的风险预防措施，风险一旦发生，必须立即采取应急措施。企业应加强风险隐患的排查，一旦发现安全隐患立即清除，一旦发生事故立即妥善处理。在严格落实各项安全、环保对策措施后，本项目存在的环境风险是可接受的。</w:t>
            </w:r>
          </w:p>
          <w:p w14:paraId="27324692">
            <w:pPr>
              <w:pStyle w:val="116"/>
              <w:keepNext w:val="0"/>
              <w:keepLines w:val="0"/>
              <w:pageBreakBefore w:val="0"/>
              <w:widowControl w:val="0"/>
              <w:shd w:val="clear" w:color="auto" w:fill="auto"/>
              <w:kinsoku/>
              <w:wordWrap/>
              <w:overflowPunct/>
              <w:topLinePunct w:val="0"/>
              <w:autoSpaceDE/>
              <w:autoSpaceDN/>
              <w:bidi w:val="0"/>
              <w:adjustRightInd/>
              <w:snapToGrid/>
              <w:spacing w:before="0" w:line="360" w:lineRule="auto"/>
              <w:ind w:left="0" w:right="0" w:firstLine="482"/>
              <w:jc w:val="both"/>
              <w:textAlignment w:val="auto"/>
              <w:outlineLvl w:val="9"/>
              <w:rPr>
                <w:rFonts w:hint="eastAsia" w:ascii="Times New Roman" w:hAnsi="Times New Roman" w:eastAsia="宋体" w:cs="Times New Roman"/>
                <w:color w:val="auto"/>
                <w:kern w:val="2"/>
                <w:sz w:val="24"/>
                <w:szCs w:val="24"/>
                <w:highlight w:val="none"/>
                <w:u w:val="none"/>
                <w:shd w:val="clear" w:color="auto" w:fill="auto"/>
                <w:lang w:val="en-US" w:eastAsia="zh-CN" w:bidi="ar-SA"/>
              </w:rPr>
            </w:pPr>
            <w:r>
              <w:rPr>
                <w:rFonts w:hint="eastAsia" w:ascii="Times New Roman" w:hAnsi="Times New Roman" w:eastAsia="宋体" w:cs="Times New Roman"/>
                <w:color w:val="auto"/>
                <w:kern w:val="2"/>
                <w:sz w:val="24"/>
                <w:szCs w:val="24"/>
                <w:highlight w:val="none"/>
                <w:u w:val="none"/>
                <w:shd w:val="clear" w:color="auto" w:fill="auto"/>
                <w:lang w:val="en-US" w:eastAsia="zh-CN" w:bidi="ar-SA"/>
              </w:rPr>
              <w:t>项目环境风险简单分析内容见</w:t>
            </w:r>
            <w:r>
              <w:rPr>
                <w:rFonts w:hint="eastAsia" w:ascii="Times New Roman" w:hAnsi="Times New Roman" w:cs="Times New Roman"/>
                <w:color w:val="auto"/>
                <w:kern w:val="2"/>
                <w:sz w:val="24"/>
                <w:szCs w:val="24"/>
                <w:highlight w:val="none"/>
                <w:u w:val="none"/>
                <w:shd w:val="clear" w:color="auto" w:fill="auto"/>
                <w:lang w:val="en-US" w:eastAsia="zh-CN" w:bidi="ar-SA"/>
              </w:rPr>
              <w:t>下表</w:t>
            </w:r>
            <w:r>
              <w:rPr>
                <w:rFonts w:hint="eastAsia" w:ascii="Times New Roman" w:hAnsi="Times New Roman" w:eastAsia="宋体" w:cs="Times New Roman"/>
                <w:color w:val="auto"/>
                <w:kern w:val="2"/>
                <w:sz w:val="24"/>
                <w:szCs w:val="24"/>
                <w:highlight w:val="none"/>
                <w:u w:val="none"/>
                <w:shd w:val="clear" w:color="auto" w:fill="auto"/>
                <w:lang w:val="en-US" w:eastAsia="zh-CN" w:bidi="ar-SA"/>
              </w:rPr>
              <w:t>。</w:t>
            </w:r>
          </w:p>
          <w:p w14:paraId="474D42AC">
            <w:pPr>
              <w:keepNext w:val="0"/>
              <w:keepLines w:val="0"/>
              <w:pageBreakBefore w:val="0"/>
              <w:widowControl w:val="0"/>
              <w:numPr>
                <w:ilvl w:val="0"/>
                <w:numId w:val="31"/>
              </w:numPr>
              <w:kinsoku/>
              <w:wordWrap/>
              <w:overflowPunct/>
              <w:topLinePunct w:val="0"/>
              <w:autoSpaceDE w:val="0"/>
              <w:autoSpaceDN w:val="0"/>
              <w:bidi w:val="0"/>
              <w:adjustRightInd w:val="0"/>
              <w:snapToGrid/>
              <w:spacing w:line="360" w:lineRule="auto"/>
              <w:ind w:left="3150" w:leftChars="0" w:hanging="3110" w:firstLineChars="0"/>
              <w:jc w:val="center"/>
              <w:textAlignment w:val="auto"/>
              <w:rPr>
                <w:rFonts w:hint="default" w:ascii="宋体" w:hAnsi="宋体" w:eastAsia="宋体" w:cs="宋体"/>
                <w:b/>
                <w:bCs/>
                <w:color w:val="auto"/>
                <w:kern w:val="0"/>
                <w:sz w:val="24"/>
                <w:szCs w:val="24"/>
                <w:lang w:val="en-US" w:eastAsia="zh-CN" w:bidi="ar"/>
              </w:rPr>
            </w:pPr>
            <w:r>
              <w:rPr>
                <w:rFonts w:hint="eastAsia" w:ascii="宋体" w:hAnsi="宋体" w:eastAsia="宋体" w:cs="宋体"/>
                <w:b/>
                <w:bCs/>
                <w:color w:val="auto"/>
                <w:kern w:val="0"/>
                <w:sz w:val="24"/>
                <w:szCs w:val="24"/>
                <w:lang w:val="en-US" w:eastAsia="zh-CN" w:bidi="ar"/>
              </w:rPr>
              <w:t>项目环境风</w:t>
            </w:r>
            <w:r>
              <w:rPr>
                <w:rFonts w:hint="default" w:ascii="宋体" w:hAnsi="宋体" w:eastAsia="宋体" w:cs="宋体"/>
                <w:b/>
                <w:bCs/>
                <w:color w:val="auto"/>
                <w:kern w:val="0"/>
                <w:sz w:val="24"/>
                <w:szCs w:val="24"/>
                <w:lang w:val="en-US" w:eastAsia="zh-CN" w:bidi="ar"/>
              </w:rPr>
              <w:t>险简单分析内容表</w:t>
            </w:r>
          </w:p>
          <w:tbl>
            <w:tblPr>
              <w:tblStyle w:val="27"/>
              <w:tblW w:w="5050"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1884"/>
              <w:gridCol w:w="911"/>
              <w:gridCol w:w="917"/>
              <w:gridCol w:w="5068"/>
            </w:tblGrid>
            <w:tr w14:paraId="521E003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397" w:hRule="atLeast"/>
                <w:jc w:val="center"/>
              </w:trPr>
              <w:tc>
                <w:tcPr>
                  <w:tcW w:w="1073" w:type="pct"/>
                  <w:tcBorders>
                    <w:tl2br w:val="nil"/>
                    <w:tr2bl w:val="nil"/>
                  </w:tcBorders>
                  <w:noWrap w:val="0"/>
                  <w:tcMar>
                    <w:left w:w="0" w:type="dxa"/>
                    <w:right w:w="0" w:type="dxa"/>
                  </w:tcMar>
                  <w:vAlign w:val="center"/>
                </w:tcPr>
                <w:p w14:paraId="1B1E0919">
                  <w:pPr>
                    <w:jc w:val="center"/>
                    <w:rPr>
                      <w:b/>
                      <w:bCs/>
                      <w:color w:val="auto"/>
                      <w:szCs w:val="21"/>
                    </w:rPr>
                  </w:pPr>
                  <w:r>
                    <w:rPr>
                      <w:b/>
                      <w:bCs/>
                      <w:color w:val="auto"/>
                      <w:kern w:val="0"/>
                      <w:szCs w:val="21"/>
                      <w:lang w:bidi="ar"/>
                    </w:rPr>
                    <w:t>建设项目名称</w:t>
                  </w:r>
                </w:p>
              </w:tc>
              <w:tc>
                <w:tcPr>
                  <w:tcW w:w="3926" w:type="pct"/>
                  <w:gridSpan w:val="3"/>
                  <w:tcBorders>
                    <w:tl2br w:val="nil"/>
                    <w:tr2bl w:val="nil"/>
                  </w:tcBorders>
                  <w:noWrap w:val="0"/>
                  <w:tcMar>
                    <w:left w:w="0" w:type="dxa"/>
                    <w:right w:w="0" w:type="dxa"/>
                  </w:tcMar>
                  <w:vAlign w:val="center"/>
                </w:tcPr>
                <w:p w14:paraId="69B8A198">
                  <w:pPr>
                    <w:jc w:val="center"/>
                    <w:rPr>
                      <w:rFonts w:hint="default"/>
                      <w:b/>
                      <w:bCs/>
                      <w:color w:val="auto"/>
                      <w:szCs w:val="21"/>
                      <w:lang w:val="en-US"/>
                    </w:rPr>
                  </w:pPr>
                  <w:r>
                    <w:rPr>
                      <w:rFonts w:hint="eastAsia" w:cs="Times New Roman"/>
                      <w:color w:val="auto"/>
                      <w:szCs w:val="21"/>
                      <w:lang w:val="en-US" w:eastAsia="zh-CN"/>
                    </w:rPr>
                    <w:t>淄博利赛环保科技有限公司仓库整体搬迁技改项目</w:t>
                  </w:r>
                </w:p>
              </w:tc>
            </w:tr>
            <w:tr w14:paraId="3B23113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397" w:hRule="atLeast"/>
                <w:jc w:val="center"/>
              </w:trPr>
              <w:tc>
                <w:tcPr>
                  <w:tcW w:w="1073" w:type="pct"/>
                  <w:tcBorders>
                    <w:tl2br w:val="nil"/>
                    <w:tr2bl w:val="nil"/>
                  </w:tcBorders>
                  <w:noWrap w:val="0"/>
                  <w:tcMar>
                    <w:left w:w="0" w:type="dxa"/>
                    <w:right w:w="0" w:type="dxa"/>
                  </w:tcMar>
                  <w:vAlign w:val="center"/>
                </w:tcPr>
                <w:p w14:paraId="7DC7C0AD">
                  <w:pPr>
                    <w:jc w:val="center"/>
                    <w:rPr>
                      <w:b/>
                      <w:bCs/>
                      <w:color w:val="auto"/>
                      <w:szCs w:val="21"/>
                    </w:rPr>
                  </w:pPr>
                  <w:r>
                    <w:rPr>
                      <w:b/>
                      <w:bCs/>
                      <w:color w:val="auto"/>
                      <w:kern w:val="0"/>
                      <w:szCs w:val="21"/>
                      <w:lang w:bidi="ar"/>
                    </w:rPr>
                    <w:t>建设地点</w:t>
                  </w:r>
                </w:p>
              </w:tc>
              <w:tc>
                <w:tcPr>
                  <w:tcW w:w="519" w:type="pct"/>
                  <w:tcBorders>
                    <w:tl2br w:val="nil"/>
                    <w:tr2bl w:val="nil"/>
                  </w:tcBorders>
                  <w:noWrap w:val="0"/>
                  <w:tcMar>
                    <w:left w:w="0" w:type="dxa"/>
                    <w:right w:w="0" w:type="dxa"/>
                  </w:tcMar>
                  <w:vAlign w:val="center"/>
                </w:tcPr>
                <w:p w14:paraId="1739A95D">
                  <w:pPr>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山东省</w:t>
                  </w:r>
                </w:p>
              </w:tc>
              <w:tc>
                <w:tcPr>
                  <w:tcW w:w="522" w:type="pct"/>
                  <w:tcBorders>
                    <w:tl2br w:val="nil"/>
                    <w:tr2bl w:val="nil"/>
                  </w:tcBorders>
                  <w:noWrap w:val="0"/>
                  <w:tcMar>
                    <w:left w:w="0" w:type="dxa"/>
                    <w:right w:w="0" w:type="dxa"/>
                  </w:tcMar>
                  <w:vAlign w:val="center"/>
                </w:tcPr>
                <w:p w14:paraId="62256D09">
                  <w:pPr>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淄博市</w:t>
                  </w:r>
                </w:p>
              </w:tc>
              <w:tc>
                <w:tcPr>
                  <w:tcW w:w="2885" w:type="pct"/>
                  <w:tcBorders>
                    <w:tl2br w:val="nil"/>
                    <w:tr2bl w:val="nil"/>
                  </w:tcBorders>
                  <w:noWrap w:val="0"/>
                  <w:vAlign w:val="center"/>
                </w:tcPr>
                <w:p w14:paraId="09A8168B">
                  <w:pPr>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淄川区罗村镇南韩村村委西北1000米</w:t>
                  </w:r>
                </w:p>
              </w:tc>
            </w:tr>
            <w:tr w14:paraId="78FBC46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397" w:hRule="atLeast"/>
                <w:jc w:val="center"/>
              </w:trPr>
              <w:tc>
                <w:tcPr>
                  <w:tcW w:w="1073" w:type="pct"/>
                  <w:tcBorders>
                    <w:tl2br w:val="nil"/>
                    <w:tr2bl w:val="nil"/>
                  </w:tcBorders>
                  <w:noWrap w:val="0"/>
                  <w:tcMar>
                    <w:left w:w="0" w:type="dxa"/>
                    <w:right w:w="0" w:type="dxa"/>
                  </w:tcMar>
                  <w:vAlign w:val="center"/>
                </w:tcPr>
                <w:p w14:paraId="0DD5073E">
                  <w:pPr>
                    <w:jc w:val="center"/>
                    <w:rPr>
                      <w:b/>
                      <w:bCs/>
                      <w:color w:val="auto"/>
                      <w:kern w:val="0"/>
                      <w:szCs w:val="21"/>
                      <w:lang w:bidi="ar"/>
                    </w:rPr>
                  </w:pPr>
                  <w:r>
                    <w:rPr>
                      <w:b/>
                      <w:bCs/>
                      <w:color w:val="auto"/>
                      <w:kern w:val="0"/>
                      <w:szCs w:val="21"/>
                      <w:lang w:bidi="ar"/>
                    </w:rPr>
                    <w:t>地理坐标</w:t>
                  </w:r>
                </w:p>
              </w:tc>
              <w:tc>
                <w:tcPr>
                  <w:tcW w:w="3926" w:type="pct"/>
                  <w:gridSpan w:val="3"/>
                  <w:tcBorders>
                    <w:tl2br w:val="nil"/>
                    <w:tr2bl w:val="nil"/>
                  </w:tcBorders>
                  <w:noWrap w:val="0"/>
                  <w:tcMar>
                    <w:left w:w="0" w:type="dxa"/>
                    <w:right w:w="0" w:type="dxa"/>
                  </w:tcMar>
                  <w:vAlign w:val="center"/>
                </w:tcPr>
                <w:p w14:paraId="36697059">
                  <w:pPr>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经度118°4′50.992″，纬度36°42′01.933″</w:t>
                  </w:r>
                </w:p>
              </w:tc>
            </w:tr>
            <w:tr w14:paraId="7F096E4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397" w:hRule="atLeast"/>
                <w:jc w:val="center"/>
              </w:trPr>
              <w:tc>
                <w:tcPr>
                  <w:tcW w:w="1073" w:type="pct"/>
                  <w:tcBorders>
                    <w:tl2br w:val="nil"/>
                    <w:tr2bl w:val="nil"/>
                  </w:tcBorders>
                  <w:noWrap w:val="0"/>
                  <w:tcMar>
                    <w:left w:w="0" w:type="dxa"/>
                    <w:right w:w="0" w:type="dxa"/>
                  </w:tcMar>
                  <w:vAlign w:val="center"/>
                </w:tcPr>
                <w:p w14:paraId="380899F3">
                  <w:pPr>
                    <w:jc w:val="center"/>
                    <w:rPr>
                      <w:b/>
                      <w:bCs/>
                      <w:color w:val="auto"/>
                      <w:kern w:val="0"/>
                      <w:szCs w:val="21"/>
                      <w:lang w:bidi="ar"/>
                    </w:rPr>
                  </w:pPr>
                  <w:r>
                    <w:rPr>
                      <w:b/>
                      <w:bCs/>
                      <w:color w:val="auto"/>
                      <w:kern w:val="0"/>
                      <w:szCs w:val="21"/>
                      <w:lang w:bidi="ar"/>
                    </w:rPr>
                    <w:t>主要危险</w:t>
                  </w:r>
                </w:p>
                <w:p w14:paraId="67771F33">
                  <w:pPr>
                    <w:jc w:val="center"/>
                    <w:rPr>
                      <w:b/>
                      <w:bCs/>
                      <w:color w:val="auto"/>
                      <w:kern w:val="0"/>
                      <w:szCs w:val="21"/>
                      <w:lang w:bidi="ar"/>
                    </w:rPr>
                  </w:pPr>
                  <w:r>
                    <w:rPr>
                      <w:b/>
                      <w:bCs/>
                      <w:color w:val="auto"/>
                      <w:kern w:val="0"/>
                      <w:szCs w:val="21"/>
                      <w:lang w:bidi="ar"/>
                    </w:rPr>
                    <w:t>物质及分布</w:t>
                  </w:r>
                </w:p>
              </w:tc>
              <w:tc>
                <w:tcPr>
                  <w:tcW w:w="3926" w:type="pct"/>
                  <w:gridSpan w:val="3"/>
                  <w:tcBorders>
                    <w:tl2br w:val="nil"/>
                    <w:tr2bl w:val="nil"/>
                  </w:tcBorders>
                  <w:noWrap w:val="0"/>
                  <w:tcMar>
                    <w:left w:w="0" w:type="dxa"/>
                    <w:right w:w="0" w:type="dxa"/>
                  </w:tcMar>
                  <w:vAlign w:val="center"/>
                </w:tcPr>
                <w:p w14:paraId="5BD068E1">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项目主要危险物质</w:t>
                  </w:r>
                  <w:r>
                    <w:rPr>
                      <w:rFonts w:hint="eastAsia" w:ascii="Times New Roman" w:hAnsi="Times New Roman" w:cs="Times New Roman"/>
                      <w:color w:val="auto"/>
                      <w:sz w:val="21"/>
                      <w:szCs w:val="21"/>
                      <w:lang w:eastAsia="zh-CN"/>
                    </w:rPr>
                    <w:t>：</w:t>
                  </w:r>
                  <w:r>
                    <w:rPr>
                      <w:rFonts w:hint="default" w:ascii="Times New Roman" w:hAnsi="Times New Roman" w:eastAsia="宋体" w:cs="Times New Roman"/>
                      <w:color w:val="auto"/>
                      <w:sz w:val="21"/>
                      <w:szCs w:val="21"/>
                    </w:rPr>
                    <w:t>危险废物</w:t>
                  </w:r>
                  <w:r>
                    <w:rPr>
                      <w:rFonts w:hint="eastAsia"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lang w:val="en-US" w:eastAsia="zh-CN"/>
                    </w:rPr>
                    <w:t>25大类，169小类</w:t>
                  </w:r>
                  <w:r>
                    <w:rPr>
                      <w:rFonts w:hint="eastAsia" w:ascii="Times New Roman" w:hAnsi="Times New Roman" w:eastAsia="宋体" w:cs="Times New Roman"/>
                      <w:color w:val="auto"/>
                      <w:sz w:val="21"/>
                      <w:szCs w:val="21"/>
                      <w:lang w:eastAsia="zh-CN"/>
                    </w:rPr>
                    <w:t>）</w:t>
                  </w:r>
                </w:p>
                <w:p w14:paraId="176FD8F6">
                  <w:pPr>
                    <w:jc w:val="center"/>
                    <w:rPr>
                      <w:rFonts w:hint="default" w:eastAsia="宋体"/>
                      <w:color w:val="auto"/>
                      <w:szCs w:val="21"/>
                      <w:lang w:val="en-US" w:eastAsia="zh-CN"/>
                    </w:rPr>
                  </w:pPr>
                  <w:r>
                    <w:rPr>
                      <w:rFonts w:hint="eastAsia"/>
                      <w:color w:val="auto"/>
                      <w:szCs w:val="21"/>
                      <w:lang w:val="en-US" w:eastAsia="zh-CN"/>
                    </w:rPr>
                    <w:t>分布：危险废物贮存库</w:t>
                  </w:r>
                </w:p>
              </w:tc>
            </w:tr>
            <w:tr w14:paraId="3936B38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397" w:hRule="atLeast"/>
                <w:jc w:val="center"/>
              </w:trPr>
              <w:tc>
                <w:tcPr>
                  <w:tcW w:w="1073" w:type="pct"/>
                  <w:tcBorders>
                    <w:tl2br w:val="nil"/>
                    <w:tr2bl w:val="nil"/>
                  </w:tcBorders>
                  <w:noWrap w:val="0"/>
                  <w:tcMar>
                    <w:left w:w="0" w:type="dxa"/>
                    <w:right w:w="0" w:type="dxa"/>
                  </w:tcMar>
                  <w:vAlign w:val="center"/>
                </w:tcPr>
                <w:p w14:paraId="0997BBE3">
                  <w:pPr>
                    <w:jc w:val="center"/>
                    <w:rPr>
                      <w:b/>
                      <w:bCs/>
                      <w:color w:val="auto"/>
                      <w:kern w:val="0"/>
                      <w:szCs w:val="21"/>
                      <w:lang w:bidi="ar"/>
                    </w:rPr>
                  </w:pPr>
                  <w:r>
                    <w:rPr>
                      <w:b/>
                      <w:bCs/>
                      <w:color w:val="auto"/>
                      <w:kern w:val="0"/>
                      <w:szCs w:val="21"/>
                      <w:lang w:bidi="ar"/>
                    </w:rPr>
                    <w:t>环境影响途径及危害后果（大气、地表水、地下水等）</w:t>
                  </w:r>
                </w:p>
              </w:tc>
              <w:tc>
                <w:tcPr>
                  <w:tcW w:w="3926" w:type="pct"/>
                  <w:gridSpan w:val="3"/>
                  <w:tcBorders>
                    <w:tl2br w:val="nil"/>
                    <w:tr2bl w:val="nil"/>
                  </w:tcBorders>
                  <w:noWrap w:val="0"/>
                  <w:tcMar>
                    <w:left w:w="0" w:type="dxa"/>
                    <w:right w:w="0" w:type="dxa"/>
                  </w:tcMar>
                  <w:vAlign w:val="center"/>
                </w:tcPr>
                <w:p w14:paraId="53B87177">
                  <w:pPr>
                    <w:rPr>
                      <w:rFonts w:hint="default" w:eastAsia="宋体"/>
                      <w:color w:val="auto"/>
                      <w:szCs w:val="21"/>
                      <w:lang w:val="en-US" w:eastAsia="zh-CN"/>
                    </w:rPr>
                  </w:pPr>
                  <w:r>
                    <w:rPr>
                      <w:rFonts w:hint="default" w:ascii="Times New Roman" w:hAnsi="Times New Roman" w:cs="Times New Roman"/>
                      <w:color w:val="auto"/>
                      <w:sz w:val="21"/>
                      <w:szCs w:val="21"/>
                    </w:rPr>
                    <w:t>①大气环境：</w:t>
                  </w:r>
                  <w:r>
                    <w:rPr>
                      <w:rFonts w:hint="eastAsia" w:ascii="Times New Roman" w:hAnsi="Times New Roman" w:cs="Times New Roman"/>
                      <w:color w:val="auto"/>
                      <w:sz w:val="21"/>
                      <w:szCs w:val="21"/>
                      <w:lang w:val="en-US" w:eastAsia="zh-CN"/>
                    </w:rPr>
                    <w:t>易燃危废</w:t>
                  </w:r>
                  <w:r>
                    <w:rPr>
                      <w:rFonts w:hint="default" w:ascii="Times New Roman" w:hAnsi="Times New Roman" w:cs="Times New Roman"/>
                      <w:color w:val="auto"/>
                      <w:sz w:val="21"/>
                      <w:szCs w:val="21"/>
                    </w:rPr>
                    <w:t>由于泄漏遇明火源可能导致火灾，产生大量废气污染大气环境②地表水环境：废矿物油及其他类液体状态危险废物由于泄漏处理不当通过雨水或其它方式进入水环境，从而对水环境造成污染。③</w:t>
                  </w:r>
                  <w:r>
                    <w:rPr>
                      <w:rFonts w:hint="eastAsia" w:ascii="Times New Roman" w:hAnsi="Times New Roman" w:cs="Times New Roman"/>
                      <w:color w:val="auto"/>
                      <w:sz w:val="21"/>
                      <w:szCs w:val="21"/>
                      <w:lang w:val="en-US" w:eastAsia="zh-CN"/>
                    </w:rPr>
                    <w:t>土壤、</w:t>
                  </w:r>
                  <w:r>
                    <w:rPr>
                      <w:rFonts w:hint="default" w:ascii="Times New Roman" w:hAnsi="Times New Roman" w:cs="Times New Roman"/>
                      <w:color w:val="auto"/>
                      <w:sz w:val="21"/>
                      <w:szCs w:val="21"/>
                    </w:rPr>
                    <w:t>地下水环境：人工转运或交通事故过程造成车辆倾覆破损，继而使</w:t>
                  </w:r>
                  <w:r>
                    <w:rPr>
                      <w:rFonts w:hint="eastAsia" w:ascii="Times New Roman" w:hAnsi="Times New Roman" w:cs="Times New Roman"/>
                      <w:color w:val="auto"/>
                      <w:sz w:val="21"/>
                      <w:szCs w:val="21"/>
                      <w:lang w:val="en-US" w:eastAsia="zh-CN"/>
                    </w:rPr>
                    <w:t>危险废物</w:t>
                  </w:r>
                  <w:r>
                    <w:rPr>
                      <w:rFonts w:hint="default" w:ascii="Times New Roman" w:hAnsi="Times New Roman" w:cs="Times New Roman"/>
                      <w:color w:val="auto"/>
                      <w:sz w:val="21"/>
                      <w:szCs w:val="21"/>
                    </w:rPr>
                    <w:t>散落到环境中，进入水体、土壤，对土壤环境造成污染，进而污染地下水环境</w:t>
                  </w:r>
                </w:p>
              </w:tc>
            </w:tr>
            <w:tr w14:paraId="1EC74AD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397" w:hRule="atLeast"/>
                <w:jc w:val="center"/>
              </w:trPr>
              <w:tc>
                <w:tcPr>
                  <w:tcW w:w="1073" w:type="pct"/>
                  <w:tcBorders>
                    <w:tl2br w:val="nil"/>
                    <w:tr2bl w:val="nil"/>
                  </w:tcBorders>
                  <w:noWrap w:val="0"/>
                  <w:tcMar>
                    <w:left w:w="0" w:type="dxa"/>
                    <w:right w:w="0" w:type="dxa"/>
                  </w:tcMar>
                  <w:vAlign w:val="center"/>
                </w:tcPr>
                <w:p w14:paraId="5F48C45B">
                  <w:pPr>
                    <w:jc w:val="center"/>
                    <w:rPr>
                      <w:b/>
                      <w:bCs/>
                      <w:color w:val="auto"/>
                      <w:kern w:val="0"/>
                      <w:szCs w:val="21"/>
                      <w:lang w:bidi="ar"/>
                    </w:rPr>
                  </w:pPr>
                  <w:r>
                    <w:rPr>
                      <w:b/>
                      <w:bCs/>
                      <w:color w:val="auto"/>
                      <w:kern w:val="0"/>
                      <w:szCs w:val="21"/>
                      <w:lang w:bidi="ar"/>
                    </w:rPr>
                    <w:t>风险防范措施要求</w:t>
                  </w:r>
                </w:p>
              </w:tc>
              <w:tc>
                <w:tcPr>
                  <w:tcW w:w="3926" w:type="pct"/>
                  <w:gridSpan w:val="3"/>
                  <w:tcBorders>
                    <w:tl2br w:val="nil"/>
                    <w:tr2bl w:val="nil"/>
                  </w:tcBorders>
                  <w:noWrap w:val="0"/>
                  <w:tcMar>
                    <w:left w:w="0" w:type="dxa"/>
                    <w:right w:w="0" w:type="dxa"/>
                  </w:tcMar>
                  <w:vAlign w:val="center"/>
                </w:tcPr>
                <w:p w14:paraId="3200C1DE">
                  <w:pPr>
                    <w:ind w:firstLine="210" w:firstLineChars="100"/>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严格按照</w:t>
                  </w:r>
                  <w:r>
                    <w:rPr>
                      <w:rFonts w:hint="default" w:ascii="Times New Roman" w:hAnsi="Times New Roman" w:eastAsia="宋体" w:cs="Times New Roman"/>
                      <w:color w:val="auto"/>
                      <w:sz w:val="21"/>
                      <w:szCs w:val="21"/>
                      <w:lang w:val="en-US" w:eastAsia="zh-CN"/>
                    </w:rPr>
                    <w:t>《危险废物贮存污染控制标准》</w:t>
                  </w:r>
                  <w:r>
                    <w:rPr>
                      <w:rFonts w:hint="eastAsia" w:ascii="Times New Roman" w:hAnsi="Times New Roman" w:eastAsia="宋体" w:cs="Times New Roman"/>
                      <w:color w:val="auto"/>
                      <w:sz w:val="21"/>
                      <w:szCs w:val="21"/>
                      <w:lang w:val="en-US" w:eastAsia="zh-CN"/>
                    </w:rPr>
                    <w:t>（</w:t>
                  </w:r>
                  <w:r>
                    <w:rPr>
                      <w:rFonts w:hint="default" w:ascii="Times New Roman" w:hAnsi="Times New Roman" w:eastAsia="宋体" w:cs="Times New Roman"/>
                      <w:color w:val="auto"/>
                      <w:sz w:val="21"/>
                      <w:szCs w:val="21"/>
                      <w:lang w:val="en-US" w:eastAsia="zh-CN"/>
                    </w:rPr>
                    <w:t>GB18597-2023</w:t>
                  </w:r>
                  <w:r>
                    <w:rPr>
                      <w:rFonts w:hint="eastAsia" w:ascii="Times New Roman" w:hAnsi="Times New Roman" w:eastAsia="宋体" w:cs="Times New Roman"/>
                      <w:color w:val="auto"/>
                      <w:sz w:val="21"/>
                      <w:szCs w:val="21"/>
                      <w:lang w:val="en-US" w:eastAsia="zh-CN"/>
                    </w:rPr>
                    <w:t>）、</w:t>
                  </w:r>
                  <w:r>
                    <w:rPr>
                      <w:rFonts w:hint="default" w:ascii="Times New Roman" w:hAnsi="Times New Roman" w:eastAsia="宋体" w:cs="Times New Roman"/>
                      <w:color w:val="auto"/>
                      <w:sz w:val="21"/>
                      <w:szCs w:val="21"/>
                      <w:lang w:val="en-US" w:eastAsia="zh-CN"/>
                    </w:rPr>
                    <w:t>《危险废物收集贮存运输技术规范》</w:t>
                  </w:r>
                  <w:r>
                    <w:rPr>
                      <w:rFonts w:hint="eastAsia" w:ascii="Times New Roman" w:hAnsi="Times New Roman" w:eastAsia="宋体" w:cs="Times New Roman"/>
                      <w:color w:val="auto"/>
                      <w:sz w:val="21"/>
                      <w:szCs w:val="21"/>
                      <w:lang w:val="en-US" w:eastAsia="zh-CN"/>
                    </w:rPr>
                    <w:t>（</w:t>
                  </w:r>
                  <w:r>
                    <w:rPr>
                      <w:rFonts w:hint="default" w:ascii="Times New Roman" w:hAnsi="Times New Roman" w:eastAsia="宋体" w:cs="Times New Roman"/>
                      <w:color w:val="auto"/>
                      <w:sz w:val="21"/>
                      <w:szCs w:val="21"/>
                      <w:lang w:val="en-US" w:eastAsia="zh-CN"/>
                    </w:rPr>
                    <w:t>HJ2025-2012</w:t>
                  </w:r>
                  <w:r>
                    <w:rPr>
                      <w:rFonts w:hint="eastAsia" w:ascii="Times New Roman" w:hAnsi="Times New Roman" w:eastAsia="宋体" w:cs="Times New Roman"/>
                      <w:color w:val="auto"/>
                      <w:sz w:val="21"/>
                      <w:szCs w:val="21"/>
                      <w:lang w:val="en-US" w:eastAsia="zh-CN"/>
                    </w:rPr>
                    <w:t>）</w:t>
                  </w:r>
                  <w:r>
                    <w:rPr>
                      <w:rFonts w:hint="default" w:ascii="Times New Roman" w:hAnsi="Times New Roman" w:eastAsia="宋体" w:cs="Times New Roman"/>
                      <w:color w:val="auto"/>
                      <w:sz w:val="21"/>
                      <w:szCs w:val="21"/>
                      <w:lang w:val="en-US" w:eastAsia="zh-CN"/>
                    </w:rPr>
                    <w:t>、《危险废物识别标志设置技术规范》</w:t>
                  </w:r>
                  <w:r>
                    <w:rPr>
                      <w:rFonts w:hint="eastAsia" w:ascii="Times New Roman" w:hAnsi="Times New Roman" w:eastAsia="宋体" w:cs="Times New Roman"/>
                      <w:color w:val="auto"/>
                      <w:sz w:val="21"/>
                      <w:szCs w:val="21"/>
                      <w:lang w:val="en-US" w:eastAsia="zh-CN"/>
                    </w:rPr>
                    <w:t>（</w:t>
                  </w:r>
                  <w:r>
                    <w:rPr>
                      <w:rFonts w:hint="default" w:ascii="Times New Roman" w:hAnsi="Times New Roman" w:eastAsia="宋体" w:cs="Times New Roman"/>
                      <w:color w:val="auto"/>
                      <w:sz w:val="21"/>
                      <w:szCs w:val="21"/>
                      <w:lang w:val="en-US" w:eastAsia="zh-CN"/>
                    </w:rPr>
                    <w:t>HJ1276-2022</w:t>
                  </w:r>
                  <w:r>
                    <w:rPr>
                      <w:rFonts w:hint="eastAsia" w:ascii="Times New Roman" w:hAnsi="Times New Roman" w:eastAsia="宋体" w:cs="Times New Roman"/>
                      <w:color w:val="auto"/>
                      <w:sz w:val="21"/>
                      <w:szCs w:val="21"/>
                      <w:lang w:val="en-US" w:eastAsia="zh-CN"/>
                    </w:rPr>
                    <w:t>）、《危险废物转移管理办法》等文件进行建设及运行管理。</w:t>
                  </w:r>
                </w:p>
                <w:p w14:paraId="62ACD20A">
                  <w:pPr>
                    <w:ind w:firstLine="210" w:firstLineChars="100"/>
                    <w:rPr>
                      <w:color w:val="auto"/>
                    </w:rPr>
                  </w:pPr>
                  <w:r>
                    <w:rPr>
                      <w:color w:val="auto"/>
                      <w:szCs w:val="21"/>
                    </w:rPr>
                    <w:t>配备应急物资；完善突发环境事件应急预案并备案；定期进行培训及应急演练，并做好与地方政府突发环境事件应急预案的衔接等。</w:t>
                  </w:r>
                </w:p>
              </w:tc>
            </w:tr>
            <w:tr w14:paraId="0800608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397" w:hRule="atLeast"/>
                <w:jc w:val="center"/>
              </w:trPr>
              <w:tc>
                <w:tcPr>
                  <w:tcW w:w="5000" w:type="pct"/>
                  <w:gridSpan w:val="4"/>
                  <w:tcBorders>
                    <w:tl2br w:val="nil"/>
                    <w:tr2bl w:val="nil"/>
                  </w:tcBorders>
                  <w:noWrap w:val="0"/>
                  <w:tcMar>
                    <w:left w:w="0" w:type="dxa"/>
                    <w:right w:w="0" w:type="dxa"/>
                  </w:tcMar>
                  <w:vAlign w:val="center"/>
                </w:tcPr>
                <w:p w14:paraId="60AFCA87">
                  <w:pPr>
                    <w:ind w:firstLine="210" w:firstLineChars="100"/>
                    <w:rPr>
                      <w:color w:val="auto"/>
                      <w:szCs w:val="21"/>
                    </w:rPr>
                  </w:pPr>
                  <w:r>
                    <w:rPr>
                      <w:color w:val="auto"/>
                      <w:szCs w:val="21"/>
                    </w:rPr>
                    <w:t>填表说明（列出项目相关信息及评价说明）：</w:t>
                  </w:r>
                  <w:r>
                    <w:rPr>
                      <w:rFonts w:hint="eastAsia"/>
                      <w:color w:val="auto"/>
                      <w:szCs w:val="21"/>
                      <w:lang w:val="en-US" w:eastAsia="zh-CN"/>
                    </w:rPr>
                    <w:t>本项目</w:t>
                  </w:r>
                  <w:r>
                    <w:rPr>
                      <w:rFonts w:hint="default" w:ascii="Times New Roman" w:hAnsi="Times New Roman" w:cs="Times New Roman"/>
                      <w:color w:val="auto"/>
                      <w:sz w:val="21"/>
                      <w:szCs w:val="21"/>
                    </w:rPr>
                    <w:t>Q值为</w:t>
                  </w:r>
                  <w:r>
                    <w:rPr>
                      <w:rFonts w:hint="eastAsia" w:cs="Times New Roman"/>
                      <w:color w:val="auto"/>
                      <w:sz w:val="21"/>
                      <w:szCs w:val="21"/>
                      <w:lang w:val="en-US" w:eastAsia="zh-CN"/>
                    </w:rPr>
                    <w:t>0.804</w:t>
                  </w:r>
                  <w:r>
                    <w:rPr>
                      <w:rFonts w:hint="default" w:ascii="Times New Roman" w:hAnsi="Times New Roman" w:cs="Times New Roman"/>
                      <w:color w:val="auto"/>
                      <w:sz w:val="21"/>
                      <w:szCs w:val="21"/>
                    </w:rPr>
                    <w:t>＜1，所以本项目环境风险潜势级别定为</w:t>
                  </w:r>
                  <w:r>
                    <w:rPr>
                      <w:rFonts w:hint="eastAsia" w:cs="Times New Roman"/>
                      <w:color w:val="auto"/>
                      <w:sz w:val="21"/>
                      <w:szCs w:val="21"/>
                      <w:lang w:val="en-US" w:eastAsia="zh-CN"/>
                    </w:rPr>
                    <w:t>Ⅰ</w:t>
                  </w:r>
                  <w:r>
                    <w:rPr>
                      <w:rFonts w:hint="default" w:ascii="Times New Roman" w:hAnsi="Times New Roman" w:cs="Times New Roman"/>
                      <w:color w:val="auto"/>
                      <w:sz w:val="21"/>
                      <w:szCs w:val="21"/>
                    </w:rPr>
                    <w:t>级，只需进行简单分析，在描述危险物质、环境影响途径、环境危害后果、风险防范措施等方面给出定性的说明。</w:t>
                  </w:r>
                  <w:r>
                    <w:rPr>
                      <w:color w:val="auto"/>
                      <w:szCs w:val="21"/>
                    </w:rPr>
                    <w:t>本次评价制定了一系列的风险防范措施、应急预案以及应急监测方案，可将事故风险概率和影响程度降至最低，提出的建设项目的环境风险防范措施有效。通过采取有效的预防措施和制定完善的应急救援预案，本项目的环境风险是可以防控的。</w:t>
                  </w:r>
                </w:p>
              </w:tc>
            </w:tr>
          </w:tbl>
          <w:p w14:paraId="5F7B8552">
            <w:pPr>
              <w:keepNext w:val="0"/>
              <w:keepLines w:val="0"/>
              <w:pageBreakBefore w:val="0"/>
              <w:widowControl w:val="0"/>
              <w:numPr>
                <w:ilvl w:val="0"/>
                <w:numId w:val="29"/>
              </w:numPr>
              <w:kinsoku/>
              <w:wordWrap/>
              <w:overflowPunct/>
              <w:topLinePunct w:val="0"/>
              <w:autoSpaceDE/>
              <w:autoSpaceDN/>
              <w:bidi w:val="0"/>
              <w:adjustRightInd w:val="0"/>
              <w:snapToGrid/>
              <w:spacing w:line="360" w:lineRule="auto"/>
              <w:ind w:left="0" w:leftChars="0" w:firstLine="420" w:firstLineChars="0"/>
              <w:jc w:val="left"/>
              <w:textAlignment w:val="auto"/>
              <w:rPr>
                <w:rFonts w:hint="eastAsia" w:ascii="Times New Roman" w:hAnsi="Times New Roman" w:eastAsia="宋体" w:cs="Times New Roman"/>
                <w:b/>
                <w:bCs/>
                <w:color w:val="auto"/>
                <w:sz w:val="24"/>
                <w:szCs w:val="24"/>
                <w:highlight w:val="none"/>
                <w:lang w:val="en-US" w:eastAsia="zh-CN"/>
              </w:rPr>
            </w:pPr>
            <w:r>
              <w:rPr>
                <w:rFonts w:hint="eastAsia" w:ascii="Times New Roman" w:hAnsi="Times New Roman" w:eastAsia="宋体" w:cs="Times New Roman"/>
                <w:b/>
                <w:bCs/>
                <w:color w:val="auto"/>
                <w:sz w:val="24"/>
                <w:szCs w:val="24"/>
                <w:highlight w:val="none"/>
                <w:lang w:val="en-US" w:eastAsia="zh-CN"/>
              </w:rPr>
              <w:t>电磁辐射</w:t>
            </w:r>
          </w:p>
          <w:p w14:paraId="32327DF8">
            <w:pPr>
              <w:keepNext w:val="0"/>
              <w:keepLines w:val="0"/>
              <w:pageBreakBefore/>
              <w:widowControl/>
              <w:kinsoku/>
              <w:wordWrap/>
              <w:overflowPunct/>
              <w:topLinePunct w:val="0"/>
              <w:autoSpaceDE/>
              <w:autoSpaceDN/>
              <w:bidi w:val="0"/>
              <w:snapToGrid/>
              <w:spacing w:line="360" w:lineRule="auto"/>
              <w:ind w:firstLine="480" w:firstLineChars="200"/>
              <w:textAlignment w:val="auto"/>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本项目不属于广播电台、差转台、电视塔台、卫星地球上行站、雷达等电磁辐射类项目，本评价不再开展电磁环境影响分析。</w:t>
            </w:r>
          </w:p>
          <w:p w14:paraId="175D3B94">
            <w:pPr>
              <w:keepNext w:val="0"/>
              <w:keepLines w:val="0"/>
              <w:pageBreakBefore/>
              <w:widowControl/>
              <w:kinsoku/>
              <w:wordWrap/>
              <w:overflowPunct/>
              <w:topLinePunct w:val="0"/>
              <w:autoSpaceDE/>
              <w:autoSpaceDN/>
              <w:bidi w:val="0"/>
              <w:snapToGrid/>
              <w:spacing w:line="360" w:lineRule="auto"/>
              <w:ind w:firstLine="480" w:firstLineChars="200"/>
              <w:textAlignment w:val="auto"/>
              <w:rPr>
                <w:rFonts w:hint="eastAsia" w:ascii="Times New Roman" w:hAnsi="Times New Roman" w:eastAsia="宋体" w:cs="Times New Roman"/>
                <w:color w:val="FF0000"/>
                <w:kern w:val="2"/>
                <w:sz w:val="24"/>
                <w:szCs w:val="24"/>
                <w:lang w:val="en-US" w:eastAsia="zh-CN" w:bidi="ar-SA"/>
              </w:rPr>
            </w:pPr>
          </w:p>
        </w:tc>
      </w:tr>
    </w:tbl>
    <w:p w14:paraId="18A4A580">
      <w:pPr>
        <w:rPr>
          <w:color w:val="FF0000"/>
        </w:rPr>
        <w:sectPr>
          <w:pgSz w:w="11905" w:h="16838"/>
          <w:pgMar w:top="1417" w:right="1417" w:bottom="1417" w:left="1417" w:header="851" w:footer="850" w:gutter="0"/>
          <w:pgBorders>
            <w:top w:val="none" w:sz="0" w:space="0"/>
            <w:left w:val="none" w:sz="0" w:space="0"/>
            <w:bottom w:val="none" w:sz="0" w:space="0"/>
            <w:right w:val="none" w:sz="0" w:space="0"/>
          </w:pgBorders>
          <w:pgNumType w:fmt="decimal"/>
          <w:cols w:space="0" w:num="1"/>
          <w:rtlGutter w:val="0"/>
          <w:docGrid w:linePitch="312" w:charSpace="0"/>
        </w:sectPr>
      </w:pPr>
    </w:p>
    <w:p w14:paraId="4D2FB67B">
      <w:pPr>
        <w:pStyle w:val="23"/>
        <w:keepNext w:val="0"/>
        <w:keepLines w:val="0"/>
        <w:pageBreakBefore w:val="0"/>
        <w:widowControl/>
        <w:kinsoku/>
        <w:wordWrap/>
        <w:overflowPunct/>
        <w:topLinePunct w:val="0"/>
        <w:autoSpaceDE/>
        <w:autoSpaceDN/>
        <w:bidi w:val="0"/>
        <w:adjustRightInd w:val="0"/>
        <w:snapToGrid w:val="0"/>
        <w:spacing w:before="0" w:beforeAutospacing="0" w:after="0" w:afterAutospacing="0" w:line="360" w:lineRule="auto"/>
        <w:jc w:val="center"/>
        <w:textAlignment w:val="auto"/>
        <w:outlineLvl w:val="0"/>
        <w:rPr>
          <w:rFonts w:ascii="Times New Roman" w:hAnsi="Times New Roman"/>
          <w:b/>
          <w:snapToGrid w:val="0"/>
          <w:color w:val="auto"/>
          <w:sz w:val="30"/>
          <w:szCs w:val="30"/>
        </w:rPr>
      </w:pPr>
      <w:r>
        <w:rPr>
          <w:rFonts w:ascii="Times New Roman" w:hAnsi="Times New Roman"/>
          <w:b/>
          <w:snapToGrid w:val="0"/>
          <w:color w:val="auto"/>
          <w:sz w:val="30"/>
          <w:szCs w:val="30"/>
        </w:rPr>
        <w:t>五、</w:t>
      </w:r>
      <w:bookmarkStart w:id="3" w:name="_Hlk54167917"/>
      <w:r>
        <w:rPr>
          <w:rFonts w:ascii="Times New Roman" w:hAnsi="Times New Roman"/>
          <w:b/>
          <w:snapToGrid w:val="0"/>
          <w:color w:val="auto"/>
          <w:sz w:val="30"/>
          <w:szCs w:val="30"/>
        </w:rPr>
        <w:t>环境保护措施监督检查清单</w:t>
      </w:r>
      <w:bookmarkEnd w:id="3"/>
    </w:p>
    <w:tbl>
      <w:tblPr>
        <w:tblStyle w:val="27"/>
        <w:tblW w:w="4996"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629"/>
        <w:gridCol w:w="1597"/>
        <w:gridCol w:w="1363"/>
        <w:gridCol w:w="1873"/>
        <w:gridCol w:w="2818"/>
      </w:tblGrid>
      <w:tr w14:paraId="430A770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878" w:type="pct"/>
            <w:tcBorders>
              <w:tl2br w:val="single" w:color="auto" w:sz="4" w:space="0"/>
            </w:tcBorders>
          </w:tcPr>
          <w:p w14:paraId="21B15775">
            <w:pPr>
              <w:keepNext w:val="0"/>
              <w:keepLines w:val="0"/>
              <w:pageBreakBefore w:val="0"/>
              <w:widowControl w:val="0"/>
              <w:kinsoku/>
              <w:wordWrap/>
              <w:overflowPunct/>
              <w:topLinePunct w:val="0"/>
              <w:autoSpaceDE/>
              <w:autoSpaceDN/>
              <w:bidi w:val="0"/>
              <w:adjustRightInd w:val="0"/>
              <w:snapToGrid w:val="0"/>
              <w:ind w:firstLine="0"/>
              <w:jc w:val="right"/>
              <w:textAlignment w:val="auto"/>
              <w:rPr>
                <w:b/>
                <w:color w:val="auto"/>
                <w:sz w:val="21"/>
                <w:szCs w:val="21"/>
              </w:rPr>
            </w:pPr>
            <w:r>
              <w:rPr>
                <w:b/>
                <w:color w:val="auto"/>
                <w:sz w:val="21"/>
                <w:szCs w:val="21"/>
              </w:rPr>
              <w:t>内容</w:t>
            </w:r>
          </w:p>
          <w:p w14:paraId="536A652B">
            <w:pPr>
              <w:adjustRightInd w:val="0"/>
              <w:snapToGrid w:val="0"/>
              <w:rPr>
                <w:b/>
                <w:color w:val="auto"/>
                <w:sz w:val="21"/>
                <w:szCs w:val="21"/>
              </w:rPr>
            </w:pPr>
            <w:r>
              <w:rPr>
                <w:b/>
                <w:color w:val="auto"/>
                <w:sz w:val="21"/>
                <w:szCs w:val="21"/>
              </w:rPr>
              <w:t>要素</w:t>
            </w:r>
          </w:p>
        </w:tc>
        <w:tc>
          <w:tcPr>
            <w:tcW w:w="860" w:type="pct"/>
            <w:vAlign w:val="center"/>
          </w:tcPr>
          <w:p w14:paraId="5E8E286E">
            <w:pPr>
              <w:adjustRightInd w:val="0"/>
              <w:snapToGrid w:val="0"/>
              <w:jc w:val="center"/>
              <w:rPr>
                <w:b/>
                <w:color w:val="auto"/>
                <w:sz w:val="21"/>
                <w:szCs w:val="21"/>
              </w:rPr>
            </w:pPr>
            <w:r>
              <w:rPr>
                <w:b/>
                <w:color w:val="auto"/>
                <w:sz w:val="21"/>
                <w:szCs w:val="21"/>
              </w:rPr>
              <w:t>排放口</w:t>
            </w:r>
            <w:r>
              <w:rPr>
                <w:rFonts w:hint="eastAsia"/>
                <w:b/>
                <w:color w:val="auto"/>
                <w:sz w:val="21"/>
                <w:szCs w:val="21"/>
                <w:lang w:eastAsia="zh-CN"/>
              </w:rPr>
              <w:t>（</w:t>
            </w:r>
            <w:r>
              <w:rPr>
                <w:b/>
                <w:color w:val="auto"/>
                <w:sz w:val="21"/>
                <w:szCs w:val="21"/>
              </w:rPr>
              <w:t>编号、</w:t>
            </w:r>
          </w:p>
          <w:p w14:paraId="24B83561">
            <w:pPr>
              <w:adjustRightInd w:val="0"/>
              <w:snapToGrid w:val="0"/>
              <w:jc w:val="center"/>
              <w:rPr>
                <w:b/>
                <w:color w:val="auto"/>
                <w:sz w:val="21"/>
                <w:szCs w:val="21"/>
              </w:rPr>
            </w:pPr>
            <w:r>
              <w:rPr>
                <w:b/>
                <w:color w:val="auto"/>
                <w:sz w:val="21"/>
                <w:szCs w:val="21"/>
              </w:rPr>
              <w:t>名称</w:t>
            </w:r>
            <w:r>
              <w:rPr>
                <w:rFonts w:hint="eastAsia"/>
                <w:b/>
                <w:color w:val="auto"/>
                <w:sz w:val="21"/>
                <w:szCs w:val="21"/>
                <w:lang w:eastAsia="zh-CN"/>
              </w:rPr>
              <w:t>）</w:t>
            </w:r>
            <w:r>
              <w:rPr>
                <w:b/>
                <w:color w:val="auto"/>
                <w:sz w:val="21"/>
                <w:szCs w:val="21"/>
              </w:rPr>
              <w:t>/污染源</w:t>
            </w:r>
          </w:p>
        </w:tc>
        <w:tc>
          <w:tcPr>
            <w:tcW w:w="734" w:type="pct"/>
            <w:vAlign w:val="center"/>
          </w:tcPr>
          <w:p w14:paraId="0411EB02">
            <w:pPr>
              <w:adjustRightInd w:val="0"/>
              <w:snapToGrid w:val="0"/>
              <w:jc w:val="center"/>
              <w:rPr>
                <w:b/>
                <w:color w:val="auto"/>
                <w:sz w:val="21"/>
                <w:szCs w:val="21"/>
              </w:rPr>
            </w:pPr>
            <w:r>
              <w:rPr>
                <w:b/>
                <w:color w:val="auto"/>
                <w:sz w:val="21"/>
                <w:szCs w:val="21"/>
              </w:rPr>
              <w:t>污染物项目</w:t>
            </w:r>
          </w:p>
        </w:tc>
        <w:tc>
          <w:tcPr>
            <w:tcW w:w="1009" w:type="pct"/>
            <w:vAlign w:val="center"/>
          </w:tcPr>
          <w:p w14:paraId="5FD0A1CD">
            <w:pPr>
              <w:adjustRightInd w:val="0"/>
              <w:snapToGrid w:val="0"/>
              <w:jc w:val="center"/>
              <w:rPr>
                <w:b/>
                <w:color w:val="auto"/>
                <w:sz w:val="21"/>
                <w:szCs w:val="21"/>
              </w:rPr>
            </w:pPr>
            <w:r>
              <w:rPr>
                <w:b/>
                <w:color w:val="auto"/>
                <w:sz w:val="21"/>
                <w:szCs w:val="21"/>
              </w:rPr>
              <w:t>环境保护措施</w:t>
            </w:r>
          </w:p>
        </w:tc>
        <w:tc>
          <w:tcPr>
            <w:tcW w:w="1517" w:type="pct"/>
            <w:vAlign w:val="center"/>
          </w:tcPr>
          <w:p w14:paraId="2ED84D4B">
            <w:pPr>
              <w:adjustRightInd w:val="0"/>
              <w:snapToGrid w:val="0"/>
              <w:jc w:val="center"/>
              <w:rPr>
                <w:b/>
                <w:color w:val="auto"/>
                <w:sz w:val="21"/>
                <w:szCs w:val="21"/>
              </w:rPr>
            </w:pPr>
            <w:r>
              <w:rPr>
                <w:b/>
                <w:color w:val="auto"/>
                <w:sz w:val="21"/>
                <w:szCs w:val="21"/>
              </w:rPr>
              <w:t>执行标准</w:t>
            </w:r>
          </w:p>
        </w:tc>
      </w:tr>
      <w:tr w14:paraId="178E4A4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878" w:type="pct"/>
            <w:vMerge w:val="restart"/>
            <w:vAlign w:val="center"/>
          </w:tcPr>
          <w:p w14:paraId="3EEDA212">
            <w:pPr>
              <w:adjustRightInd w:val="0"/>
              <w:snapToGrid w:val="0"/>
              <w:jc w:val="center"/>
              <w:rPr>
                <w:rFonts w:hint="eastAsia"/>
                <w:color w:val="auto"/>
                <w:sz w:val="21"/>
                <w:szCs w:val="21"/>
              </w:rPr>
            </w:pPr>
            <w:r>
              <w:rPr>
                <w:rFonts w:hint="eastAsia"/>
                <w:color w:val="auto"/>
                <w:sz w:val="21"/>
                <w:szCs w:val="21"/>
              </w:rPr>
              <w:t>大气环境</w:t>
            </w:r>
          </w:p>
        </w:tc>
        <w:tc>
          <w:tcPr>
            <w:tcW w:w="860" w:type="pct"/>
            <w:vAlign w:val="center"/>
          </w:tcPr>
          <w:p w14:paraId="42A8C8B6">
            <w:pPr>
              <w:adjustRightInd w:val="0"/>
              <w:snapToGrid w:val="0"/>
              <w:jc w:val="center"/>
              <w:rPr>
                <w:rFonts w:hint="eastAsia"/>
                <w:color w:val="auto"/>
                <w:sz w:val="21"/>
                <w:szCs w:val="21"/>
                <w:lang w:val="en-US" w:eastAsia="zh-CN"/>
              </w:rPr>
            </w:pPr>
            <w:r>
              <w:rPr>
                <w:rFonts w:hint="eastAsia"/>
                <w:color w:val="auto"/>
                <w:sz w:val="21"/>
                <w:szCs w:val="21"/>
                <w:lang w:val="en-US" w:eastAsia="zh-CN"/>
              </w:rPr>
              <w:t>有机废气</w:t>
            </w:r>
          </w:p>
          <w:p w14:paraId="46D04266">
            <w:pPr>
              <w:adjustRightInd w:val="0"/>
              <w:snapToGrid w:val="0"/>
              <w:jc w:val="center"/>
              <w:rPr>
                <w:rFonts w:hint="eastAsia"/>
                <w:color w:val="auto"/>
                <w:sz w:val="21"/>
                <w:szCs w:val="21"/>
                <w:lang w:val="en-US" w:eastAsia="zh-CN"/>
              </w:rPr>
            </w:pPr>
            <w:r>
              <w:rPr>
                <w:rFonts w:hint="eastAsia"/>
                <w:color w:val="auto"/>
                <w:sz w:val="21"/>
                <w:szCs w:val="21"/>
                <w:lang w:val="en-US" w:eastAsia="zh-CN"/>
              </w:rPr>
              <w:t>排气筒DA001</w:t>
            </w:r>
          </w:p>
        </w:tc>
        <w:tc>
          <w:tcPr>
            <w:tcW w:w="734" w:type="pct"/>
            <w:shd w:val="clear" w:color="auto" w:fill="auto"/>
            <w:vAlign w:val="center"/>
          </w:tcPr>
          <w:p w14:paraId="3D4D4314">
            <w:pPr>
              <w:adjustRightInd w:val="0"/>
              <w:snapToGrid w:val="0"/>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VOCs</w:t>
            </w:r>
          </w:p>
        </w:tc>
        <w:tc>
          <w:tcPr>
            <w:tcW w:w="1009" w:type="pct"/>
            <w:shd w:val="clear" w:color="auto" w:fill="auto"/>
            <w:vAlign w:val="center"/>
          </w:tcPr>
          <w:p w14:paraId="165DCD24">
            <w:pPr>
              <w:adjustRightInd w:val="0"/>
              <w:snapToGrid w:val="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车间整体密闭</w:t>
            </w:r>
          </w:p>
          <w:p w14:paraId="14E3302B">
            <w:pPr>
              <w:adjustRightInd w:val="0"/>
              <w:snapToGrid w:val="0"/>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w:t>
            </w:r>
            <w:r>
              <w:rPr>
                <w:rFonts w:hint="eastAsia" w:cs="Times New Roman"/>
                <w:color w:val="auto"/>
                <w:sz w:val="21"/>
                <w:szCs w:val="21"/>
                <w:lang w:val="en-US" w:eastAsia="zh-CN"/>
              </w:rPr>
              <w:t>二级</w:t>
            </w:r>
            <w:r>
              <w:rPr>
                <w:rFonts w:hint="eastAsia" w:ascii="Times New Roman" w:hAnsi="Times New Roman" w:eastAsia="宋体" w:cs="Times New Roman"/>
                <w:color w:val="auto"/>
                <w:sz w:val="21"/>
                <w:szCs w:val="21"/>
                <w:lang w:val="en-US" w:eastAsia="zh-CN"/>
              </w:rPr>
              <w:t>活性炭吸附</w:t>
            </w:r>
            <w:r>
              <w:rPr>
                <w:rFonts w:hint="eastAsia" w:cs="Times New Roman"/>
                <w:color w:val="auto"/>
                <w:sz w:val="21"/>
                <w:szCs w:val="21"/>
                <w:lang w:val="en-US" w:eastAsia="zh-CN"/>
              </w:rPr>
              <w:t>+15m排气筒</w:t>
            </w:r>
          </w:p>
        </w:tc>
        <w:tc>
          <w:tcPr>
            <w:tcW w:w="1517" w:type="pct"/>
            <w:shd w:val="clear" w:color="auto" w:fill="auto"/>
            <w:vAlign w:val="center"/>
          </w:tcPr>
          <w:p w14:paraId="20D8B1E9">
            <w:pPr>
              <w:adjustRightInd w:val="0"/>
              <w:snapToGrid w:val="0"/>
              <w:jc w:val="center"/>
              <w:rPr>
                <w:rFonts w:hint="eastAsia" w:ascii="Times New Roman" w:hAnsi="Times New Roman" w:eastAsia="宋体" w:cs="Times New Roman"/>
                <w:color w:val="auto"/>
                <w:kern w:val="2"/>
                <w:sz w:val="21"/>
                <w:szCs w:val="24"/>
                <w:lang w:val="en-US" w:eastAsia="zh-CN" w:bidi="ar-SA"/>
              </w:rPr>
            </w:pPr>
            <w:r>
              <w:rPr>
                <w:rFonts w:hint="default" w:ascii="Times New Roman" w:hAnsi="Times New Roman" w:eastAsia="宋体" w:cs="Times New Roman"/>
                <w:color w:val="auto"/>
                <w:sz w:val="21"/>
                <w:szCs w:val="21"/>
                <w:lang w:val="en-US" w:eastAsia="zh-CN"/>
              </w:rPr>
              <w:t>《挥发性有机物排放标准 第7部分：其他行业》（DB37/2801.7-2019）表1中非重点行业Ⅱ时段的排放限值</w:t>
            </w:r>
          </w:p>
        </w:tc>
      </w:tr>
      <w:tr w14:paraId="5C4936B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878" w:type="pct"/>
            <w:vMerge w:val="continue"/>
            <w:vAlign w:val="center"/>
          </w:tcPr>
          <w:p w14:paraId="446EE701">
            <w:pPr>
              <w:adjustRightInd w:val="0"/>
              <w:snapToGrid w:val="0"/>
              <w:jc w:val="center"/>
              <w:rPr>
                <w:rFonts w:hint="eastAsia"/>
                <w:color w:val="auto"/>
                <w:sz w:val="21"/>
                <w:szCs w:val="21"/>
              </w:rPr>
            </w:pPr>
          </w:p>
        </w:tc>
        <w:tc>
          <w:tcPr>
            <w:tcW w:w="860" w:type="pct"/>
            <w:vMerge w:val="restart"/>
            <w:vAlign w:val="center"/>
          </w:tcPr>
          <w:p w14:paraId="67C8E0E0">
            <w:pPr>
              <w:pStyle w:val="15"/>
              <w:jc w:val="center"/>
              <w:rPr>
                <w:rFonts w:hint="eastAsia"/>
                <w:color w:val="auto"/>
                <w:sz w:val="21"/>
                <w:szCs w:val="21"/>
                <w:lang w:val="en-US" w:eastAsia="zh-CN"/>
              </w:rPr>
            </w:pPr>
            <w:r>
              <w:rPr>
                <w:rFonts w:hint="eastAsia"/>
                <w:color w:val="auto"/>
                <w:sz w:val="21"/>
                <w:szCs w:val="21"/>
                <w:lang w:val="en-US" w:eastAsia="zh-CN"/>
              </w:rPr>
              <w:t>酸性废气</w:t>
            </w:r>
          </w:p>
          <w:p w14:paraId="7F5FF8F4">
            <w:pPr>
              <w:pStyle w:val="15"/>
              <w:jc w:val="center"/>
              <w:rPr>
                <w:rFonts w:hint="default"/>
                <w:color w:val="auto"/>
                <w:sz w:val="21"/>
                <w:szCs w:val="21"/>
                <w:lang w:val="en-US" w:eastAsia="zh-CN"/>
              </w:rPr>
            </w:pPr>
            <w:r>
              <w:rPr>
                <w:rFonts w:hint="eastAsia"/>
                <w:color w:val="auto"/>
                <w:sz w:val="21"/>
                <w:szCs w:val="21"/>
                <w:lang w:val="en-US" w:eastAsia="zh-CN"/>
              </w:rPr>
              <w:t>排气筒DA002</w:t>
            </w:r>
          </w:p>
        </w:tc>
        <w:tc>
          <w:tcPr>
            <w:tcW w:w="734" w:type="pct"/>
            <w:shd w:val="clear" w:color="auto" w:fill="auto"/>
            <w:vAlign w:val="center"/>
          </w:tcPr>
          <w:p w14:paraId="79CC42CA">
            <w:pPr>
              <w:adjustRightInd w:val="0"/>
              <w:snapToGrid w:val="0"/>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氯化氢</w:t>
            </w:r>
          </w:p>
        </w:tc>
        <w:tc>
          <w:tcPr>
            <w:tcW w:w="1009" w:type="pct"/>
            <w:vMerge w:val="restart"/>
            <w:vAlign w:val="center"/>
          </w:tcPr>
          <w:p w14:paraId="4F30928B">
            <w:pPr>
              <w:adjustRightInd w:val="0"/>
              <w:snapToGrid w:val="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车间整体密闭</w:t>
            </w:r>
          </w:p>
          <w:p w14:paraId="2B74B2A5">
            <w:pPr>
              <w:adjustRightInd w:val="0"/>
              <w:snapToGrid w:val="0"/>
              <w:jc w:val="center"/>
              <w:rPr>
                <w:rFonts w:hint="eastAsia"/>
                <w:color w:val="auto"/>
                <w:sz w:val="21"/>
                <w:szCs w:val="21"/>
                <w:lang w:val="en-US" w:eastAsia="zh-CN"/>
              </w:rPr>
            </w:pPr>
            <w:r>
              <w:rPr>
                <w:rFonts w:hint="eastAsia" w:ascii="Times New Roman" w:hAnsi="Times New Roman" w:eastAsia="宋体" w:cs="Times New Roman"/>
                <w:color w:val="auto"/>
                <w:sz w:val="21"/>
                <w:szCs w:val="21"/>
                <w:lang w:val="en-US" w:eastAsia="zh-CN"/>
              </w:rPr>
              <w:t>+</w:t>
            </w:r>
            <w:r>
              <w:rPr>
                <w:rFonts w:hint="eastAsia" w:cs="Times New Roman"/>
                <w:color w:val="auto"/>
                <w:sz w:val="21"/>
                <w:szCs w:val="21"/>
                <w:lang w:val="en-US" w:eastAsia="zh-CN"/>
              </w:rPr>
              <w:t>碱喷淋+15m排气筒</w:t>
            </w:r>
          </w:p>
        </w:tc>
        <w:tc>
          <w:tcPr>
            <w:tcW w:w="1517" w:type="pct"/>
            <w:shd w:val="clear" w:color="auto" w:fill="auto"/>
            <w:vAlign w:val="center"/>
          </w:tcPr>
          <w:p w14:paraId="08F3A634">
            <w:pPr>
              <w:adjustRightInd w:val="0"/>
              <w:snapToGrid w:val="0"/>
              <w:jc w:val="center"/>
              <w:rPr>
                <w:rFonts w:hint="eastAsia" w:ascii="Times New Roman" w:hAnsi="Times New Roman" w:cs="Times New Roman" w:eastAsiaTheme="minorEastAsia"/>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《大气污染物综合排放标准》（GB16297-1996）表2中氯化氢排放限值</w:t>
            </w:r>
          </w:p>
        </w:tc>
      </w:tr>
      <w:tr w14:paraId="7CD1C8B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878" w:type="pct"/>
            <w:vMerge w:val="continue"/>
            <w:vAlign w:val="center"/>
          </w:tcPr>
          <w:p w14:paraId="67900DFB">
            <w:pPr>
              <w:adjustRightInd w:val="0"/>
              <w:snapToGrid w:val="0"/>
              <w:jc w:val="center"/>
              <w:rPr>
                <w:rFonts w:hint="eastAsia"/>
                <w:color w:val="auto"/>
                <w:sz w:val="21"/>
                <w:szCs w:val="21"/>
              </w:rPr>
            </w:pPr>
          </w:p>
        </w:tc>
        <w:tc>
          <w:tcPr>
            <w:tcW w:w="860" w:type="pct"/>
            <w:vMerge w:val="continue"/>
            <w:vAlign w:val="center"/>
          </w:tcPr>
          <w:p w14:paraId="066258A9">
            <w:pPr>
              <w:pStyle w:val="15"/>
              <w:rPr>
                <w:rFonts w:hint="eastAsia"/>
                <w:color w:val="auto"/>
                <w:sz w:val="21"/>
                <w:szCs w:val="21"/>
                <w:lang w:val="en-US" w:eastAsia="zh-CN"/>
              </w:rPr>
            </w:pPr>
          </w:p>
        </w:tc>
        <w:tc>
          <w:tcPr>
            <w:tcW w:w="734" w:type="pct"/>
            <w:shd w:val="clear" w:color="auto" w:fill="auto"/>
            <w:vAlign w:val="center"/>
          </w:tcPr>
          <w:p w14:paraId="23DF75FA">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硫酸雾</w:t>
            </w:r>
          </w:p>
        </w:tc>
        <w:tc>
          <w:tcPr>
            <w:tcW w:w="1009" w:type="pct"/>
            <w:vMerge w:val="continue"/>
            <w:vAlign w:val="center"/>
          </w:tcPr>
          <w:p w14:paraId="70F9B015">
            <w:pPr>
              <w:adjustRightInd w:val="0"/>
              <w:snapToGrid w:val="0"/>
              <w:jc w:val="center"/>
              <w:rPr>
                <w:rFonts w:hint="eastAsia"/>
                <w:color w:val="auto"/>
                <w:sz w:val="21"/>
                <w:szCs w:val="21"/>
                <w:lang w:val="en-US" w:eastAsia="zh-CN"/>
              </w:rPr>
            </w:pPr>
          </w:p>
        </w:tc>
        <w:tc>
          <w:tcPr>
            <w:tcW w:w="1517" w:type="pct"/>
            <w:shd w:val="clear" w:color="auto" w:fill="auto"/>
            <w:vAlign w:val="center"/>
          </w:tcPr>
          <w:p w14:paraId="6A37D5DB">
            <w:pPr>
              <w:adjustRightInd w:val="0"/>
              <w:snapToGrid w:val="0"/>
              <w:jc w:val="center"/>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sz w:val="21"/>
                <w:szCs w:val="21"/>
                <w:lang w:val="en-US" w:eastAsia="zh-CN"/>
              </w:rPr>
              <w:t>《大气污染物综合排放标准》（GB16297-1996）表2中硫酸雾排放限值</w:t>
            </w:r>
          </w:p>
        </w:tc>
      </w:tr>
      <w:tr w14:paraId="49C46EF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878" w:type="pct"/>
            <w:vMerge w:val="continue"/>
            <w:vAlign w:val="center"/>
          </w:tcPr>
          <w:p w14:paraId="1102E4BC">
            <w:pPr>
              <w:adjustRightInd w:val="0"/>
              <w:snapToGrid w:val="0"/>
              <w:jc w:val="center"/>
              <w:rPr>
                <w:rFonts w:hint="eastAsia"/>
                <w:color w:val="auto"/>
                <w:sz w:val="21"/>
                <w:szCs w:val="21"/>
              </w:rPr>
            </w:pPr>
          </w:p>
        </w:tc>
        <w:tc>
          <w:tcPr>
            <w:tcW w:w="860" w:type="pct"/>
            <w:vMerge w:val="restart"/>
            <w:vAlign w:val="center"/>
          </w:tcPr>
          <w:p w14:paraId="43073F83">
            <w:pPr>
              <w:pStyle w:val="15"/>
              <w:jc w:val="center"/>
              <w:rPr>
                <w:rFonts w:hint="eastAsia"/>
                <w:color w:val="auto"/>
                <w:sz w:val="21"/>
                <w:szCs w:val="21"/>
                <w:lang w:val="en-US" w:eastAsia="zh-CN"/>
              </w:rPr>
            </w:pPr>
            <w:r>
              <w:rPr>
                <w:rFonts w:hint="eastAsia"/>
                <w:color w:val="auto"/>
                <w:sz w:val="21"/>
                <w:szCs w:val="21"/>
                <w:lang w:val="en-US" w:eastAsia="zh-CN"/>
              </w:rPr>
              <w:t>厂界无组织</w:t>
            </w:r>
          </w:p>
          <w:p w14:paraId="675E41FE">
            <w:pPr>
              <w:pStyle w:val="15"/>
              <w:jc w:val="center"/>
              <w:rPr>
                <w:rFonts w:hint="default"/>
                <w:color w:val="auto"/>
                <w:sz w:val="21"/>
                <w:szCs w:val="21"/>
                <w:lang w:val="en-US" w:eastAsia="zh-CN"/>
              </w:rPr>
            </w:pPr>
            <w:r>
              <w:rPr>
                <w:rFonts w:hint="eastAsia"/>
                <w:color w:val="auto"/>
                <w:sz w:val="21"/>
                <w:szCs w:val="21"/>
                <w:lang w:val="en-US" w:eastAsia="zh-CN"/>
              </w:rPr>
              <w:t>废气</w:t>
            </w:r>
          </w:p>
        </w:tc>
        <w:tc>
          <w:tcPr>
            <w:tcW w:w="734" w:type="pct"/>
            <w:shd w:val="clear" w:color="auto" w:fill="auto"/>
            <w:vAlign w:val="center"/>
          </w:tcPr>
          <w:p w14:paraId="4AC17A6E">
            <w:pPr>
              <w:adjustRightInd w:val="0"/>
              <w:snapToGrid w:val="0"/>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氯化氢</w:t>
            </w:r>
          </w:p>
        </w:tc>
        <w:tc>
          <w:tcPr>
            <w:tcW w:w="1009" w:type="pct"/>
            <w:vMerge w:val="restart"/>
            <w:vAlign w:val="center"/>
          </w:tcPr>
          <w:p w14:paraId="1AF394D7">
            <w:pPr>
              <w:adjustRightInd w:val="0"/>
              <w:snapToGrid w:val="0"/>
              <w:jc w:val="center"/>
              <w:rPr>
                <w:rFonts w:hint="eastAsia"/>
                <w:color w:val="auto"/>
                <w:sz w:val="21"/>
                <w:szCs w:val="21"/>
                <w:lang w:val="en-US" w:eastAsia="zh-CN"/>
              </w:rPr>
            </w:pPr>
            <w:r>
              <w:rPr>
                <w:rFonts w:hint="eastAsia"/>
                <w:color w:val="auto"/>
                <w:sz w:val="21"/>
                <w:szCs w:val="21"/>
                <w:lang w:val="en-US" w:eastAsia="zh-CN"/>
              </w:rPr>
              <w:t>车间密闭性，</w:t>
            </w:r>
          </w:p>
          <w:p w14:paraId="168D41CA">
            <w:pPr>
              <w:adjustRightInd w:val="0"/>
              <w:snapToGrid w:val="0"/>
              <w:jc w:val="center"/>
              <w:rPr>
                <w:rFonts w:hint="eastAsia"/>
                <w:color w:val="auto"/>
                <w:sz w:val="21"/>
                <w:szCs w:val="21"/>
                <w:lang w:val="en-US" w:eastAsia="zh-CN"/>
              </w:rPr>
            </w:pPr>
            <w:r>
              <w:rPr>
                <w:rFonts w:hint="eastAsia"/>
                <w:color w:val="auto"/>
                <w:sz w:val="21"/>
                <w:szCs w:val="21"/>
                <w:lang w:val="en-US" w:eastAsia="zh-CN"/>
              </w:rPr>
              <w:t>加强生产管理</w:t>
            </w:r>
          </w:p>
        </w:tc>
        <w:tc>
          <w:tcPr>
            <w:tcW w:w="1517" w:type="pct"/>
            <w:vAlign w:val="center"/>
          </w:tcPr>
          <w:p w14:paraId="5456E805">
            <w:pPr>
              <w:adjustRightInd w:val="0"/>
              <w:snapToGrid w:val="0"/>
              <w:jc w:val="center"/>
              <w:rPr>
                <w:rFonts w:hint="eastAsia" w:ascii="Times New Roman" w:hAnsi="Times New Roman"/>
                <w:color w:val="auto"/>
                <w:szCs w:val="24"/>
                <w:lang w:val="en-US" w:eastAsia="zh-CN"/>
              </w:rPr>
            </w:pPr>
            <w:r>
              <w:rPr>
                <w:rFonts w:eastAsiaTheme="minorEastAsia"/>
                <w:color w:val="auto"/>
                <w:sz w:val="21"/>
                <w:szCs w:val="21"/>
              </w:rPr>
              <w:t>《大气污染物综合排放标准》（GB16297-1996）</w:t>
            </w:r>
            <w:r>
              <w:rPr>
                <w:rFonts w:hint="eastAsia" w:eastAsiaTheme="minorEastAsia"/>
                <w:color w:val="auto"/>
                <w:sz w:val="21"/>
                <w:szCs w:val="21"/>
                <w:lang w:val="en-US" w:eastAsia="zh-CN"/>
              </w:rPr>
              <w:t>表2中无组织排放监控浓度限值</w:t>
            </w:r>
          </w:p>
        </w:tc>
      </w:tr>
      <w:tr w14:paraId="36A2B95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78" w:type="pct"/>
            <w:vMerge w:val="continue"/>
            <w:vAlign w:val="center"/>
          </w:tcPr>
          <w:p w14:paraId="0FAC4C08">
            <w:pPr>
              <w:adjustRightInd w:val="0"/>
              <w:snapToGrid w:val="0"/>
              <w:jc w:val="center"/>
              <w:rPr>
                <w:rFonts w:hint="eastAsia"/>
                <w:color w:val="auto"/>
                <w:sz w:val="21"/>
                <w:szCs w:val="21"/>
              </w:rPr>
            </w:pPr>
          </w:p>
        </w:tc>
        <w:tc>
          <w:tcPr>
            <w:tcW w:w="860" w:type="pct"/>
            <w:vMerge w:val="continue"/>
            <w:vAlign w:val="center"/>
          </w:tcPr>
          <w:p w14:paraId="7BAE3DE5">
            <w:pPr>
              <w:pStyle w:val="15"/>
              <w:rPr>
                <w:rFonts w:hint="eastAsia"/>
                <w:color w:val="auto"/>
                <w:sz w:val="21"/>
                <w:szCs w:val="21"/>
                <w:lang w:val="en-US" w:eastAsia="zh-CN"/>
              </w:rPr>
            </w:pPr>
          </w:p>
        </w:tc>
        <w:tc>
          <w:tcPr>
            <w:tcW w:w="734" w:type="pct"/>
            <w:shd w:val="clear" w:color="auto" w:fill="auto"/>
            <w:vAlign w:val="center"/>
          </w:tcPr>
          <w:p w14:paraId="199BC5DD">
            <w:pPr>
              <w:adjustRightInd w:val="0"/>
              <w:snapToGrid w:val="0"/>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硫酸雾</w:t>
            </w:r>
          </w:p>
        </w:tc>
        <w:tc>
          <w:tcPr>
            <w:tcW w:w="1009" w:type="pct"/>
            <w:vMerge w:val="continue"/>
            <w:vAlign w:val="center"/>
          </w:tcPr>
          <w:p w14:paraId="0C538323">
            <w:pPr>
              <w:adjustRightInd w:val="0"/>
              <w:snapToGrid w:val="0"/>
              <w:jc w:val="center"/>
              <w:rPr>
                <w:rFonts w:hint="eastAsia"/>
                <w:color w:val="auto"/>
                <w:sz w:val="21"/>
                <w:szCs w:val="21"/>
                <w:lang w:val="en-US" w:eastAsia="zh-CN"/>
              </w:rPr>
            </w:pPr>
          </w:p>
        </w:tc>
        <w:tc>
          <w:tcPr>
            <w:tcW w:w="1517" w:type="pct"/>
            <w:vAlign w:val="center"/>
          </w:tcPr>
          <w:p w14:paraId="70FFC866">
            <w:pPr>
              <w:adjustRightInd w:val="0"/>
              <w:snapToGrid w:val="0"/>
              <w:jc w:val="center"/>
              <w:rPr>
                <w:rFonts w:hint="eastAsia" w:ascii="Times New Roman" w:hAnsi="Times New Roman"/>
                <w:color w:val="auto"/>
                <w:szCs w:val="24"/>
                <w:lang w:val="en-US" w:eastAsia="zh-CN"/>
              </w:rPr>
            </w:pPr>
            <w:r>
              <w:rPr>
                <w:rFonts w:eastAsiaTheme="minorEastAsia"/>
                <w:color w:val="auto"/>
                <w:sz w:val="21"/>
                <w:szCs w:val="21"/>
              </w:rPr>
              <w:t>《大气污染物综合排放标准》（GB16297-1996）</w:t>
            </w:r>
            <w:r>
              <w:rPr>
                <w:rFonts w:hint="eastAsia" w:eastAsiaTheme="minorEastAsia"/>
                <w:color w:val="auto"/>
                <w:sz w:val="21"/>
                <w:szCs w:val="21"/>
                <w:lang w:val="en-US" w:eastAsia="zh-CN"/>
              </w:rPr>
              <w:t>表2中无组织排放监控浓度限值</w:t>
            </w:r>
          </w:p>
        </w:tc>
      </w:tr>
      <w:tr w14:paraId="37FC9A3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878" w:type="pct"/>
            <w:vMerge w:val="continue"/>
            <w:vAlign w:val="center"/>
          </w:tcPr>
          <w:p w14:paraId="592034F7">
            <w:pPr>
              <w:adjustRightInd w:val="0"/>
              <w:snapToGrid w:val="0"/>
              <w:jc w:val="center"/>
              <w:rPr>
                <w:rFonts w:hint="eastAsia"/>
                <w:color w:val="auto"/>
                <w:sz w:val="21"/>
                <w:szCs w:val="21"/>
              </w:rPr>
            </w:pPr>
          </w:p>
        </w:tc>
        <w:tc>
          <w:tcPr>
            <w:tcW w:w="860" w:type="pct"/>
            <w:vMerge w:val="continue"/>
            <w:vAlign w:val="center"/>
          </w:tcPr>
          <w:p w14:paraId="6B6CD9ED">
            <w:pPr>
              <w:pStyle w:val="15"/>
              <w:rPr>
                <w:rFonts w:hint="eastAsia"/>
                <w:color w:val="auto"/>
                <w:sz w:val="21"/>
                <w:szCs w:val="21"/>
                <w:lang w:val="en-US" w:eastAsia="zh-CN"/>
              </w:rPr>
            </w:pPr>
          </w:p>
        </w:tc>
        <w:tc>
          <w:tcPr>
            <w:tcW w:w="734" w:type="pct"/>
            <w:shd w:val="clear" w:color="auto" w:fill="auto"/>
            <w:vAlign w:val="center"/>
          </w:tcPr>
          <w:p w14:paraId="58DD7807">
            <w:pPr>
              <w:adjustRightInd w:val="0"/>
              <w:snapToGrid w:val="0"/>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VOCs</w:t>
            </w:r>
          </w:p>
        </w:tc>
        <w:tc>
          <w:tcPr>
            <w:tcW w:w="1009" w:type="pct"/>
            <w:vMerge w:val="continue"/>
            <w:vAlign w:val="center"/>
          </w:tcPr>
          <w:p w14:paraId="52958691">
            <w:pPr>
              <w:adjustRightInd w:val="0"/>
              <w:snapToGrid w:val="0"/>
              <w:jc w:val="center"/>
              <w:rPr>
                <w:rFonts w:hint="eastAsia"/>
                <w:color w:val="auto"/>
                <w:sz w:val="21"/>
                <w:szCs w:val="21"/>
                <w:lang w:val="en-US" w:eastAsia="zh-CN"/>
              </w:rPr>
            </w:pPr>
          </w:p>
        </w:tc>
        <w:tc>
          <w:tcPr>
            <w:tcW w:w="1517" w:type="pct"/>
            <w:vAlign w:val="center"/>
          </w:tcPr>
          <w:p w14:paraId="5E46364C">
            <w:pPr>
              <w:adjustRightInd w:val="0"/>
              <w:snapToGrid w:val="0"/>
              <w:jc w:val="center"/>
              <w:rPr>
                <w:rFonts w:hint="eastAsia" w:ascii="Times New Roman" w:hAnsi="Times New Roman"/>
                <w:color w:val="auto"/>
                <w:szCs w:val="24"/>
                <w:lang w:val="en-US" w:eastAsia="zh-CN"/>
              </w:rPr>
            </w:pPr>
            <w:r>
              <w:rPr>
                <w:rFonts w:hint="default" w:ascii="Times New Roman" w:hAnsi="Times New Roman" w:cs="Times New Roman" w:eastAsiaTheme="minorEastAsia"/>
                <w:color w:val="auto"/>
                <w:sz w:val="21"/>
                <w:szCs w:val="21"/>
                <w:lang w:val="en-US" w:eastAsia="zh-CN"/>
              </w:rPr>
              <w:t>《挥发性有机物排放标准 第7部分：其他行业》（DB37/2801.7-2019）表</w:t>
            </w:r>
            <w:r>
              <w:rPr>
                <w:rFonts w:hint="eastAsia" w:ascii="Times New Roman" w:hAnsi="Times New Roman" w:cs="Times New Roman" w:eastAsiaTheme="minorEastAsia"/>
                <w:color w:val="auto"/>
                <w:sz w:val="21"/>
                <w:szCs w:val="21"/>
                <w:lang w:val="en-US" w:eastAsia="zh-CN"/>
              </w:rPr>
              <w:t>2</w:t>
            </w:r>
            <w:r>
              <w:rPr>
                <w:rFonts w:hint="default" w:ascii="Times New Roman" w:hAnsi="Times New Roman" w:cs="Times New Roman" w:eastAsiaTheme="minorEastAsia"/>
                <w:color w:val="auto"/>
                <w:sz w:val="21"/>
                <w:szCs w:val="21"/>
                <w:lang w:val="en-US" w:eastAsia="zh-CN"/>
              </w:rPr>
              <w:t>中</w:t>
            </w:r>
            <w:r>
              <w:rPr>
                <w:rFonts w:hint="eastAsia" w:ascii="Times New Roman" w:hAnsi="Times New Roman" w:cs="Times New Roman" w:eastAsiaTheme="minorEastAsia"/>
                <w:color w:val="auto"/>
                <w:sz w:val="21"/>
                <w:szCs w:val="21"/>
                <w:lang w:val="en-US" w:eastAsia="zh-CN"/>
              </w:rPr>
              <w:t>厂界监控点浓度限值</w:t>
            </w:r>
          </w:p>
        </w:tc>
      </w:tr>
      <w:tr w14:paraId="4754613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7" w:hRule="atLeast"/>
          <w:jc w:val="center"/>
        </w:trPr>
        <w:tc>
          <w:tcPr>
            <w:tcW w:w="878" w:type="pct"/>
            <w:vMerge w:val="restart"/>
            <w:vAlign w:val="center"/>
          </w:tcPr>
          <w:p w14:paraId="2E6CBCC1">
            <w:pPr>
              <w:adjustRightInd w:val="0"/>
              <w:snapToGrid w:val="0"/>
              <w:jc w:val="center"/>
              <w:rPr>
                <w:color w:val="auto"/>
                <w:sz w:val="21"/>
                <w:szCs w:val="21"/>
              </w:rPr>
            </w:pPr>
            <w:r>
              <w:rPr>
                <w:color w:val="auto"/>
                <w:sz w:val="21"/>
                <w:szCs w:val="21"/>
              </w:rPr>
              <w:t>地表水环境</w:t>
            </w:r>
          </w:p>
        </w:tc>
        <w:tc>
          <w:tcPr>
            <w:tcW w:w="860" w:type="pct"/>
            <w:vMerge w:val="restart"/>
            <w:vAlign w:val="center"/>
          </w:tcPr>
          <w:p w14:paraId="10F392F6">
            <w:pPr>
              <w:adjustRightInd w:val="0"/>
              <w:snapToGrid w:val="0"/>
              <w:jc w:val="center"/>
              <w:rPr>
                <w:rFonts w:hint="eastAsia" w:eastAsia="宋体"/>
                <w:color w:val="auto"/>
                <w:sz w:val="21"/>
                <w:szCs w:val="21"/>
                <w:lang w:eastAsia="zh-CN"/>
              </w:rPr>
            </w:pPr>
            <w:r>
              <w:rPr>
                <w:rFonts w:hint="eastAsia"/>
                <w:color w:val="auto"/>
                <w:sz w:val="21"/>
                <w:szCs w:val="21"/>
              </w:rPr>
              <w:t>生活污水</w:t>
            </w:r>
          </w:p>
        </w:tc>
        <w:tc>
          <w:tcPr>
            <w:tcW w:w="734" w:type="pct"/>
            <w:vAlign w:val="center"/>
          </w:tcPr>
          <w:p w14:paraId="296F026D">
            <w:pPr>
              <w:pStyle w:val="67"/>
              <w:adjustRightInd w:val="0"/>
              <w:snapToGrid w:val="0"/>
              <w:jc w:val="center"/>
              <w:rPr>
                <w:rFonts w:hint="eastAsia" w:eastAsia="宋体"/>
                <w:color w:val="auto"/>
                <w:sz w:val="21"/>
                <w:szCs w:val="21"/>
                <w:lang w:eastAsia="zh-CN"/>
              </w:rPr>
            </w:pPr>
            <w:r>
              <w:rPr>
                <w:color w:val="auto"/>
                <w:sz w:val="21"/>
                <w:szCs w:val="21"/>
              </w:rPr>
              <w:t>COD</w:t>
            </w:r>
          </w:p>
        </w:tc>
        <w:tc>
          <w:tcPr>
            <w:tcW w:w="1009" w:type="pct"/>
            <w:vMerge w:val="restart"/>
            <w:vAlign w:val="center"/>
          </w:tcPr>
          <w:p w14:paraId="72AD5E34">
            <w:pPr>
              <w:adjustRightInd w:val="0"/>
              <w:snapToGrid w:val="0"/>
              <w:jc w:val="center"/>
              <w:rPr>
                <w:rFonts w:hint="default" w:eastAsia="宋体"/>
                <w:color w:val="auto"/>
                <w:sz w:val="21"/>
                <w:szCs w:val="21"/>
                <w:lang w:val="en-US" w:eastAsia="zh-CN"/>
              </w:rPr>
            </w:pPr>
            <w:r>
              <w:rPr>
                <w:rFonts w:hint="eastAsia"/>
                <w:color w:val="auto"/>
                <w:sz w:val="21"/>
                <w:szCs w:val="21"/>
                <w:lang w:val="en-US" w:eastAsia="zh-CN"/>
              </w:rPr>
              <w:t>化粪池暂存后环卫部门清运处理</w:t>
            </w:r>
          </w:p>
        </w:tc>
        <w:tc>
          <w:tcPr>
            <w:tcW w:w="1517" w:type="pct"/>
            <w:vMerge w:val="restart"/>
            <w:vAlign w:val="center"/>
          </w:tcPr>
          <w:p w14:paraId="537A3E44">
            <w:pPr>
              <w:adjustRightInd w:val="0"/>
              <w:snapToGrid w:val="0"/>
              <w:jc w:val="center"/>
              <w:rPr>
                <w:rFonts w:hint="eastAsia" w:eastAsia="宋体"/>
                <w:color w:val="auto"/>
                <w:sz w:val="21"/>
                <w:szCs w:val="21"/>
                <w:lang w:eastAsia="zh-CN"/>
              </w:rPr>
            </w:pPr>
            <w:r>
              <w:rPr>
                <w:rFonts w:hint="eastAsia"/>
                <w:color w:val="auto"/>
                <w:sz w:val="21"/>
                <w:szCs w:val="21"/>
                <w:lang w:val="en-US" w:eastAsia="zh-CN"/>
              </w:rPr>
              <w:t>不外排</w:t>
            </w:r>
          </w:p>
        </w:tc>
      </w:tr>
      <w:tr w14:paraId="352C334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7" w:hRule="atLeast"/>
          <w:jc w:val="center"/>
        </w:trPr>
        <w:tc>
          <w:tcPr>
            <w:tcW w:w="878" w:type="pct"/>
            <w:vMerge w:val="continue"/>
            <w:vAlign w:val="center"/>
          </w:tcPr>
          <w:p w14:paraId="5EB421F1">
            <w:pPr>
              <w:adjustRightInd w:val="0"/>
              <w:snapToGrid w:val="0"/>
              <w:jc w:val="center"/>
              <w:rPr>
                <w:color w:val="auto"/>
                <w:sz w:val="21"/>
                <w:szCs w:val="21"/>
              </w:rPr>
            </w:pPr>
          </w:p>
        </w:tc>
        <w:tc>
          <w:tcPr>
            <w:tcW w:w="860" w:type="pct"/>
            <w:vMerge w:val="continue"/>
            <w:vAlign w:val="center"/>
          </w:tcPr>
          <w:p w14:paraId="47E1518F">
            <w:pPr>
              <w:adjustRightInd w:val="0"/>
              <w:snapToGrid w:val="0"/>
              <w:jc w:val="center"/>
              <w:rPr>
                <w:rFonts w:hint="eastAsia"/>
                <w:color w:val="auto"/>
                <w:sz w:val="21"/>
                <w:szCs w:val="21"/>
                <w:lang w:val="en-US" w:eastAsia="zh-CN"/>
              </w:rPr>
            </w:pPr>
          </w:p>
        </w:tc>
        <w:tc>
          <w:tcPr>
            <w:tcW w:w="734" w:type="pct"/>
            <w:vAlign w:val="center"/>
          </w:tcPr>
          <w:p w14:paraId="1351930C">
            <w:pPr>
              <w:pStyle w:val="67"/>
              <w:adjustRightInd w:val="0"/>
              <w:snapToGrid w:val="0"/>
              <w:jc w:val="center"/>
              <w:rPr>
                <w:rFonts w:hint="eastAsia"/>
                <w:color w:val="auto"/>
                <w:sz w:val="21"/>
                <w:szCs w:val="21"/>
                <w:lang w:val="en-US" w:eastAsia="zh-CN"/>
              </w:rPr>
            </w:pPr>
            <w:r>
              <w:rPr>
                <w:rFonts w:hint="eastAsia"/>
                <w:color w:val="auto"/>
                <w:sz w:val="21"/>
                <w:szCs w:val="21"/>
              </w:rPr>
              <w:t>SS</w:t>
            </w:r>
          </w:p>
        </w:tc>
        <w:tc>
          <w:tcPr>
            <w:tcW w:w="1009" w:type="pct"/>
            <w:vMerge w:val="continue"/>
            <w:vAlign w:val="center"/>
          </w:tcPr>
          <w:p w14:paraId="5AC82E2B">
            <w:pPr>
              <w:adjustRightInd w:val="0"/>
              <w:snapToGrid w:val="0"/>
              <w:jc w:val="center"/>
              <w:rPr>
                <w:rFonts w:hint="eastAsia"/>
                <w:color w:val="auto"/>
                <w:sz w:val="21"/>
                <w:szCs w:val="21"/>
                <w:lang w:val="en-US" w:eastAsia="zh-CN"/>
              </w:rPr>
            </w:pPr>
          </w:p>
        </w:tc>
        <w:tc>
          <w:tcPr>
            <w:tcW w:w="1517" w:type="pct"/>
            <w:vMerge w:val="continue"/>
            <w:vAlign w:val="center"/>
          </w:tcPr>
          <w:p w14:paraId="02793387">
            <w:pPr>
              <w:adjustRightInd w:val="0"/>
              <w:snapToGrid w:val="0"/>
              <w:jc w:val="center"/>
              <w:rPr>
                <w:rFonts w:hint="eastAsia"/>
                <w:color w:val="auto"/>
                <w:sz w:val="21"/>
                <w:szCs w:val="21"/>
                <w:lang w:val="en-US" w:eastAsia="zh-CN"/>
              </w:rPr>
            </w:pPr>
          </w:p>
        </w:tc>
      </w:tr>
      <w:tr w14:paraId="7924E4A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7" w:hRule="atLeast"/>
          <w:jc w:val="center"/>
        </w:trPr>
        <w:tc>
          <w:tcPr>
            <w:tcW w:w="878" w:type="pct"/>
            <w:vMerge w:val="continue"/>
            <w:vAlign w:val="center"/>
          </w:tcPr>
          <w:p w14:paraId="4E2D36E3">
            <w:pPr>
              <w:adjustRightInd w:val="0"/>
              <w:snapToGrid w:val="0"/>
              <w:jc w:val="center"/>
              <w:rPr>
                <w:color w:val="auto"/>
                <w:sz w:val="21"/>
                <w:szCs w:val="21"/>
              </w:rPr>
            </w:pPr>
          </w:p>
        </w:tc>
        <w:tc>
          <w:tcPr>
            <w:tcW w:w="860" w:type="pct"/>
            <w:vMerge w:val="continue"/>
            <w:vAlign w:val="center"/>
          </w:tcPr>
          <w:p w14:paraId="1C870F81">
            <w:pPr>
              <w:adjustRightInd w:val="0"/>
              <w:snapToGrid w:val="0"/>
              <w:jc w:val="center"/>
              <w:rPr>
                <w:rFonts w:hint="eastAsia"/>
                <w:color w:val="auto"/>
                <w:sz w:val="21"/>
                <w:szCs w:val="21"/>
                <w:lang w:val="en-US" w:eastAsia="zh-CN"/>
              </w:rPr>
            </w:pPr>
          </w:p>
        </w:tc>
        <w:tc>
          <w:tcPr>
            <w:tcW w:w="734" w:type="pct"/>
            <w:vAlign w:val="center"/>
          </w:tcPr>
          <w:p w14:paraId="196F932F">
            <w:pPr>
              <w:pStyle w:val="67"/>
              <w:adjustRightInd w:val="0"/>
              <w:snapToGrid w:val="0"/>
              <w:jc w:val="center"/>
              <w:rPr>
                <w:rFonts w:hint="eastAsia"/>
                <w:color w:val="auto"/>
                <w:sz w:val="21"/>
                <w:szCs w:val="21"/>
                <w:lang w:val="en-US" w:eastAsia="zh-CN"/>
              </w:rPr>
            </w:pPr>
            <w:r>
              <w:rPr>
                <w:color w:val="auto"/>
                <w:sz w:val="21"/>
                <w:szCs w:val="21"/>
              </w:rPr>
              <w:t>NH</w:t>
            </w:r>
            <w:r>
              <w:rPr>
                <w:color w:val="auto"/>
                <w:sz w:val="21"/>
                <w:szCs w:val="21"/>
                <w:vertAlign w:val="subscript"/>
              </w:rPr>
              <w:t>3</w:t>
            </w:r>
            <w:r>
              <w:rPr>
                <w:color w:val="auto"/>
                <w:sz w:val="21"/>
                <w:szCs w:val="21"/>
              </w:rPr>
              <w:t>-N</w:t>
            </w:r>
          </w:p>
        </w:tc>
        <w:tc>
          <w:tcPr>
            <w:tcW w:w="1009" w:type="pct"/>
            <w:vMerge w:val="continue"/>
            <w:vAlign w:val="center"/>
          </w:tcPr>
          <w:p w14:paraId="272C9A74">
            <w:pPr>
              <w:adjustRightInd w:val="0"/>
              <w:snapToGrid w:val="0"/>
              <w:jc w:val="center"/>
              <w:rPr>
                <w:rFonts w:hint="eastAsia"/>
                <w:color w:val="auto"/>
                <w:sz w:val="21"/>
                <w:szCs w:val="21"/>
                <w:lang w:val="en-US" w:eastAsia="zh-CN"/>
              </w:rPr>
            </w:pPr>
          </w:p>
        </w:tc>
        <w:tc>
          <w:tcPr>
            <w:tcW w:w="1517" w:type="pct"/>
            <w:vMerge w:val="continue"/>
            <w:vAlign w:val="center"/>
          </w:tcPr>
          <w:p w14:paraId="239A881F">
            <w:pPr>
              <w:adjustRightInd w:val="0"/>
              <w:snapToGrid w:val="0"/>
              <w:jc w:val="center"/>
              <w:rPr>
                <w:rFonts w:hint="eastAsia"/>
                <w:color w:val="auto"/>
                <w:sz w:val="21"/>
                <w:szCs w:val="21"/>
                <w:lang w:val="en-US" w:eastAsia="zh-CN"/>
              </w:rPr>
            </w:pPr>
          </w:p>
        </w:tc>
      </w:tr>
      <w:tr w14:paraId="2A2B0FD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78" w:type="pct"/>
            <w:vAlign w:val="center"/>
          </w:tcPr>
          <w:p w14:paraId="394BBD04">
            <w:pPr>
              <w:adjustRightInd w:val="0"/>
              <w:snapToGrid w:val="0"/>
              <w:jc w:val="center"/>
              <w:rPr>
                <w:color w:val="auto"/>
                <w:sz w:val="21"/>
                <w:szCs w:val="21"/>
              </w:rPr>
            </w:pPr>
            <w:r>
              <w:rPr>
                <w:color w:val="auto"/>
                <w:sz w:val="21"/>
                <w:szCs w:val="21"/>
              </w:rPr>
              <w:t>声环境</w:t>
            </w:r>
          </w:p>
        </w:tc>
        <w:tc>
          <w:tcPr>
            <w:tcW w:w="860" w:type="pct"/>
            <w:vAlign w:val="center"/>
          </w:tcPr>
          <w:p w14:paraId="0B8C9064">
            <w:pPr>
              <w:adjustRightInd w:val="0"/>
              <w:snapToGrid w:val="0"/>
              <w:jc w:val="center"/>
              <w:rPr>
                <w:rFonts w:hint="eastAsia" w:eastAsia="宋体"/>
                <w:color w:val="auto"/>
                <w:sz w:val="21"/>
                <w:szCs w:val="21"/>
                <w:lang w:eastAsia="zh-CN"/>
              </w:rPr>
            </w:pPr>
            <w:r>
              <w:rPr>
                <w:rFonts w:hint="eastAsia"/>
                <w:color w:val="auto"/>
                <w:sz w:val="21"/>
                <w:szCs w:val="21"/>
                <w:lang w:val="en-US" w:eastAsia="zh-CN"/>
              </w:rPr>
              <w:t>风机</w:t>
            </w:r>
          </w:p>
        </w:tc>
        <w:tc>
          <w:tcPr>
            <w:tcW w:w="734" w:type="pct"/>
            <w:vAlign w:val="center"/>
          </w:tcPr>
          <w:p w14:paraId="1526FFEE">
            <w:pPr>
              <w:adjustRightInd w:val="0"/>
              <w:snapToGrid w:val="0"/>
              <w:jc w:val="center"/>
              <w:rPr>
                <w:rFonts w:hint="eastAsia" w:eastAsia="宋体"/>
                <w:color w:val="auto"/>
                <w:sz w:val="21"/>
                <w:szCs w:val="21"/>
                <w:lang w:eastAsia="zh-CN"/>
              </w:rPr>
            </w:pPr>
            <w:r>
              <w:rPr>
                <w:color w:val="auto"/>
                <w:sz w:val="21"/>
                <w:szCs w:val="21"/>
              </w:rPr>
              <w:t>Leq(A)</w:t>
            </w:r>
          </w:p>
        </w:tc>
        <w:tc>
          <w:tcPr>
            <w:tcW w:w="1009" w:type="pct"/>
            <w:vAlign w:val="center"/>
          </w:tcPr>
          <w:p w14:paraId="1004F9E6">
            <w:pPr>
              <w:adjustRightInd w:val="0"/>
              <w:snapToGrid w:val="0"/>
              <w:jc w:val="center"/>
              <w:rPr>
                <w:rFonts w:hint="eastAsia" w:eastAsia="宋体"/>
                <w:color w:val="auto"/>
                <w:sz w:val="21"/>
                <w:szCs w:val="21"/>
                <w:lang w:eastAsia="zh-CN"/>
              </w:rPr>
            </w:pPr>
            <w:r>
              <w:rPr>
                <w:color w:val="auto"/>
                <w:sz w:val="21"/>
                <w:szCs w:val="21"/>
              </w:rPr>
              <w:t>采取隔声、基础减震等降噪措施</w:t>
            </w:r>
          </w:p>
        </w:tc>
        <w:tc>
          <w:tcPr>
            <w:tcW w:w="1517" w:type="pct"/>
            <w:vAlign w:val="center"/>
          </w:tcPr>
          <w:p w14:paraId="49A01518">
            <w:pPr>
              <w:adjustRightInd w:val="0"/>
              <w:snapToGrid w:val="0"/>
              <w:jc w:val="center"/>
              <w:rPr>
                <w:rFonts w:hint="eastAsia" w:eastAsia="宋体"/>
                <w:color w:val="auto"/>
                <w:sz w:val="21"/>
                <w:szCs w:val="21"/>
                <w:lang w:eastAsia="zh-CN"/>
              </w:rPr>
            </w:pPr>
            <w:r>
              <w:rPr>
                <w:color w:val="auto"/>
                <w:sz w:val="21"/>
                <w:szCs w:val="21"/>
              </w:rPr>
              <w:t>《工业企业厂界环境噪声排放标准》（GB12348-2008）中</w:t>
            </w:r>
            <w:r>
              <w:rPr>
                <w:rFonts w:hint="eastAsia"/>
                <w:color w:val="auto"/>
                <w:sz w:val="21"/>
                <w:szCs w:val="21"/>
                <w:lang w:val="en-US" w:eastAsia="zh-CN"/>
              </w:rPr>
              <w:t>2</w:t>
            </w:r>
            <w:r>
              <w:rPr>
                <w:color w:val="auto"/>
                <w:sz w:val="21"/>
                <w:szCs w:val="21"/>
              </w:rPr>
              <w:t>类标准</w:t>
            </w:r>
          </w:p>
        </w:tc>
      </w:tr>
      <w:tr w14:paraId="1EB2BB9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78" w:type="pct"/>
            <w:vAlign w:val="center"/>
          </w:tcPr>
          <w:p w14:paraId="00047A27">
            <w:pPr>
              <w:adjustRightInd w:val="0"/>
              <w:snapToGrid w:val="0"/>
              <w:jc w:val="center"/>
              <w:rPr>
                <w:color w:val="auto"/>
                <w:sz w:val="21"/>
                <w:szCs w:val="21"/>
              </w:rPr>
            </w:pPr>
            <w:r>
              <w:rPr>
                <w:color w:val="auto"/>
                <w:sz w:val="21"/>
                <w:szCs w:val="21"/>
              </w:rPr>
              <w:t>电磁辐射</w:t>
            </w:r>
          </w:p>
        </w:tc>
        <w:tc>
          <w:tcPr>
            <w:tcW w:w="860" w:type="pct"/>
            <w:vAlign w:val="center"/>
          </w:tcPr>
          <w:p w14:paraId="62F3E66B">
            <w:pPr>
              <w:adjustRightInd w:val="0"/>
              <w:snapToGrid w:val="0"/>
              <w:jc w:val="center"/>
              <w:rPr>
                <w:color w:val="auto"/>
                <w:sz w:val="21"/>
                <w:szCs w:val="21"/>
              </w:rPr>
            </w:pPr>
            <w:r>
              <w:rPr>
                <w:color w:val="auto"/>
                <w:sz w:val="21"/>
                <w:szCs w:val="21"/>
              </w:rPr>
              <w:t>/</w:t>
            </w:r>
          </w:p>
        </w:tc>
        <w:tc>
          <w:tcPr>
            <w:tcW w:w="734" w:type="pct"/>
            <w:vAlign w:val="center"/>
          </w:tcPr>
          <w:p w14:paraId="5F6399A0">
            <w:pPr>
              <w:adjustRightInd w:val="0"/>
              <w:snapToGrid w:val="0"/>
              <w:jc w:val="center"/>
              <w:rPr>
                <w:color w:val="auto"/>
                <w:sz w:val="21"/>
                <w:szCs w:val="21"/>
              </w:rPr>
            </w:pPr>
            <w:r>
              <w:rPr>
                <w:color w:val="auto"/>
                <w:sz w:val="21"/>
                <w:szCs w:val="21"/>
              </w:rPr>
              <w:t>/</w:t>
            </w:r>
          </w:p>
        </w:tc>
        <w:tc>
          <w:tcPr>
            <w:tcW w:w="1009" w:type="pct"/>
            <w:vAlign w:val="center"/>
          </w:tcPr>
          <w:p w14:paraId="36109D78">
            <w:pPr>
              <w:adjustRightInd w:val="0"/>
              <w:snapToGrid w:val="0"/>
              <w:jc w:val="center"/>
              <w:rPr>
                <w:color w:val="auto"/>
                <w:sz w:val="21"/>
                <w:szCs w:val="21"/>
              </w:rPr>
            </w:pPr>
            <w:r>
              <w:rPr>
                <w:color w:val="auto"/>
                <w:sz w:val="21"/>
                <w:szCs w:val="21"/>
              </w:rPr>
              <w:t>/</w:t>
            </w:r>
          </w:p>
        </w:tc>
        <w:tc>
          <w:tcPr>
            <w:tcW w:w="1517" w:type="pct"/>
            <w:vAlign w:val="center"/>
          </w:tcPr>
          <w:p w14:paraId="31329801">
            <w:pPr>
              <w:adjustRightInd w:val="0"/>
              <w:snapToGrid w:val="0"/>
              <w:jc w:val="center"/>
              <w:rPr>
                <w:color w:val="auto"/>
                <w:sz w:val="21"/>
                <w:szCs w:val="21"/>
              </w:rPr>
            </w:pPr>
            <w:r>
              <w:rPr>
                <w:color w:val="auto"/>
                <w:sz w:val="21"/>
                <w:szCs w:val="21"/>
              </w:rPr>
              <w:t>/</w:t>
            </w:r>
          </w:p>
        </w:tc>
      </w:tr>
      <w:tr w14:paraId="2D5B82C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78" w:type="pct"/>
            <w:vAlign w:val="center"/>
          </w:tcPr>
          <w:p w14:paraId="3B43C310">
            <w:pPr>
              <w:adjustRightInd w:val="0"/>
              <w:snapToGrid w:val="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固体废物</w:t>
            </w:r>
          </w:p>
        </w:tc>
        <w:tc>
          <w:tcPr>
            <w:tcW w:w="4121" w:type="pct"/>
            <w:gridSpan w:val="4"/>
            <w:vAlign w:val="center"/>
          </w:tcPr>
          <w:p w14:paraId="7CB8E7A3">
            <w:pPr>
              <w:keepNext w:val="0"/>
              <w:keepLines w:val="0"/>
              <w:pageBreakBefore w:val="0"/>
              <w:widowControl w:val="0"/>
              <w:numPr>
                <w:ilvl w:val="0"/>
                <w:numId w:val="0"/>
              </w:numPr>
              <w:kinsoku/>
              <w:wordWrap/>
              <w:overflowPunct/>
              <w:topLinePunct w:val="0"/>
              <w:autoSpaceDE/>
              <w:autoSpaceDN/>
              <w:bidi w:val="0"/>
              <w:adjustRightInd w:val="0"/>
              <w:snapToGrid w:val="0"/>
              <w:spacing w:line="340" w:lineRule="exact"/>
              <w:ind w:leftChars="0" w:firstLine="420" w:firstLineChars="200"/>
              <w:jc w:val="left"/>
              <w:textAlignment w:val="auto"/>
              <w:rPr>
                <w:rFonts w:hint="default"/>
                <w:bCs/>
                <w:color w:val="auto"/>
                <w:sz w:val="21"/>
                <w:szCs w:val="21"/>
                <w:lang w:val="en-US" w:eastAsia="zh-CN"/>
              </w:rPr>
            </w:pPr>
            <w:r>
              <w:rPr>
                <w:rFonts w:hint="eastAsia"/>
                <w:bCs/>
                <w:color w:val="auto"/>
                <w:sz w:val="21"/>
                <w:szCs w:val="21"/>
                <w:lang w:val="en-US" w:eastAsia="zh-CN"/>
              </w:rPr>
              <w:t>产生的废抹布手套、废活性炭均作为危险废物，收集暂存于相应的贮存区，委托给有资质单位利用处置。生活垃圾收集至垃圾桶，由环卫部门清运处理。</w:t>
            </w:r>
          </w:p>
        </w:tc>
      </w:tr>
      <w:tr w14:paraId="310E186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1" w:hRule="atLeast"/>
          <w:jc w:val="center"/>
        </w:trPr>
        <w:tc>
          <w:tcPr>
            <w:tcW w:w="878" w:type="pct"/>
            <w:vAlign w:val="center"/>
          </w:tcPr>
          <w:p w14:paraId="43F9B0B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 w:val="21"/>
                <w:szCs w:val="21"/>
              </w:rPr>
            </w:pPr>
            <w:r>
              <w:rPr>
                <w:color w:val="auto"/>
                <w:sz w:val="21"/>
                <w:szCs w:val="21"/>
              </w:rPr>
              <w:t>土壤及地下水</w:t>
            </w:r>
          </w:p>
          <w:p w14:paraId="527CA4A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 w:val="21"/>
                <w:szCs w:val="21"/>
              </w:rPr>
            </w:pPr>
            <w:r>
              <w:rPr>
                <w:color w:val="auto"/>
                <w:sz w:val="21"/>
                <w:szCs w:val="21"/>
              </w:rPr>
              <w:t>污染防治措施</w:t>
            </w:r>
          </w:p>
        </w:tc>
        <w:tc>
          <w:tcPr>
            <w:tcW w:w="4121" w:type="pct"/>
            <w:gridSpan w:val="4"/>
            <w:vAlign w:val="center"/>
          </w:tcPr>
          <w:p w14:paraId="458EA803">
            <w:pPr>
              <w:keepNext w:val="0"/>
              <w:keepLines w:val="0"/>
              <w:pageBreakBefore w:val="0"/>
              <w:widowControl w:val="0"/>
              <w:numPr>
                <w:ilvl w:val="0"/>
                <w:numId w:val="0"/>
              </w:numPr>
              <w:kinsoku/>
              <w:wordWrap/>
              <w:overflowPunct/>
              <w:topLinePunct w:val="0"/>
              <w:autoSpaceDE/>
              <w:autoSpaceDN/>
              <w:bidi w:val="0"/>
              <w:adjustRightInd w:val="0"/>
              <w:snapToGrid w:val="0"/>
              <w:spacing w:line="340" w:lineRule="exact"/>
              <w:ind w:leftChars="0" w:firstLine="420" w:firstLineChars="200"/>
              <w:jc w:val="left"/>
              <w:textAlignment w:val="auto"/>
              <w:rPr>
                <w:rFonts w:hint="eastAsia"/>
                <w:bCs/>
                <w:color w:val="auto"/>
                <w:sz w:val="21"/>
                <w:szCs w:val="21"/>
                <w:lang w:val="en-US" w:eastAsia="zh-CN"/>
              </w:rPr>
            </w:pPr>
            <w:r>
              <w:rPr>
                <w:rFonts w:hint="eastAsia"/>
                <w:bCs/>
                <w:color w:val="auto"/>
                <w:sz w:val="21"/>
                <w:szCs w:val="21"/>
                <w:lang w:val="en-US" w:eastAsia="zh-CN"/>
              </w:rPr>
              <w:t>严格按照</w:t>
            </w:r>
            <w:r>
              <w:rPr>
                <w:rFonts w:hint="default"/>
                <w:bCs/>
                <w:color w:val="auto"/>
                <w:sz w:val="21"/>
                <w:szCs w:val="21"/>
                <w:lang w:val="en-US" w:eastAsia="zh-CN"/>
              </w:rPr>
              <w:t>《危险废物贮存污染控制标准》</w:t>
            </w:r>
            <w:r>
              <w:rPr>
                <w:rFonts w:hint="eastAsia"/>
                <w:bCs/>
                <w:color w:val="auto"/>
                <w:sz w:val="21"/>
                <w:szCs w:val="21"/>
                <w:lang w:val="en-US" w:eastAsia="zh-CN"/>
              </w:rPr>
              <w:t>（</w:t>
            </w:r>
            <w:r>
              <w:rPr>
                <w:rFonts w:hint="default"/>
                <w:bCs/>
                <w:color w:val="auto"/>
                <w:sz w:val="21"/>
                <w:szCs w:val="21"/>
                <w:lang w:val="en-US" w:eastAsia="zh-CN"/>
              </w:rPr>
              <w:t>GB18597-2023</w:t>
            </w:r>
            <w:r>
              <w:rPr>
                <w:rFonts w:hint="eastAsia"/>
                <w:bCs/>
                <w:color w:val="auto"/>
                <w:sz w:val="21"/>
                <w:szCs w:val="21"/>
                <w:lang w:val="en-US" w:eastAsia="zh-CN"/>
              </w:rPr>
              <w:t>）、</w:t>
            </w:r>
            <w:r>
              <w:rPr>
                <w:rFonts w:hint="default"/>
                <w:bCs/>
                <w:color w:val="auto"/>
                <w:sz w:val="21"/>
                <w:szCs w:val="21"/>
                <w:lang w:val="en-US" w:eastAsia="zh-CN"/>
              </w:rPr>
              <w:t>《危险废物收集贮存运输技术规范》</w:t>
            </w:r>
            <w:r>
              <w:rPr>
                <w:rFonts w:hint="eastAsia"/>
                <w:bCs/>
                <w:color w:val="auto"/>
                <w:sz w:val="21"/>
                <w:szCs w:val="21"/>
                <w:lang w:val="en-US" w:eastAsia="zh-CN"/>
              </w:rPr>
              <w:t>（</w:t>
            </w:r>
            <w:r>
              <w:rPr>
                <w:rFonts w:hint="default"/>
                <w:bCs/>
                <w:color w:val="auto"/>
                <w:sz w:val="21"/>
                <w:szCs w:val="21"/>
                <w:lang w:val="en-US" w:eastAsia="zh-CN"/>
              </w:rPr>
              <w:t>HJ2025-2012</w:t>
            </w:r>
            <w:r>
              <w:rPr>
                <w:rFonts w:hint="eastAsia"/>
                <w:bCs/>
                <w:color w:val="auto"/>
                <w:sz w:val="21"/>
                <w:szCs w:val="21"/>
                <w:lang w:val="en-US" w:eastAsia="zh-CN"/>
              </w:rPr>
              <w:t>）等文件进行建设，做好厂区防腐防渗，设置导流沟、收集池，并定期检查，避免污染。</w:t>
            </w:r>
          </w:p>
        </w:tc>
      </w:tr>
      <w:tr w14:paraId="52D209B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78" w:type="pct"/>
            <w:vAlign w:val="center"/>
          </w:tcPr>
          <w:p w14:paraId="5472FCC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 w:val="21"/>
                <w:szCs w:val="21"/>
              </w:rPr>
            </w:pPr>
            <w:r>
              <w:rPr>
                <w:color w:val="auto"/>
                <w:sz w:val="21"/>
                <w:szCs w:val="21"/>
              </w:rPr>
              <w:t>生态保护措施</w:t>
            </w:r>
          </w:p>
        </w:tc>
        <w:tc>
          <w:tcPr>
            <w:tcW w:w="4121" w:type="pct"/>
            <w:gridSpan w:val="4"/>
            <w:vAlign w:val="center"/>
          </w:tcPr>
          <w:p w14:paraId="58B267F7">
            <w:pPr>
              <w:keepNext w:val="0"/>
              <w:keepLines w:val="0"/>
              <w:pageBreakBefore w:val="0"/>
              <w:widowControl w:val="0"/>
              <w:kinsoku/>
              <w:wordWrap/>
              <w:overflowPunct/>
              <w:topLinePunct w:val="0"/>
              <w:autoSpaceDE/>
              <w:autoSpaceDN/>
              <w:bidi w:val="0"/>
              <w:adjustRightInd w:val="0"/>
              <w:snapToGrid w:val="0"/>
              <w:spacing w:line="340" w:lineRule="exact"/>
              <w:ind w:leftChars="0" w:firstLine="420" w:firstLineChars="200"/>
              <w:jc w:val="left"/>
              <w:textAlignment w:val="auto"/>
              <w:rPr>
                <w:color w:val="auto"/>
                <w:sz w:val="21"/>
                <w:szCs w:val="21"/>
              </w:rPr>
            </w:pPr>
            <w:r>
              <w:rPr>
                <w:rFonts w:hint="eastAsia" w:ascii="Times New Roman" w:hAnsi="Times New Roman" w:eastAsia="宋体" w:cs="Times New Roman"/>
                <w:bCs/>
                <w:color w:val="auto"/>
                <w:sz w:val="21"/>
                <w:szCs w:val="21"/>
              </w:rPr>
              <w:t>本项目</w:t>
            </w:r>
            <w:r>
              <w:rPr>
                <w:rFonts w:hint="eastAsia" w:ascii="Times New Roman" w:hAnsi="Times New Roman" w:eastAsia="宋体" w:cs="Times New Roman"/>
                <w:bCs/>
                <w:color w:val="auto"/>
                <w:sz w:val="21"/>
                <w:szCs w:val="21"/>
                <w:lang w:val="en-US" w:eastAsia="zh-CN"/>
              </w:rPr>
              <w:t>租赁</w:t>
            </w:r>
            <w:r>
              <w:rPr>
                <w:rFonts w:hint="eastAsia" w:cs="Times New Roman"/>
                <w:bCs/>
                <w:color w:val="auto"/>
                <w:sz w:val="21"/>
                <w:szCs w:val="21"/>
                <w:lang w:val="en-US" w:eastAsia="zh-CN"/>
              </w:rPr>
              <w:t>现有已建成的仓库</w:t>
            </w:r>
            <w:r>
              <w:rPr>
                <w:rFonts w:hint="eastAsia" w:ascii="Times New Roman" w:hAnsi="Times New Roman" w:eastAsia="宋体" w:cs="Times New Roman"/>
                <w:bCs/>
                <w:color w:val="auto"/>
                <w:sz w:val="21"/>
                <w:szCs w:val="21"/>
              </w:rPr>
              <w:t>，无新增建设用地，无新增生态环境影响。</w:t>
            </w:r>
          </w:p>
        </w:tc>
      </w:tr>
      <w:tr w14:paraId="76CB96A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22" w:hRule="atLeast"/>
          <w:jc w:val="center"/>
        </w:trPr>
        <w:tc>
          <w:tcPr>
            <w:tcW w:w="878" w:type="pct"/>
            <w:vAlign w:val="center"/>
          </w:tcPr>
          <w:p w14:paraId="3BC7BE2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pacing w:val="-8"/>
                <w:sz w:val="21"/>
                <w:szCs w:val="21"/>
              </w:rPr>
            </w:pPr>
            <w:r>
              <w:rPr>
                <w:color w:val="auto"/>
                <w:spacing w:val="-8"/>
                <w:sz w:val="21"/>
                <w:szCs w:val="21"/>
              </w:rPr>
              <w:t>环境风险</w:t>
            </w:r>
          </w:p>
          <w:p w14:paraId="691B90D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pacing w:val="-8"/>
                <w:sz w:val="21"/>
                <w:szCs w:val="21"/>
              </w:rPr>
            </w:pPr>
            <w:r>
              <w:rPr>
                <w:color w:val="auto"/>
                <w:spacing w:val="-8"/>
                <w:sz w:val="21"/>
                <w:szCs w:val="21"/>
              </w:rPr>
              <w:t>防范措施</w:t>
            </w:r>
          </w:p>
        </w:tc>
        <w:tc>
          <w:tcPr>
            <w:tcW w:w="4121" w:type="pct"/>
            <w:gridSpan w:val="4"/>
            <w:vAlign w:val="center"/>
          </w:tcPr>
          <w:p w14:paraId="0D760B23">
            <w:pPr>
              <w:keepNext w:val="0"/>
              <w:keepLines w:val="0"/>
              <w:pageBreakBefore w:val="0"/>
              <w:widowControl w:val="0"/>
              <w:numPr>
                <w:ilvl w:val="0"/>
                <w:numId w:val="0"/>
              </w:numPr>
              <w:kinsoku/>
              <w:wordWrap/>
              <w:overflowPunct/>
              <w:topLinePunct w:val="0"/>
              <w:autoSpaceDE/>
              <w:autoSpaceDN/>
              <w:bidi w:val="0"/>
              <w:adjustRightInd w:val="0"/>
              <w:snapToGrid w:val="0"/>
              <w:spacing w:line="340" w:lineRule="exact"/>
              <w:ind w:leftChars="0" w:firstLine="420" w:firstLineChars="200"/>
              <w:jc w:val="left"/>
              <w:textAlignment w:val="auto"/>
              <w:rPr>
                <w:color w:val="auto"/>
                <w:sz w:val="21"/>
                <w:szCs w:val="21"/>
              </w:rPr>
            </w:pPr>
            <w:r>
              <w:rPr>
                <w:rFonts w:hint="eastAsia"/>
                <w:bCs/>
                <w:color w:val="auto"/>
                <w:sz w:val="21"/>
                <w:szCs w:val="21"/>
                <w:lang w:val="en-US" w:eastAsia="zh-CN"/>
              </w:rPr>
              <w:t>仓库建设采取相应的防腐防渗措施；设置导流沟、收集池、</w:t>
            </w:r>
            <w:r>
              <w:rPr>
                <w:rFonts w:hint="eastAsia"/>
                <w:bCs/>
                <w:color w:val="auto"/>
                <w:sz w:val="21"/>
                <w:szCs w:val="21"/>
              </w:rPr>
              <w:t>事故池</w:t>
            </w:r>
            <w:r>
              <w:rPr>
                <w:rFonts w:hint="eastAsia"/>
                <w:bCs/>
                <w:color w:val="auto"/>
                <w:sz w:val="21"/>
                <w:szCs w:val="21"/>
                <w:lang w:val="en-US" w:eastAsia="zh-CN"/>
              </w:rPr>
              <w:t>收集事故废水</w:t>
            </w:r>
            <w:r>
              <w:rPr>
                <w:rFonts w:hint="eastAsia"/>
                <w:bCs/>
                <w:color w:val="auto"/>
                <w:sz w:val="21"/>
                <w:szCs w:val="21"/>
              </w:rPr>
              <w:t>；</w:t>
            </w:r>
            <w:r>
              <w:rPr>
                <w:color w:val="auto"/>
                <w:sz w:val="21"/>
                <w:szCs w:val="21"/>
              </w:rPr>
              <w:t>加强日常管理及维护保养，工作人员规范操作；</w:t>
            </w:r>
            <w:r>
              <w:rPr>
                <w:rFonts w:hint="eastAsia"/>
                <w:color w:val="auto"/>
                <w:sz w:val="21"/>
                <w:szCs w:val="21"/>
                <w:lang w:val="en-US" w:eastAsia="zh-CN"/>
              </w:rPr>
              <w:t>按要求进行应急预案的修编及演练，配备相应的应急物资；等</w:t>
            </w:r>
          </w:p>
        </w:tc>
      </w:tr>
      <w:tr w14:paraId="6CA153C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02" w:hRule="atLeast"/>
          <w:jc w:val="center"/>
        </w:trPr>
        <w:tc>
          <w:tcPr>
            <w:tcW w:w="878" w:type="pct"/>
            <w:vAlign w:val="center"/>
          </w:tcPr>
          <w:p w14:paraId="698267A4">
            <w:pPr>
              <w:adjustRightInd w:val="0"/>
              <w:snapToGrid w:val="0"/>
              <w:jc w:val="center"/>
              <w:rPr>
                <w:color w:val="auto"/>
                <w:spacing w:val="-8"/>
                <w:sz w:val="21"/>
                <w:szCs w:val="21"/>
              </w:rPr>
            </w:pPr>
            <w:r>
              <w:rPr>
                <w:color w:val="auto"/>
                <w:spacing w:val="-8"/>
                <w:sz w:val="21"/>
                <w:szCs w:val="21"/>
              </w:rPr>
              <w:t>其他环境</w:t>
            </w:r>
          </w:p>
          <w:p w14:paraId="635287D3">
            <w:pPr>
              <w:adjustRightInd w:val="0"/>
              <w:snapToGrid w:val="0"/>
              <w:jc w:val="center"/>
              <w:rPr>
                <w:color w:val="auto"/>
                <w:spacing w:val="-8"/>
                <w:sz w:val="21"/>
                <w:szCs w:val="21"/>
              </w:rPr>
            </w:pPr>
            <w:r>
              <w:rPr>
                <w:color w:val="auto"/>
                <w:spacing w:val="-8"/>
                <w:sz w:val="21"/>
                <w:szCs w:val="21"/>
              </w:rPr>
              <w:t>管理要求</w:t>
            </w:r>
          </w:p>
        </w:tc>
        <w:tc>
          <w:tcPr>
            <w:tcW w:w="4121" w:type="pct"/>
            <w:gridSpan w:val="4"/>
            <w:vAlign w:val="center"/>
          </w:tcPr>
          <w:p w14:paraId="15C718C7">
            <w:pPr>
              <w:keepNext w:val="0"/>
              <w:keepLines w:val="0"/>
              <w:pageBreakBefore w:val="0"/>
              <w:widowControl w:val="0"/>
              <w:numPr>
                <w:ilvl w:val="0"/>
                <w:numId w:val="47"/>
              </w:numPr>
              <w:kinsoku/>
              <w:wordWrap/>
              <w:overflowPunct/>
              <w:topLinePunct w:val="0"/>
              <w:autoSpaceDE/>
              <w:autoSpaceDN/>
              <w:bidi w:val="0"/>
              <w:adjustRightInd w:val="0"/>
              <w:snapToGrid w:val="0"/>
              <w:spacing w:line="340" w:lineRule="exact"/>
              <w:ind w:left="0" w:leftChars="0" w:firstLine="420" w:firstLineChars="200"/>
              <w:jc w:val="left"/>
              <w:textAlignment w:val="auto"/>
              <w:rPr>
                <w:rFonts w:hint="eastAsia" w:ascii="Times New Roman" w:hAnsi="Times New Roman" w:eastAsia="宋体" w:cs="Times New Roman"/>
                <w:bCs/>
                <w:color w:val="auto"/>
                <w:sz w:val="21"/>
                <w:szCs w:val="21"/>
              </w:rPr>
            </w:pPr>
            <w:r>
              <w:rPr>
                <w:rFonts w:hint="eastAsia" w:ascii="Times New Roman" w:hAnsi="Times New Roman" w:eastAsia="宋体" w:cs="Times New Roman"/>
                <w:bCs/>
                <w:color w:val="auto"/>
                <w:sz w:val="21"/>
                <w:szCs w:val="21"/>
              </w:rPr>
              <w:t>环境保护管理体系</w:t>
            </w:r>
          </w:p>
          <w:p w14:paraId="415035AD">
            <w:pPr>
              <w:keepNext w:val="0"/>
              <w:keepLines w:val="0"/>
              <w:pageBreakBefore w:val="0"/>
              <w:widowControl w:val="0"/>
              <w:kinsoku/>
              <w:wordWrap/>
              <w:overflowPunct/>
              <w:topLinePunct w:val="0"/>
              <w:autoSpaceDE/>
              <w:autoSpaceDN/>
              <w:bidi w:val="0"/>
              <w:adjustRightInd w:val="0"/>
              <w:snapToGrid w:val="0"/>
              <w:spacing w:line="340" w:lineRule="exact"/>
              <w:ind w:firstLine="420" w:firstLineChars="200"/>
              <w:jc w:val="left"/>
              <w:textAlignment w:val="auto"/>
              <w:rPr>
                <w:rFonts w:hint="eastAsia" w:ascii="Times New Roman" w:hAnsi="Times New Roman" w:eastAsia="宋体" w:cs="Times New Roman"/>
                <w:bCs/>
                <w:color w:val="auto"/>
                <w:sz w:val="21"/>
                <w:szCs w:val="21"/>
              </w:rPr>
            </w:pPr>
            <w:r>
              <w:rPr>
                <w:rFonts w:hint="eastAsia" w:ascii="Times New Roman" w:hAnsi="Times New Roman" w:eastAsia="宋体" w:cs="Times New Roman"/>
                <w:bCs/>
                <w:color w:val="auto"/>
                <w:sz w:val="21"/>
                <w:szCs w:val="21"/>
              </w:rPr>
              <w:t>为做好环境管理工作，公司</w:t>
            </w:r>
            <w:r>
              <w:rPr>
                <w:rFonts w:hint="eastAsia" w:cs="Times New Roman"/>
                <w:bCs/>
                <w:color w:val="auto"/>
                <w:sz w:val="21"/>
                <w:szCs w:val="21"/>
                <w:lang w:val="en-US" w:eastAsia="zh-CN"/>
              </w:rPr>
              <w:t>已</w:t>
            </w:r>
            <w:r>
              <w:rPr>
                <w:rFonts w:hint="eastAsia" w:ascii="Times New Roman" w:hAnsi="Times New Roman" w:eastAsia="宋体" w:cs="Times New Roman"/>
                <w:bCs/>
                <w:color w:val="auto"/>
                <w:sz w:val="21"/>
                <w:szCs w:val="21"/>
              </w:rPr>
              <w:t>建立环境管理体系，将环境管理工作自上而下的贯穿到公司的生产管理中。</w:t>
            </w:r>
          </w:p>
          <w:p w14:paraId="14888F80">
            <w:pPr>
              <w:keepNext w:val="0"/>
              <w:keepLines w:val="0"/>
              <w:pageBreakBefore w:val="0"/>
              <w:widowControl w:val="0"/>
              <w:numPr>
                <w:ilvl w:val="0"/>
                <w:numId w:val="47"/>
              </w:numPr>
              <w:kinsoku/>
              <w:wordWrap/>
              <w:overflowPunct/>
              <w:topLinePunct w:val="0"/>
              <w:autoSpaceDE/>
              <w:autoSpaceDN/>
              <w:bidi w:val="0"/>
              <w:adjustRightInd w:val="0"/>
              <w:snapToGrid w:val="0"/>
              <w:spacing w:line="340" w:lineRule="exact"/>
              <w:ind w:left="0" w:leftChars="0" w:firstLine="420" w:firstLineChars="200"/>
              <w:jc w:val="left"/>
              <w:textAlignment w:val="auto"/>
              <w:rPr>
                <w:rFonts w:hint="eastAsia" w:ascii="Times New Roman" w:hAnsi="Times New Roman" w:eastAsia="宋体" w:cs="Times New Roman"/>
                <w:bCs/>
                <w:color w:val="auto"/>
                <w:sz w:val="21"/>
                <w:szCs w:val="21"/>
              </w:rPr>
            </w:pPr>
            <w:r>
              <w:rPr>
                <w:rFonts w:hint="eastAsia" w:ascii="Times New Roman" w:hAnsi="Times New Roman" w:eastAsia="宋体" w:cs="Times New Roman"/>
                <w:bCs/>
                <w:color w:val="auto"/>
                <w:sz w:val="21"/>
                <w:szCs w:val="21"/>
              </w:rPr>
              <w:t>环境管理规章制度</w:t>
            </w:r>
          </w:p>
          <w:p w14:paraId="16BC1AE2">
            <w:pPr>
              <w:keepNext w:val="0"/>
              <w:keepLines w:val="0"/>
              <w:pageBreakBefore w:val="0"/>
              <w:widowControl w:val="0"/>
              <w:kinsoku/>
              <w:wordWrap/>
              <w:overflowPunct/>
              <w:topLinePunct w:val="0"/>
              <w:autoSpaceDE/>
              <w:autoSpaceDN/>
              <w:bidi w:val="0"/>
              <w:adjustRightInd w:val="0"/>
              <w:snapToGrid w:val="0"/>
              <w:spacing w:line="340" w:lineRule="exact"/>
              <w:ind w:firstLine="420" w:firstLineChars="200"/>
              <w:jc w:val="left"/>
              <w:textAlignment w:val="auto"/>
              <w:rPr>
                <w:rFonts w:hint="eastAsia" w:ascii="Times New Roman" w:hAnsi="Times New Roman" w:eastAsia="宋体" w:cs="Times New Roman"/>
                <w:bCs/>
                <w:color w:val="auto"/>
                <w:sz w:val="21"/>
                <w:szCs w:val="21"/>
              </w:rPr>
            </w:pPr>
            <w:r>
              <w:rPr>
                <w:rFonts w:hint="eastAsia" w:ascii="Times New Roman" w:hAnsi="Times New Roman" w:eastAsia="宋体" w:cs="Times New Roman"/>
                <w:bCs/>
                <w:color w:val="auto"/>
                <w:sz w:val="21"/>
                <w:szCs w:val="21"/>
              </w:rPr>
              <w:t>建立和完善环境管理制度，是公司环境管理体系的重要组成部分。</w:t>
            </w:r>
          </w:p>
          <w:p w14:paraId="7E84859C">
            <w:pPr>
              <w:keepNext w:val="0"/>
              <w:keepLines w:val="0"/>
              <w:pageBreakBefore w:val="0"/>
              <w:widowControl w:val="0"/>
              <w:numPr>
                <w:ilvl w:val="0"/>
                <w:numId w:val="47"/>
              </w:numPr>
              <w:kinsoku/>
              <w:wordWrap/>
              <w:overflowPunct/>
              <w:topLinePunct w:val="0"/>
              <w:autoSpaceDE/>
              <w:autoSpaceDN/>
              <w:bidi w:val="0"/>
              <w:adjustRightInd w:val="0"/>
              <w:snapToGrid/>
              <w:spacing w:line="340" w:lineRule="exact"/>
              <w:ind w:left="0" w:leftChars="0" w:firstLine="420" w:firstLineChars="200"/>
              <w:jc w:val="left"/>
              <w:textAlignment w:val="auto"/>
              <w:rPr>
                <w:rFonts w:hint="eastAsia"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排污许可</w:t>
            </w:r>
          </w:p>
          <w:p w14:paraId="5F20B1FC">
            <w:pPr>
              <w:keepNext w:val="0"/>
              <w:keepLines w:val="0"/>
              <w:pageBreakBefore w:val="0"/>
              <w:widowControl w:val="0"/>
              <w:kinsoku/>
              <w:wordWrap/>
              <w:overflowPunct/>
              <w:topLinePunct w:val="0"/>
              <w:autoSpaceDE/>
              <w:autoSpaceDN/>
              <w:bidi w:val="0"/>
              <w:adjustRightInd w:val="0"/>
              <w:snapToGrid/>
              <w:spacing w:line="340" w:lineRule="exact"/>
              <w:ind w:firstLine="420" w:firstLineChars="200"/>
              <w:jc w:val="left"/>
              <w:textAlignment w:val="auto"/>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按照《排污许可管理条例》、《山东省生态环境厅关于加强排污许可管理工作的通知》（鲁环函（2020</w:t>
            </w:r>
            <w:r>
              <w:rPr>
                <w:rFonts w:hint="eastAsia" w:cs="Times New Roman"/>
                <w:bCs/>
                <w:color w:val="auto"/>
                <w:sz w:val="21"/>
                <w:szCs w:val="21"/>
                <w:lang w:val="en-US" w:eastAsia="zh-CN"/>
              </w:rPr>
              <w:t>）</w:t>
            </w:r>
            <w:r>
              <w:rPr>
                <w:rFonts w:hint="eastAsia" w:ascii="Times New Roman" w:hAnsi="Times New Roman" w:eastAsia="宋体" w:cs="Times New Roman"/>
                <w:bCs/>
                <w:color w:val="auto"/>
                <w:sz w:val="21"/>
                <w:szCs w:val="21"/>
                <w:lang w:val="en-US" w:eastAsia="zh-CN"/>
              </w:rPr>
              <w:t>14号）和《固定污染源排污许可分类管理名录》（2019年版）要求，</w:t>
            </w:r>
            <w:r>
              <w:rPr>
                <w:rFonts w:hint="eastAsia" w:cs="Times New Roman"/>
                <w:bCs/>
                <w:color w:val="auto"/>
                <w:sz w:val="21"/>
                <w:szCs w:val="21"/>
                <w:lang w:val="en-US" w:eastAsia="zh-CN"/>
              </w:rPr>
              <w:t>本次搬迁项目</w:t>
            </w:r>
            <w:r>
              <w:rPr>
                <w:rFonts w:hint="eastAsia" w:ascii="Times New Roman" w:hAnsi="Times New Roman" w:eastAsia="宋体" w:cs="Times New Roman"/>
                <w:bCs/>
                <w:color w:val="auto"/>
                <w:sz w:val="21"/>
                <w:szCs w:val="21"/>
                <w:lang w:val="en-US" w:eastAsia="zh-CN"/>
              </w:rPr>
              <w:t>应当在投入生产或使用并产生实际排污行为之前</w:t>
            </w:r>
            <w:r>
              <w:rPr>
                <w:rFonts w:hint="eastAsia" w:cs="Times New Roman"/>
                <w:bCs/>
                <w:color w:val="auto"/>
                <w:sz w:val="21"/>
                <w:szCs w:val="21"/>
                <w:lang w:val="en-US" w:eastAsia="zh-CN"/>
              </w:rPr>
              <w:t>，对现有排污许可证进行重新申请。</w:t>
            </w:r>
          </w:p>
          <w:p w14:paraId="551E5DE2">
            <w:pPr>
              <w:keepNext w:val="0"/>
              <w:keepLines w:val="0"/>
              <w:pageBreakBefore w:val="0"/>
              <w:widowControl w:val="0"/>
              <w:numPr>
                <w:ilvl w:val="0"/>
                <w:numId w:val="47"/>
              </w:numPr>
              <w:kinsoku/>
              <w:wordWrap/>
              <w:overflowPunct/>
              <w:topLinePunct w:val="0"/>
              <w:autoSpaceDE/>
              <w:autoSpaceDN/>
              <w:bidi w:val="0"/>
              <w:adjustRightInd w:val="0"/>
              <w:snapToGrid/>
              <w:spacing w:line="340" w:lineRule="exact"/>
              <w:ind w:left="0" w:leftChars="0" w:firstLine="420" w:firstLineChars="200"/>
              <w:jc w:val="left"/>
              <w:textAlignment w:val="auto"/>
              <w:rPr>
                <w:rFonts w:hint="eastAsia"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建设项目竣工环境保护验收</w:t>
            </w:r>
          </w:p>
          <w:p w14:paraId="3A5B541F">
            <w:pPr>
              <w:keepNext w:val="0"/>
              <w:keepLines w:val="0"/>
              <w:pageBreakBefore w:val="0"/>
              <w:widowControl w:val="0"/>
              <w:kinsoku/>
              <w:wordWrap/>
              <w:overflowPunct/>
              <w:topLinePunct w:val="0"/>
              <w:autoSpaceDE/>
              <w:autoSpaceDN/>
              <w:bidi w:val="0"/>
              <w:adjustRightInd w:val="0"/>
              <w:snapToGrid/>
              <w:spacing w:line="340" w:lineRule="exact"/>
              <w:ind w:firstLine="420" w:firstLineChars="200"/>
              <w:jc w:val="left"/>
              <w:textAlignment w:val="auto"/>
              <w:rPr>
                <w:rFonts w:hint="eastAsia" w:ascii="Times New Roman" w:hAnsi="Times New Roman" w:eastAsia="宋体" w:cs="Times New Roman"/>
                <w:bCs/>
                <w:color w:val="auto"/>
                <w:sz w:val="21"/>
                <w:szCs w:val="21"/>
              </w:rPr>
            </w:pPr>
            <w:r>
              <w:rPr>
                <w:rFonts w:hint="eastAsia" w:ascii="Times New Roman" w:hAnsi="Times New Roman" w:eastAsia="宋体" w:cs="Times New Roman"/>
                <w:bCs/>
                <w:color w:val="auto"/>
                <w:sz w:val="21"/>
                <w:szCs w:val="21"/>
              </w:rPr>
              <w:t>根据《建设项目环境保护管理条例》要求，编制环境影响报告表的建设项目竣工后，建设单位应当按照国务院环境保护行政主管部门规定的标准和程序，对配套建设的环境保护设施进行验收，编制验收报告。建设单位在环境保护设施验收过程中，应当如实查验、监测、记载建设项目环境保护设施的建设和调试情况，不得弄虚作假。除按照国家规定需要保密的情形外，建设单位应当依法向社会公开验收报告。编制环境影响报告表的建设项目，其配套建设的环境保护设施经验收合格，方可投入生产或者使用；未经验收或者验收不合格的，不得投入生产或者使用。</w:t>
            </w:r>
          </w:p>
          <w:p w14:paraId="29CA9BBA">
            <w:pPr>
              <w:pStyle w:val="26"/>
              <w:keepNext w:val="0"/>
              <w:keepLines w:val="0"/>
              <w:pageBreakBefore w:val="0"/>
              <w:kinsoku/>
              <w:wordWrap/>
              <w:overflowPunct/>
              <w:topLinePunct w:val="0"/>
              <w:bidi w:val="0"/>
              <w:spacing w:after="0" w:line="340" w:lineRule="exact"/>
              <w:textAlignment w:val="auto"/>
              <w:rPr>
                <w:color w:val="auto"/>
                <w:sz w:val="21"/>
                <w:szCs w:val="21"/>
              </w:rPr>
            </w:pPr>
          </w:p>
          <w:p w14:paraId="1E9DEF13">
            <w:pPr>
              <w:keepNext w:val="0"/>
              <w:keepLines w:val="0"/>
              <w:pageBreakBefore w:val="0"/>
              <w:kinsoku/>
              <w:wordWrap/>
              <w:overflowPunct/>
              <w:topLinePunct w:val="0"/>
              <w:bidi w:val="0"/>
              <w:spacing w:line="340" w:lineRule="exact"/>
              <w:textAlignment w:val="auto"/>
              <w:rPr>
                <w:color w:val="auto"/>
                <w:sz w:val="21"/>
                <w:szCs w:val="21"/>
              </w:rPr>
            </w:pPr>
          </w:p>
          <w:p w14:paraId="2B89F80D">
            <w:pPr>
              <w:keepNext w:val="0"/>
              <w:keepLines w:val="0"/>
              <w:pageBreakBefore w:val="0"/>
              <w:kinsoku/>
              <w:wordWrap/>
              <w:overflowPunct/>
              <w:topLinePunct w:val="0"/>
              <w:bidi w:val="0"/>
              <w:spacing w:line="340" w:lineRule="exact"/>
              <w:textAlignment w:val="auto"/>
              <w:rPr>
                <w:color w:val="auto"/>
                <w:sz w:val="21"/>
                <w:szCs w:val="21"/>
              </w:rPr>
            </w:pPr>
          </w:p>
          <w:p w14:paraId="1B149CF0">
            <w:pPr>
              <w:keepNext w:val="0"/>
              <w:keepLines w:val="0"/>
              <w:pageBreakBefore w:val="0"/>
              <w:kinsoku/>
              <w:wordWrap/>
              <w:overflowPunct/>
              <w:topLinePunct w:val="0"/>
              <w:bidi w:val="0"/>
              <w:spacing w:line="340" w:lineRule="exact"/>
              <w:textAlignment w:val="auto"/>
              <w:rPr>
                <w:color w:val="auto"/>
                <w:sz w:val="21"/>
                <w:szCs w:val="21"/>
              </w:rPr>
            </w:pPr>
          </w:p>
          <w:p w14:paraId="7F2945AC">
            <w:pPr>
              <w:keepNext w:val="0"/>
              <w:keepLines w:val="0"/>
              <w:pageBreakBefore w:val="0"/>
              <w:kinsoku/>
              <w:wordWrap/>
              <w:overflowPunct/>
              <w:topLinePunct w:val="0"/>
              <w:bidi w:val="0"/>
              <w:spacing w:line="340" w:lineRule="exact"/>
              <w:textAlignment w:val="auto"/>
              <w:rPr>
                <w:color w:val="auto"/>
                <w:sz w:val="21"/>
                <w:szCs w:val="21"/>
              </w:rPr>
            </w:pPr>
          </w:p>
          <w:p w14:paraId="65585A8D">
            <w:pPr>
              <w:keepNext w:val="0"/>
              <w:keepLines w:val="0"/>
              <w:pageBreakBefore w:val="0"/>
              <w:kinsoku/>
              <w:wordWrap/>
              <w:overflowPunct/>
              <w:topLinePunct w:val="0"/>
              <w:bidi w:val="0"/>
              <w:spacing w:line="340" w:lineRule="exact"/>
              <w:textAlignment w:val="auto"/>
              <w:rPr>
                <w:color w:val="auto"/>
                <w:sz w:val="21"/>
                <w:szCs w:val="21"/>
              </w:rPr>
            </w:pPr>
          </w:p>
          <w:p w14:paraId="27DC727A">
            <w:pPr>
              <w:keepNext w:val="0"/>
              <w:keepLines w:val="0"/>
              <w:pageBreakBefore w:val="0"/>
              <w:kinsoku/>
              <w:wordWrap/>
              <w:overflowPunct/>
              <w:topLinePunct w:val="0"/>
              <w:bidi w:val="0"/>
              <w:spacing w:line="340" w:lineRule="exact"/>
              <w:textAlignment w:val="auto"/>
              <w:rPr>
                <w:color w:val="auto"/>
                <w:sz w:val="21"/>
                <w:szCs w:val="21"/>
              </w:rPr>
            </w:pPr>
          </w:p>
          <w:p w14:paraId="6BE470B5">
            <w:pPr>
              <w:keepNext w:val="0"/>
              <w:keepLines w:val="0"/>
              <w:pageBreakBefore w:val="0"/>
              <w:kinsoku/>
              <w:wordWrap/>
              <w:overflowPunct/>
              <w:topLinePunct w:val="0"/>
              <w:bidi w:val="0"/>
              <w:spacing w:line="340" w:lineRule="exact"/>
              <w:textAlignment w:val="auto"/>
              <w:rPr>
                <w:color w:val="auto"/>
                <w:sz w:val="21"/>
                <w:szCs w:val="21"/>
              </w:rPr>
            </w:pPr>
          </w:p>
          <w:p w14:paraId="57084AB4">
            <w:pPr>
              <w:keepNext w:val="0"/>
              <w:keepLines w:val="0"/>
              <w:pageBreakBefore w:val="0"/>
              <w:kinsoku/>
              <w:wordWrap/>
              <w:overflowPunct/>
              <w:topLinePunct w:val="0"/>
              <w:bidi w:val="0"/>
              <w:spacing w:line="340" w:lineRule="exact"/>
              <w:textAlignment w:val="auto"/>
              <w:rPr>
                <w:color w:val="auto"/>
                <w:sz w:val="21"/>
                <w:szCs w:val="21"/>
              </w:rPr>
            </w:pPr>
          </w:p>
          <w:p w14:paraId="79CA3302">
            <w:pPr>
              <w:keepNext w:val="0"/>
              <w:keepLines w:val="0"/>
              <w:pageBreakBefore w:val="0"/>
              <w:kinsoku/>
              <w:wordWrap/>
              <w:overflowPunct/>
              <w:topLinePunct w:val="0"/>
              <w:bidi w:val="0"/>
              <w:spacing w:line="340" w:lineRule="exact"/>
              <w:textAlignment w:val="auto"/>
              <w:rPr>
                <w:color w:val="auto"/>
                <w:sz w:val="21"/>
                <w:szCs w:val="21"/>
              </w:rPr>
            </w:pPr>
          </w:p>
          <w:p w14:paraId="6FB584FB">
            <w:pPr>
              <w:keepNext w:val="0"/>
              <w:keepLines w:val="0"/>
              <w:pageBreakBefore w:val="0"/>
              <w:kinsoku/>
              <w:wordWrap/>
              <w:overflowPunct/>
              <w:topLinePunct w:val="0"/>
              <w:bidi w:val="0"/>
              <w:spacing w:line="340" w:lineRule="exact"/>
              <w:textAlignment w:val="auto"/>
              <w:rPr>
                <w:color w:val="auto"/>
                <w:sz w:val="21"/>
                <w:szCs w:val="21"/>
              </w:rPr>
            </w:pPr>
          </w:p>
          <w:p w14:paraId="1EFE42F6">
            <w:pPr>
              <w:keepNext w:val="0"/>
              <w:keepLines w:val="0"/>
              <w:pageBreakBefore w:val="0"/>
              <w:kinsoku/>
              <w:wordWrap/>
              <w:overflowPunct/>
              <w:topLinePunct w:val="0"/>
              <w:bidi w:val="0"/>
              <w:spacing w:line="340" w:lineRule="exact"/>
              <w:textAlignment w:val="auto"/>
              <w:rPr>
                <w:color w:val="auto"/>
                <w:sz w:val="21"/>
                <w:szCs w:val="21"/>
              </w:rPr>
            </w:pPr>
          </w:p>
          <w:p w14:paraId="34495D19">
            <w:pPr>
              <w:keepNext w:val="0"/>
              <w:keepLines w:val="0"/>
              <w:pageBreakBefore w:val="0"/>
              <w:kinsoku/>
              <w:wordWrap/>
              <w:overflowPunct/>
              <w:topLinePunct w:val="0"/>
              <w:bidi w:val="0"/>
              <w:spacing w:line="340" w:lineRule="exact"/>
              <w:textAlignment w:val="auto"/>
              <w:rPr>
                <w:color w:val="auto"/>
                <w:sz w:val="21"/>
                <w:szCs w:val="21"/>
              </w:rPr>
            </w:pPr>
          </w:p>
          <w:p w14:paraId="50214A5E">
            <w:pPr>
              <w:keepNext w:val="0"/>
              <w:keepLines w:val="0"/>
              <w:pageBreakBefore w:val="0"/>
              <w:kinsoku/>
              <w:wordWrap/>
              <w:overflowPunct/>
              <w:topLinePunct w:val="0"/>
              <w:bidi w:val="0"/>
              <w:spacing w:line="340" w:lineRule="exact"/>
              <w:textAlignment w:val="auto"/>
              <w:rPr>
                <w:color w:val="auto"/>
                <w:sz w:val="21"/>
                <w:szCs w:val="21"/>
              </w:rPr>
            </w:pPr>
          </w:p>
          <w:p w14:paraId="6ACB4FD8">
            <w:pPr>
              <w:keepNext w:val="0"/>
              <w:keepLines w:val="0"/>
              <w:pageBreakBefore w:val="0"/>
              <w:kinsoku/>
              <w:wordWrap/>
              <w:overflowPunct/>
              <w:topLinePunct w:val="0"/>
              <w:bidi w:val="0"/>
              <w:spacing w:line="340" w:lineRule="exact"/>
              <w:textAlignment w:val="auto"/>
              <w:rPr>
                <w:color w:val="auto"/>
                <w:sz w:val="21"/>
                <w:szCs w:val="21"/>
              </w:rPr>
            </w:pPr>
          </w:p>
          <w:p w14:paraId="1C63AC0A">
            <w:pPr>
              <w:keepNext w:val="0"/>
              <w:keepLines w:val="0"/>
              <w:pageBreakBefore w:val="0"/>
              <w:kinsoku/>
              <w:wordWrap/>
              <w:overflowPunct/>
              <w:topLinePunct w:val="0"/>
              <w:bidi w:val="0"/>
              <w:spacing w:line="340" w:lineRule="exact"/>
              <w:textAlignment w:val="auto"/>
              <w:rPr>
                <w:color w:val="auto"/>
                <w:sz w:val="21"/>
                <w:szCs w:val="21"/>
              </w:rPr>
            </w:pPr>
          </w:p>
          <w:p w14:paraId="1B057553">
            <w:pPr>
              <w:keepNext w:val="0"/>
              <w:keepLines w:val="0"/>
              <w:pageBreakBefore w:val="0"/>
              <w:kinsoku/>
              <w:wordWrap/>
              <w:overflowPunct/>
              <w:topLinePunct w:val="0"/>
              <w:bidi w:val="0"/>
              <w:spacing w:line="340" w:lineRule="exact"/>
              <w:textAlignment w:val="auto"/>
              <w:rPr>
                <w:color w:val="auto"/>
                <w:sz w:val="21"/>
                <w:szCs w:val="21"/>
              </w:rPr>
            </w:pPr>
          </w:p>
          <w:p w14:paraId="6C4CAD41">
            <w:pPr>
              <w:keepNext w:val="0"/>
              <w:keepLines w:val="0"/>
              <w:pageBreakBefore w:val="0"/>
              <w:kinsoku/>
              <w:wordWrap/>
              <w:overflowPunct/>
              <w:topLinePunct w:val="0"/>
              <w:bidi w:val="0"/>
              <w:spacing w:line="340" w:lineRule="exact"/>
              <w:textAlignment w:val="auto"/>
              <w:rPr>
                <w:color w:val="auto"/>
                <w:sz w:val="21"/>
                <w:szCs w:val="21"/>
              </w:rPr>
            </w:pPr>
          </w:p>
          <w:p w14:paraId="73C151EC">
            <w:pPr>
              <w:keepNext w:val="0"/>
              <w:keepLines w:val="0"/>
              <w:pageBreakBefore w:val="0"/>
              <w:kinsoku/>
              <w:wordWrap/>
              <w:overflowPunct/>
              <w:topLinePunct w:val="0"/>
              <w:bidi w:val="0"/>
              <w:spacing w:line="340" w:lineRule="exact"/>
              <w:textAlignment w:val="auto"/>
              <w:rPr>
                <w:color w:val="auto"/>
                <w:sz w:val="21"/>
                <w:szCs w:val="21"/>
              </w:rPr>
            </w:pPr>
          </w:p>
          <w:p w14:paraId="37229AB7">
            <w:pPr>
              <w:keepNext w:val="0"/>
              <w:keepLines w:val="0"/>
              <w:pageBreakBefore w:val="0"/>
              <w:kinsoku/>
              <w:wordWrap/>
              <w:overflowPunct/>
              <w:topLinePunct w:val="0"/>
              <w:bidi w:val="0"/>
              <w:spacing w:line="340" w:lineRule="exact"/>
              <w:textAlignment w:val="auto"/>
              <w:rPr>
                <w:color w:val="auto"/>
                <w:sz w:val="21"/>
                <w:szCs w:val="21"/>
              </w:rPr>
            </w:pPr>
          </w:p>
          <w:p w14:paraId="321399A9">
            <w:pPr>
              <w:keepNext w:val="0"/>
              <w:keepLines w:val="0"/>
              <w:pageBreakBefore w:val="0"/>
              <w:kinsoku/>
              <w:wordWrap/>
              <w:overflowPunct/>
              <w:topLinePunct w:val="0"/>
              <w:bidi w:val="0"/>
              <w:spacing w:line="340" w:lineRule="exact"/>
              <w:textAlignment w:val="auto"/>
              <w:rPr>
                <w:color w:val="auto"/>
                <w:sz w:val="21"/>
                <w:szCs w:val="21"/>
              </w:rPr>
            </w:pPr>
          </w:p>
          <w:p w14:paraId="70A4A042">
            <w:pPr>
              <w:keepNext w:val="0"/>
              <w:keepLines w:val="0"/>
              <w:pageBreakBefore w:val="0"/>
              <w:kinsoku/>
              <w:wordWrap/>
              <w:overflowPunct/>
              <w:topLinePunct w:val="0"/>
              <w:bidi w:val="0"/>
              <w:spacing w:line="340" w:lineRule="exact"/>
              <w:textAlignment w:val="auto"/>
              <w:rPr>
                <w:color w:val="auto"/>
                <w:sz w:val="21"/>
                <w:szCs w:val="21"/>
              </w:rPr>
            </w:pPr>
          </w:p>
          <w:p w14:paraId="429B79D7">
            <w:pPr>
              <w:keepNext w:val="0"/>
              <w:keepLines w:val="0"/>
              <w:pageBreakBefore w:val="0"/>
              <w:kinsoku/>
              <w:wordWrap/>
              <w:overflowPunct/>
              <w:topLinePunct w:val="0"/>
              <w:bidi w:val="0"/>
              <w:spacing w:line="340" w:lineRule="exact"/>
              <w:textAlignment w:val="auto"/>
              <w:rPr>
                <w:color w:val="auto"/>
                <w:sz w:val="21"/>
                <w:szCs w:val="21"/>
              </w:rPr>
            </w:pPr>
          </w:p>
          <w:p w14:paraId="008A5488">
            <w:pPr>
              <w:keepNext w:val="0"/>
              <w:keepLines w:val="0"/>
              <w:pageBreakBefore w:val="0"/>
              <w:kinsoku/>
              <w:wordWrap/>
              <w:overflowPunct/>
              <w:topLinePunct w:val="0"/>
              <w:bidi w:val="0"/>
              <w:spacing w:line="340" w:lineRule="exact"/>
              <w:textAlignment w:val="auto"/>
              <w:rPr>
                <w:color w:val="auto"/>
                <w:sz w:val="21"/>
                <w:szCs w:val="21"/>
              </w:rPr>
            </w:pPr>
          </w:p>
          <w:p w14:paraId="5E4E01C5">
            <w:pPr>
              <w:keepNext w:val="0"/>
              <w:keepLines w:val="0"/>
              <w:pageBreakBefore w:val="0"/>
              <w:kinsoku/>
              <w:wordWrap/>
              <w:overflowPunct/>
              <w:topLinePunct w:val="0"/>
              <w:bidi w:val="0"/>
              <w:spacing w:line="340" w:lineRule="exact"/>
              <w:textAlignment w:val="auto"/>
              <w:rPr>
                <w:color w:val="auto"/>
                <w:sz w:val="21"/>
                <w:szCs w:val="21"/>
              </w:rPr>
            </w:pPr>
          </w:p>
          <w:p w14:paraId="74BA26A1">
            <w:pPr>
              <w:keepNext w:val="0"/>
              <w:keepLines w:val="0"/>
              <w:pageBreakBefore w:val="0"/>
              <w:kinsoku/>
              <w:wordWrap/>
              <w:overflowPunct/>
              <w:topLinePunct w:val="0"/>
              <w:bidi w:val="0"/>
              <w:spacing w:line="340" w:lineRule="exact"/>
              <w:textAlignment w:val="auto"/>
              <w:rPr>
                <w:color w:val="auto"/>
                <w:sz w:val="21"/>
                <w:szCs w:val="21"/>
              </w:rPr>
            </w:pPr>
          </w:p>
          <w:p w14:paraId="3A486B9D">
            <w:pPr>
              <w:pStyle w:val="26"/>
              <w:keepNext w:val="0"/>
              <w:keepLines w:val="0"/>
              <w:pageBreakBefore w:val="0"/>
              <w:kinsoku/>
              <w:wordWrap/>
              <w:overflowPunct/>
              <w:topLinePunct w:val="0"/>
              <w:bidi w:val="0"/>
              <w:spacing w:after="0" w:line="340" w:lineRule="exact"/>
              <w:textAlignment w:val="auto"/>
              <w:rPr>
                <w:color w:val="auto"/>
              </w:rPr>
            </w:pPr>
          </w:p>
        </w:tc>
      </w:tr>
    </w:tbl>
    <w:p w14:paraId="6C24813B">
      <w:pPr>
        <w:pStyle w:val="23"/>
        <w:keepNext w:val="0"/>
        <w:keepLines w:val="0"/>
        <w:pageBreakBefore w:val="0"/>
        <w:widowControl/>
        <w:kinsoku/>
        <w:wordWrap/>
        <w:overflowPunct/>
        <w:topLinePunct w:val="0"/>
        <w:autoSpaceDE/>
        <w:autoSpaceDN/>
        <w:bidi w:val="0"/>
        <w:adjustRightInd w:val="0"/>
        <w:snapToGrid w:val="0"/>
        <w:spacing w:before="0" w:beforeAutospacing="0" w:after="0" w:afterAutospacing="0" w:line="360" w:lineRule="auto"/>
        <w:jc w:val="center"/>
        <w:textAlignment w:val="auto"/>
        <w:outlineLvl w:val="0"/>
        <w:rPr>
          <w:rFonts w:ascii="Times New Roman" w:hAnsi="Times New Roman"/>
          <w:snapToGrid w:val="0"/>
          <w:color w:val="FF0000"/>
        </w:rPr>
        <w:sectPr>
          <w:pgSz w:w="11905" w:h="16838"/>
          <w:pgMar w:top="1417" w:right="1417" w:bottom="1417" w:left="1417" w:header="851" w:footer="850" w:gutter="0"/>
          <w:pgBorders>
            <w:top w:val="none" w:sz="0" w:space="0"/>
            <w:left w:val="none" w:sz="0" w:space="0"/>
            <w:bottom w:val="none" w:sz="0" w:space="0"/>
            <w:right w:val="none" w:sz="0" w:space="0"/>
          </w:pgBorders>
          <w:pgNumType w:fmt="decimal"/>
          <w:cols w:space="0" w:num="1"/>
          <w:rtlGutter w:val="0"/>
          <w:docGrid w:linePitch="312" w:charSpace="0"/>
        </w:sectPr>
      </w:pPr>
    </w:p>
    <w:p w14:paraId="393742FF">
      <w:pPr>
        <w:pStyle w:val="23"/>
        <w:keepNext w:val="0"/>
        <w:keepLines w:val="0"/>
        <w:pageBreakBefore w:val="0"/>
        <w:widowControl/>
        <w:kinsoku/>
        <w:wordWrap/>
        <w:overflowPunct/>
        <w:topLinePunct w:val="0"/>
        <w:autoSpaceDE/>
        <w:autoSpaceDN/>
        <w:bidi w:val="0"/>
        <w:adjustRightInd w:val="0"/>
        <w:snapToGrid w:val="0"/>
        <w:spacing w:before="0" w:beforeAutospacing="0" w:after="0" w:afterAutospacing="0" w:line="360" w:lineRule="auto"/>
        <w:jc w:val="center"/>
        <w:textAlignment w:val="auto"/>
        <w:outlineLvl w:val="0"/>
        <w:rPr>
          <w:rFonts w:ascii="Times New Roman" w:hAnsi="Times New Roman"/>
          <w:b/>
          <w:snapToGrid w:val="0"/>
          <w:color w:val="auto"/>
          <w:sz w:val="30"/>
          <w:szCs w:val="30"/>
        </w:rPr>
      </w:pPr>
      <w:r>
        <w:rPr>
          <w:rFonts w:ascii="Times New Roman" w:hAnsi="Times New Roman"/>
          <w:b/>
          <w:snapToGrid w:val="0"/>
          <w:color w:val="auto"/>
          <w:sz w:val="30"/>
          <w:szCs w:val="30"/>
        </w:rPr>
        <w:t>六、结论</w:t>
      </w:r>
    </w:p>
    <w:tbl>
      <w:tblPr>
        <w:tblStyle w:val="27"/>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9287"/>
      </w:tblGrid>
      <w:tr w14:paraId="6CBDF65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5000" w:type="pct"/>
          </w:tcPr>
          <w:p w14:paraId="548407A3">
            <w:pPr>
              <w:keepNext w:val="0"/>
              <w:keepLines w:val="0"/>
              <w:widowControl/>
              <w:suppressLineNumbers w:val="0"/>
              <w:spacing w:line="360" w:lineRule="auto"/>
              <w:ind w:firstLine="480" w:firstLineChars="200"/>
              <w:jc w:val="left"/>
              <w:rPr>
                <w:rFonts w:hint="eastAsia" w:ascii="宋体" w:hAnsi="宋体" w:eastAsia="宋体" w:cs="宋体"/>
                <w:color w:val="FF0000"/>
                <w:kern w:val="0"/>
                <w:sz w:val="24"/>
                <w:szCs w:val="24"/>
                <w:lang w:val="en-US" w:eastAsia="zh-CN" w:bidi="ar"/>
              </w:rPr>
            </w:pPr>
          </w:p>
          <w:p w14:paraId="24B4EFF0">
            <w:pPr>
              <w:keepNext w:val="0"/>
              <w:keepLines w:val="0"/>
              <w:widowControl/>
              <w:suppressLineNumbers w:val="0"/>
              <w:spacing w:line="360" w:lineRule="auto"/>
              <w:ind w:firstLine="480" w:firstLineChars="200"/>
              <w:jc w:val="left"/>
              <w:rPr>
                <w:rFonts w:hint="eastAsia" w:ascii="宋体" w:hAnsi="宋体" w:eastAsia="宋体" w:cs="宋体"/>
                <w:color w:val="FF0000"/>
                <w:kern w:val="0"/>
                <w:sz w:val="24"/>
                <w:szCs w:val="24"/>
                <w:lang w:val="en-US" w:eastAsia="zh-CN" w:bidi="ar"/>
              </w:rPr>
            </w:pPr>
          </w:p>
          <w:p w14:paraId="40273E8E">
            <w:pPr>
              <w:keepNext w:val="0"/>
              <w:keepLines w:val="0"/>
              <w:widowControl/>
              <w:suppressLineNumbers w:val="0"/>
              <w:spacing w:line="360" w:lineRule="auto"/>
              <w:ind w:firstLine="480" w:firstLineChars="200"/>
              <w:jc w:val="left"/>
              <w:rPr>
                <w:rFonts w:hint="eastAsia" w:ascii="宋体" w:hAnsi="宋体" w:eastAsia="宋体" w:cs="宋体"/>
                <w:color w:val="FF0000"/>
                <w:kern w:val="0"/>
                <w:sz w:val="24"/>
                <w:szCs w:val="24"/>
                <w:lang w:val="en-US" w:eastAsia="zh-CN" w:bidi="ar"/>
              </w:rPr>
            </w:pPr>
          </w:p>
          <w:p w14:paraId="09D37258">
            <w:pPr>
              <w:keepNext w:val="0"/>
              <w:keepLines w:val="0"/>
              <w:widowControl/>
              <w:suppressLineNumbers w:val="0"/>
              <w:spacing w:line="360" w:lineRule="auto"/>
              <w:ind w:firstLine="480" w:firstLineChars="200"/>
              <w:jc w:val="left"/>
              <w:rPr>
                <w:rFonts w:hint="eastAsia" w:ascii="宋体" w:hAnsi="宋体" w:eastAsia="宋体" w:cs="宋体"/>
                <w:color w:val="auto"/>
                <w:kern w:val="0"/>
                <w:sz w:val="24"/>
                <w:szCs w:val="24"/>
                <w:lang w:val="en-US" w:eastAsia="zh-CN" w:bidi="ar"/>
              </w:rPr>
            </w:pPr>
          </w:p>
          <w:p w14:paraId="39622196">
            <w:pPr>
              <w:keepNext w:val="0"/>
              <w:keepLines w:val="0"/>
              <w:widowControl/>
              <w:suppressLineNumbers w:val="0"/>
              <w:spacing w:line="360" w:lineRule="auto"/>
              <w:ind w:firstLine="480" w:firstLineChars="200"/>
              <w:jc w:val="left"/>
              <w:rPr>
                <w:color w:val="auto"/>
                <w:sz w:val="24"/>
                <w:szCs w:val="24"/>
              </w:rPr>
            </w:pPr>
            <w:r>
              <w:rPr>
                <w:rFonts w:hint="eastAsia" w:ascii="宋体" w:hAnsi="宋体" w:eastAsia="宋体" w:cs="宋体"/>
                <w:color w:val="auto"/>
                <w:kern w:val="0"/>
                <w:sz w:val="24"/>
                <w:szCs w:val="24"/>
                <w:lang w:val="en-US" w:eastAsia="zh-CN" w:bidi="ar"/>
              </w:rPr>
              <w:t>本项目建设符合国家及地方产业政策，选址符合环境保护相关规划，三废治理措施合理可行，全厂污染物可以达标排放，项目对周围环境的影响不大，环境风险影响可以控制在可接受范围内。在严格落实好本报告提出的各项环保措施的后，从环境保护的角度分析其建设是可行的。</w:t>
            </w:r>
          </w:p>
          <w:p w14:paraId="1931F220">
            <w:pPr>
              <w:adjustRightInd w:val="0"/>
              <w:snapToGrid w:val="0"/>
              <w:spacing w:before="120" w:beforeLines="50" w:line="360" w:lineRule="auto"/>
              <w:ind w:firstLine="480" w:firstLineChars="200"/>
              <w:rPr>
                <w:bCs/>
                <w:color w:val="FF0000"/>
                <w:sz w:val="24"/>
              </w:rPr>
            </w:pPr>
          </w:p>
        </w:tc>
      </w:tr>
    </w:tbl>
    <w:p w14:paraId="70C1DF4B">
      <w:pPr>
        <w:adjustRightInd w:val="0"/>
        <w:snapToGrid w:val="0"/>
        <w:rPr>
          <w:color w:val="FF0000"/>
        </w:rPr>
        <w:sectPr>
          <w:pgSz w:w="11905" w:h="16838"/>
          <w:pgMar w:top="1417" w:right="1417" w:bottom="1417" w:left="1417" w:header="851" w:footer="850" w:gutter="0"/>
          <w:pgBorders>
            <w:top w:val="none" w:sz="0" w:space="0"/>
            <w:left w:val="none" w:sz="0" w:space="0"/>
            <w:bottom w:val="none" w:sz="0" w:space="0"/>
            <w:right w:val="none" w:sz="0" w:space="0"/>
          </w:pgBorders>
          <w:pgNumType w:fmt="decimal"/>
          <w:cols w:space="0" w:num="1"/>
          <w:rtlGutter w:val="0"/>
          <w:docGrid w:linePitch="312" w:charSpace="0"/>
        </w:sectPr>
      </w:pPr>
    </w:p>
    <w:p w14:paraId="2E66D355">
      <w:pPr>
        <w:pStyle w:val="23"/>
        <w:adjustRightInd w:val="0"/>
        <w:snapToGrid w:val="0"/>
        <w:spacing w:before="0" w:beforeAutospacing="0" w:after="0" w:afterAutospacing="0" w:line="648" w:lineRule="auto"/>
        <w:outlineLvl w:val="0"/>
        <w:rPr>
          <w:rFonts w:ascii="Times New Roman" w:hAnsi="Times New Roman"/>
          <w:snapToGrid w:val="0"/>
          <w:color w:val="auto"/>
          <w:sz w:val="32"/>
          <w:szCs w:val="32"/>
        </w:rPr>
      </w:pPr>
      <w:r>
        <w:rPr>
          <w:rFonts w:ascii="Times New Roman" w:hAnsi="Times New Roman"/>
          <w:snapToGrid w:val="0"/>
          <w:color w:val="auto"/>
          <w:sz w:val="32"/>
          <w:szCs w:val="32"/>
        </w:rPr>
        <w:t>附表</w:t>
      </w:r>
    </w:p>
    <w:p w14:paraId="275C07D6">
      <w:pPr>
        <w:pStyle w:val="23"/>
        <w:adjustRightInd w:val="0"/>
        <w:snapToGrid w:val="0"/>
        <w:spacing w:before="0" w:beforeAutospacing="0" w:after="0" w:afterAutospacing="0" w:line="360" w:lineRule="auto"/>
        <w:jc w:val="center"/>
        <w:rPr>
          <w:rFonts w:ascii="Times New Roman" w:hAnsi="Times New Roman"/>
          <w:b/>
          <w:snapToGrid w:val="0"/>
          <w:color w:val="auto"/>
          <w:sz w:val="38"/>
          <w:szCs w:val="38"/>
        </w:rPr>
      </w:pPr>
      <w:r>
        <w:rPr>
          <w:rFonts w:ascii="Times New Roman" w:hAnsi="Times New Roman"/>
          <w:b/>
          <w:snapToGrid w:val="0"/>
          <w:color w:val="auto"/>
          <w:sz w:val="38"/>
          <w:szCs w:val="38"/>
        </w:rPr>
        <w:t>建设项目污染物排放量汇总表</w:t>
      </w:r>
    </w:p>
    <w:tbl>
      <w:tblPr>
        <w:tblStyle w:val="27"/>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12"/>
        <w:gridCol w:w="1455"/>
        <w:gridCol w:w="1749"/>
        <w:gridCol w:w="1312"/>
        <w:gridCol w:w="1749"/>
        <w:gridCol w:w="1603"/>
        <w:gridCol w:w="1808"/>
        <w:gridCol w:w="1687"/>
        <w:gridCol w:w="1331"/>
      </w:tblGrid>
      <w:tr w14:paraId="0E9592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8" w:type="pct"/>
            <w:tcBorders>
              <w:tl2br w:val="single" w:color="auto" w:sz="4" w:space="0"/>
            </w:tcBorders>
            <w:tcMar>
              <w:left w:w="28" w:type="dxa"/>
              <w:right w:w="28" w:type="dxa"/>
            </w:tcMar>
            <w:vAlign w:val="center"/>
          </w:tcPr>
          <w:p w14:paraId="5AF0BC26">
            <w:pPr>
              <w:pStyle w:val="53"/>
              <w:spacing w:beforeLines="0" w:afterLines="0" w:line="276" w:lineRule="auto"/>
              <w:jc w:val="right"/>
              <w:rPr>
                <w:rFonts w:ascii="Times New Roman"/>
                <w:b/>
                <w:snapToGrid w:val="0"/>
                <w:color w:val="auto"/>
                <w:spacing w:val="-6"/>
                <w:kern w:val="21"/>
                <w:szCs w:val="21"/>
              </w:rPr>
            </w:pPr>
            <w:r>
              <w:rPr>
                <w:rFonts w:ascii="Times New Roman"/>
                <w:b/>
                <w:snapToGrid w:val="0"/>
                <w:color w:val="auto"/>
                <w:spacing w:val="-6"/>
                <w:kern w:val="21"/>
                <w:szCs w:val="21"/>
              </w:rPr>
              <w:t>项目</w:t>
            </w:r>
          </w:p>
          <w:p w14:paraId="59EDA897">
            <w:pPr>
              <w:pStyle w:val="53"/>
              <w:spacing w:beforeLines="0" w:afterLines="0" w:line="276" w:lineRule="auto"/>
              <w:jc w:val="left"/>
              <w:rPr>
                <w:rFonts w:ascii="Times New Roman"/>
                <w:b/>
                <w:snapToGrid w:val="0"/>
                <w:color w:val="auto"/>
                <w:spacing w:val="-6"/>
                <w:kern w:val="21"/>
                <w:szCs w:val="21"/>
              </w:rPr>
            </w:pPr>
            <w:r>
              <w:rPr>
                <w:rFonts w:ascii="Times New Roman"/>
                <w:b/>
                <w:snapToGrid w:val="0"/>
                <w:color w:val="auto"/>
                <w:spacing w:val="-6"/>
                <w:kern w:val="21"/>
                <w:szCs w:val="21"/>
              </w:rPr>
              <w:t>分类</w:t>
            </w:r>
          </w:p>
        </w:tc>
        <w:tc>
          <w:tcPr>
            <w:tcW w:w="519" w:type="pct"/>
            <w:tcBorders>
              <w:tl2br w:val="nil"/>
              <w:tr2bl w:val="nil"/>
            </w:tcBorders>
            <w:tcMar>
              <w:left w:w="28" w:type="dxa"/>
              <w:right w:w="28" w:type="dxa"/>
            </w:tcMar>
            <w:vAlign w:val="center"/>
          </w:tcPr>
          <w:p w14:paraId="1D258F48">
            <w:pPr>
              <w:pStyle w:val="53"/>
              <w:spacing w:beforeLines="0" w:afterLines="0" w:line="276" w:lineRule="auto"/>
              <w:rPr>
                <w:rFonts w:ascii="Times New Roman"/>
                <w:b/>
                <w:snapToGrid w:val="0"/>
                <w:color w:val="auto"/>
                <w:spacing w:val="-6"/>
                <w:kern w:val="21"/>
                <w:szCs w:val="21"/>
              </w:rPr>
            </w:pPr>
            <w:r>
              <w:rPr>
                <w:rFonts w:ascii="Times New Roman"/>
                <w:b/>
                <w:snapToGrid w:val="0"/>
                <w:color w:val="auto"/>
                <w:spacing w:val="-6"/>
                <w:kern w:val="21"/>
                <w:szCs w:val="21"/>
              </w:rPr>
              <w:t>污染物名称</w:t>
            </w:r>
          </w:p>
        </w:tc>
        <w:tc>
          <w:tcPr>
            <w:tcW w:w="624" w:type="pct"/>
            <w:tcBorders>
              <w:tl2br w:val="nil"/>
              <w:tr2bl w:val="nil"/>
            </w:tcBorders>
            <w:tcMar>
              <w:left w:w="28" w:type="dxa"/>
              <w:right w:w="28" w:type="dxa"/>
            </w:tcMar>
            <w:vAlign w:val="center"/>
          </w:tcPr>
          <w:p w14:paraId="71403A54">
            <w:pPr>
              <w:pStyle w:val="53"/>
              <w:spacing w:beforeLines="0" w:afterLines="0" w:line="276" w:lineRule="auto"/>
              <w:rPr>
                <w:rFonts w:ascii="Times New Roman"/>
                <w:b/>
                <w:snapToGrid w:val="0"/>
                <w:color w:val="auto"/>
                <w:spacing w:val="-6"/>
                <w:kern w:val="21"/>
                <w:szCs w:val="21"/>
              </w:rPr>
            </w:pPr>
            <w:r>
              <w:rPr>
                <w:rFonts w:ascii="Times New Roman"/>
                <w:b/>
                <w:snapToGrid w:val="0"/>
                <w:color w:val="auto"/>
                <w:spacing w:val="-6"/>
                <w:kern w:val="21"/>
                <w:szCs w:val="21"/>
              </w:rPr>
              <w:t>现有工程</w:t>
            </w:r>
          </w:p>
          <w:p w14:paraId="261D3339">
            <w:pPr>
              <w:pStyle w:val="53"/>
              <w:spacing w:beforeLines="0" w:afterLines="0" w:line="276" w:lineRule="auto"/>
              <w:rPr>
                <w:rFonts w:ascii="Times New Roman"/>
                <w:b/>
                <w:snapToGrid w:val="0"/>
                <w:color w:val="auto"/>
                <w:spacing w:val="-6"/>
                <w:kern w:val="21"/>
                <w:szCs w:val="21"/>
              </w:rPr>
            </w:pPr>
            <w:r>
              <w:rPr>
                <w:rFonts w:ascii="Times New Roman"/>
                <w:b/>
                <w:snapToGrid w:val="0"/>
                <w:color w:val="auto"/>
                <w:spacing w:val="-6"/>
                <w:kern w:val="21"/>
                <w:szCs w:val="21"/>
              </w:rPr>
              <w:t>排放量（固体废物产生量）</w:t>
            </w:r>
            <w:r>
              <w:rPr>
                <w:rFonts w:ascii="Times New Roman"/>
                <w:b/>
                <w:snapToGrid w:val="0"/>
                <w:color w:val="auto"/>
                <w:spacing w:val="-6"/>
                <w:kern w:val="21"/>
                <w:szCs w:val="21"/>
              </w:rPr>
              <w:fldChar w:fldCharType="begin"/>
            </w:r>
            <w:r>
              <w:rPr>
                <w:rFonts w:ascii="Times New Roman"/>
                <w:b/>
                <w:snapToGrid w:val="0"/>
                <w:color w:val="auto"/>
                <w:spacing w:val="-6"/>
                <w:kern w:val="21"/>
                <w:szCs w:val="21"/>
              </w:rPr>
              <w:instrText xml:space="preserve"> = 1 \* GB3 \* MERGEFORMAT </w:instrText>
            </w:r>
            <w:r>
              <w:rPr>
                <w:rFonts w:ascii="Times New Roman"/>
                <w:b/>
                <w:snapToGrid w:val="0"/>
                <w:color w:val="auto"/>
                <w:spacing w:val="-6"/>
                <w:kern w:val="21"/>
                <w:szCs w:val="21"/>
              </w:rPr>
              <w:fldChar w:fldCharType="separate"/>
            </w:r>
            <w:r>
              <w:rPr>
                <w:rFonts w:ascii="Times New Roman"/>
                <w:b/>
                <w:color w:val="auto"/>
                <w:kern w:val="2"/>
                <w:szCs w:val="21"/>
              </w:rPr>
              <w:t>①</w:t>
            </w:r>
            <w:r>
              <w:rPr>
                <w:rFonts w:ascii="Times New Roman"/>
                <w:b/>
                <w:snapToGrid w:val="0"/>
                <w:color w:val="auto"/>
                <w:spacing w:val="-6"/>
                <w:kern w:val="21"/>
                <w:szCs w:val="21"/>
              </w:rPr>
              <w:fldChar w:fldCharType="end"/>
            </w:r>
          </w:p>
        </w:tc>
        <w:tc>
          <w:tcPr>
            <w:tcW w:w="468" w:type="pct"/>
            <w:tcBorders>
              <w:tl2br w:val="nil"/>
              <w:tr2bl w:val="nil"/>
            </w:tcBorders>
            <w:tcMar>
              <w:left w:w="28" w:type="dxa"/>
              <w:right w:w="28" w:type="dxa"/>
            </w:tcMar>
            <w:vAlign w:val="center"/>
          </w:tcPr>
          <w:p w14:paraId="652F57E9">
            <w:pPr>
              <w:pStyle w:val="53"/>
              <w:spacing w:beforeLines="0" w:afterLines="0" w:line="276" w:lineRule="auto"/>
              <w:rPr>
                <w:rFonts w:ascii="Times New Roman"/>
                <w:b/>
                <w:snapToGrid w:val="0"/>
                <w:color w:val="auto"/>
                <w:spacing w:val="-6"/>
                <w:kern w:val="21"/>
                <w:szCs w:val="21"/>
              </w:rPr>
            </w:pPr>
            <w:r>
              <w:rPr>
                <w:rFonts w:ascii="Times New Roman"/>
                <w:b/>
                <w:snapToGrid w:val="0"/>
                <w:color w:val="auto"/>
                <w:spacing w:val="-6"/>
                <w:kern w:val="21"/>
                <w:szCs w:val="21"/>
              </w:rPr>
              <w:t>现有工程</w:t>
            </w:r>
          </w:p>
          <w:p w14:paraId="1D40CEE6">
            <w:pPr>
              <w:pStyle w:val="53"/>
              <w:spacing w:beforeLines="0" w:afterLines="0" w:line="276" w:lineRule="auto"/>
              <w:rPr>
                <w:rFonts w:ascii="Times New Roman"/>
                <w:b/>
                <w:snapToGrid w:val="0"/>
                <w:color w:val="auto"/>
                <w:spacing w:val="-6"/>
                <w:kern w:val="21"/>
                <w:szCs w:val="21"/>
              </w:rPr>
            </w:pPr>
            <w:r>
              <w:rPr>
                <w:rFonts w:ascii="Times New Roman"/>
                <w:b/>
                <w:snapToGrid w:val="0"/>
                <w:color w:val="auto"/>
                <w:spacing w:val="-6"/>
                <w:kern w:val="21"/>
                <w:szCs w:val="21"/>
              </w:rPr>
              <w:t>许可排放量</w:t>
            </w:r>
          </w:p>
          <w:p w14:paraId="0933E5C6">
            <w:pPr>
              <w:pStyle w:val="53"/>
              <w:spacing w:beforeLines="0" w:afterLines="0" w:line="276" w:lineRule="auto"/>
              <w:rPr>
                <w:rFonts w:ascii="Times New Roman"/>
                <w:b/>
                <w:snapToGrid w:val="0"/>
                <w:color w:val="auto"/>
                <w:spacing w:val="-6"/>
                <w:kern w:val="21"/>
                <w:szCs w:val="21"/>
              </w:rPr>
            </w:pPr>
            <w:r>
              <w:rPr>
                <w:rFonts w:ascii="Times New Roman"/>
                <w:b/>
                <w:snapToGrid w:val="0"/>
                <w:color w:val="auto"/>
                <w:spacing w:val="-6"/>
                <w:kern w:val="21"/>
                <w:szCs w:val="21"/>
              </w:rPr>
              <w:fldChar w:fldCharType="begin"/>
            </w:r>
            <w:r>
              <w:rPr>
                <w:rFonts w:ascii="Times New Roman"/>
                <w:b/>
                <w:snapToGrid w:val="0"/>
                <w:color w:val="auto"/>
                <w:spacing w:val="-6"/>
                <w:kern w:val="21"/>
                <w:szCs w:val="21"/>
              </w:rPr>
              <w:instrText xml:space="preserve"> = 2 \* GB3 \* MERGEFORMAT </w:instrText>
            </w:r>
            <w:r>
              <w:rPr>
                <w:rFonts w:ascii="Times New Roman"/>
                <w:b/>
                <w:snapToGrid w:val="0"/>
                <w:color w:val="auto"/>
                <w:spacing w:val="-6"/>
                <w:kern w:val="21"/>
                <w:szCs w:val="21"/>
              </w:rPr>
              <w:fldChar w:fldCharType="separate"/>
            </w:r>
            <w:r>
              <w:rPr>
                <w:rFonts w:ascii="Times New Roman"/>
                <w:b/>
                <w:snapToGrid w:val="0"/>
                <w:color w:val="auto"/>
                <w:spacing w:val="-6"/>
                <w:kern w:val="21"/>
                <w:szCs w:val="21"/>
              </w:rPr>
              <w:t>②</w:t>
            </w:r>
            <w:r>
              <w:rPr>
                <w:rFonts w:ascii="Times New Roman"/>
                <w:b/>
                <w:snapToGrid w:val="0"/>
                <w:color w:val="auto"/>
                <w:spacing w:val="-6"/>
                <w:kern w:val="21"/>
                <w:szCs w:val="21"/>
              </w:rPr>
              <w:fldChar w:fldCharType="end"/>
            </w:r>
          </w:p>
        </w:tc>
        <w:tc>
          <w:tcPr>
            <w:tcW w:w="624" w:type="pct"/>
            <w:tcBorders>
              <w:tl2br w:val="nil"/>
              <w:tr2bl w:val="nil"/>
            </w:tcBorders>
            <w:tcMar>
              <w:left w:w="28" w:type="dxa"/>
              <w:right w:w="28" w:type="dxa"/>
            </w:tcMar>
            <w:vAlign w:val="center"/>
          </w:tcPr>
          <w:p w14:paraId="66923C3D">
            <w:pPr>
              <w:pStyle w:val="53"/>
              <w:spacing w:beforeLines="0" w:afterLines="0" w:line="276" w:lineRule="auto"/>
              <w:rPr>
                <w:rFonts w:ascii="Times New Roman"/>
                <w:b/>
                <w:snapToGrid w:val="0"/>
                <w:color w:val="auto"/>
                <w:spacing w:val="-6"/>
                <w:kern w:val="21"/>
                <w:szCs w:val="21"/>
              </w:rPr>
            </w:pPr>
            <w:r>
              <w:rPr>
                <w:rFonts w:ascii="Times New Roman"/>
                <w:b/>
                <w:snapToGrid w:val="0"/>
                <w:color w:val="auto"/>
                <w:spacing w:val="-6"/>
                <w:kern w:val="21"/>
                <w:szCs w:val="21"/>
              </w:rPr>
              <w:t>在建工程</w:t>
            </w:r>
          </w:p>
          <w:p w14:paraId="5D387F70">
            <w:pPr>
              <w:pStyle w:val="53"/>
              <w:spacing w:beforeLines="0" w:afterLines="0" w:line="276" w:lineRule="auto"/>
              <w:rPr>
                <w:rFonts w:ascii="Times New Roman"/>
                <w:b/>
                <w:snapToGrid w:val="0"/>
                <w:color w:val="auto"/>
                <w:spacing w:val="-6"/>
                <w:kern w:val="21"/>
                <w:szCs w:val="21"/>
              </w:rPr>
            </w:pPr>
            <w:r>
              <w:rPr>
                <w:rFonts w:ascii="Times New Roman"/>
                <w:b/>
                <w:snapToGrid w:val="0"/>
                <w:color w:val="auto"/>
                <w:spacing w:val="-6"/>
                <w:kern w:val="21"/>
                <w:szCs w:val="21"/>
              </w:rPr>
              <w:t>排放量（固体废物产生量）</w:t>
            </w:r>
            <w:r>
              <w:rPr>
                <w:rFonts w:ascii="Times New Roman"/>
                <w:b/>
                <w:snapToGrid w:val="0"/>
                <w:color w:val="auto"/>
                <w:spacing w:val="-6"/>
                <w:kern w:val="21"/>
                <w:szCs w:val="21"/>
              </w:rPr>
              <w:fldChar w:fldCharType="begin"/>
            </w:r>
            <w:r>
              <w:rPr>
                <w:rFonts w:ascii="Times New Roman"/>
                <w:b/>
                <w:snapToGrid w:val="0"/>
                <w:color w:val="auto"/>
                <w:spacing w:val="-6"/>
                <w:kern w:val="21"/>
                <w:szCs w:val="21"/>
              </w:rPr>
              <w:instrText xml:space="preserve"> = 3 \* GB3 \* MERGEFORMAT </w:instrText>
            </w:r>
            <w:r>
              <w:rPr>
                <w:rFonts w:ascii="Times New Roman"/>
                <w:b/>
                <w:snapToGrid w:val="0"/>
                <w:color w:val="auto"/>
                <w:spacing w:val="-6"/>
                <w:kern w:val="21"/>
                <w:szCs w:val="21"/>
              </w:rPr>
              <w:fldChar w:fldCharType="separate"/>
            </w:r>
            <w:r>
              <w:rPr>
                <w:rFonts w:ascii="Times New Roman"/>
                <w:b/>
                <w:color w:val="auto"/>
                <w:kern w:val="2"/>
                <w:szCs w:val="21"/>
              </w:rPr>
              <w:t>③</w:t>
            </w:r>
            <w:r>
              <w:rPr>
                <w:rFonts w:ascii="Times New Roman"/>
                <w:b/>
                <w:snapToGrid w:val="0"/>
                <w:color w:val="auto"/>
                <w:spacing w:val="-6"/>
                <w:kern w:val="21"/>
                <w:szCs w:val="21"/>
              </w:rPr>
              <w:fldChar w:fldCharType="end"/>
            </w:r>
          </w:p>
        </w:tc>
        <w:tc>
          <w:tcPr>
            <w:tcW w:w="572" w:type="pct"/>
            <w:tcBorders>
              <w:tl2br w:val="nil"/>
              <w:tr2bl w:val="nil"/>
            </w:tcBorders>
            <w:tcMar>
              <w:left w:w="28" w:type="dxa"/>
              <w:right w:w="28" w:type="dxa"/>
            </w:tcMar>
            <w:vAlign w:val="center"/>
          </w:tcPr>
          <w:p w14:paraId="122A05F1">
            <w:pPr>
              <w:pStyle w:val="53"/>
              <w:spacing w:beforeLines="0" w:afterLines="0" w:line="276" w:lineRule="auto"/>
              <w:rPr>
                <w:rFonts w:ascii="Times New Roman"/>
                <w:b/>
                <w:snapToGrid w:val="0"/>
                <w:color w:val="auto"/>
                <w:spacing w:val="-6"/>
                <w:kern w:val="21"/>
                <w:szCs w:val="21"/>
              </w:rPr>
            </w:pPr>
            <w:r>
              <w:rPr>
                <w:rFonts w:ascii="Times New Roman"/>
                <w:b/>
                <w:snapToGrid w:val="0"/>
                <w:color w:val="auto"/>
                <w:spacing w:val="-6"/>
                <w:kern w:val="21"/>
                <w:szCs w:val="21"/>
              </w:rPr>
              <w:t>本项目</w:t>
            </w:r>
          </w:p>
          <w:p w14:paraId="2E56E738">
            <w:pPr>
              <w:pStyle w:val="53"/>
              <w:spacing w:beforeLines="0" w:afterLines="0" w:line="276" w:lineRule="auto"/>
              <w:rPr>
                <w:rFonts w:ascii="Times New Roman"/>
                <w:b/>
                <w:snapToGrid w:val="0"/>
                <w:color w:val="auto"/>
                <w:spacing w:val="-6"/>
                <w:kern w:val="21"/>
                <w:szCs w:val="21"/>
              </w:rPr>
            </w:pPr>
            <w:r>
              <w:rPr>
                <w:rFonts w:ascii="Times New Roman"/>
                <w:b/>
                <w:snapToGrid w:val="0"/>
                <w:color w:val="auto"/>
                <w:spacing w:val="-6"/>
                <w:kern w:val="21"/>
                <w:szCs w:val="21"/>
              </w:rPr>
              <w:t>排放量（固体废物产生量）</w:t>
            </w:r>
            <w:r>
              <w:rPr>
                <w:rFonts w:ascii="Times New Roman"/>
                <w:b/>
                <w:snapToGrid w:val="0"/>
                <w:color w:val="auto"/>
                <w:spacing w:val="-6"/>
                <w:kern w:val="21"/>
                <w:szCs w:val="21"/>
              </w:rPr>
              <w:fldChar w:fldCharType="begin"/>
            </w:r>
            <w:r>
              <w:rPr>
                <w:rFonts w:ascii="Times New Roman"/>
                <w:b/>
                <w:snapToGrid w:val="0"/>
                <w:color w:val="auto"/>
                <w:spacing w:val="-6"/>
                <w:kern w:val="21"/>
                <w:szCs w:val="21"/>
              </w:rPr>
              <w:instrText xml:space="preserve"> = 4 \* GB3 \* MERGEFORMAT </w:instrText>
            </w:r>
            <w:r>
              <w:rPr>
                <w:rFonts w:ascii="Times New Roman"/>
                <w:b/>
                <w:snapToGrid w:val="0"/>
                <w:color w:val="auto"/>
                <w:spacing w:val="-6"/>
                <w:kern w:val="21"/>
                <w:szCs w:val="21"/>
              </w:rPr>
              <w:fldChar w:fldCharType="separate"/>
            </w:r>
            <w:r>
              <w:rPr>
                <w:rFonts w:ascii="Times New Roman"/>
                <w:b/>
                <w:color w:val="auto"/>
                <w:kern w:val="2"/>
                <w:szCs w:val="21"/>
              </w:rPr>
              <w:t>④</w:t>
            </w:r>
            <w:r>
              <w:rPr>
                <w:rFonts w:ascii="Times New Roman"/>
                <w:b/>
                <w:snapToGrid w:val="0"/>
                <w:color w:val="auto"/>
                <w:spacing w:val="-6"/>
                <w:kern w:val="21"/>
                <w:szCs w:val="21"/>
              </w:rPr>
              <w:fldChar w:fldCharType="end"/>
            </w:r>
          </w:p>
        </w:tc>
        <w:tc>
          <w:tcPr>
            <w:tcW w:w="645" w:type="pct"/>
            <w:tcBorders>
              <w:tl2br w:val="nil"/>
              <w:tr2bl w:val="nil"/>
            </w:tcBorders>
            <w:tcMar>
              <w:left w:w="28" w:type="dxa"/>
              <w:right w:w="28" w:type="dxa"/>
            </w:tcMar>
            <w:vAlign w:val="center"/>
          </w:tcPr>
          <w:p w14:paraId="2DC86603">
            <w:pPr>
              <w:pStyle w:val="53"/>
              <w:spacing w:beforeLines="0" w:afterLines="0" w:line="276" w:lineRule="auto"/>
              <w:rPr>
                <w:rFonts w:ascii="Times New Roman"/>
                <w:b/>
                <w:snapToGrid w:val="0"/>
                <w:color w:val="auto"/>
                <w:spacing w:val="-16"/>
                <w:kern w:val="21"/>
                <w:szCs w:val="21"/>
              </w:rPr>
            </w:pPr>
            <w:r>
              <w:rPr>
                <w:rFonts w:ascii="Times New Roman"/>
                <w:b/>
                <w:snapToGrid w:val="0"/>
                <w:color w:val="auto"/>
                <w:spacing w:val="-16"/>
                <w:kern w:val="21"/>
                <w:szCs w:val="21"/>
              </w:rPr>
              <w:t>以新带老削减量</w:t>
            </w:r>
          </w:p>
          <w:p w14:paraId="10327B14">
            <w:pPr>
              <w:pStyle w:val="53"/>
              <w:spacing w:beforeLines="0" w:afterLines="0" w:line="276" w:lineRule="auto"/>
              <w:rPr>
                <w:rFonts w:ascii="Times New Roman"/>
                <w:b/>
                <w:snapToGrid w:val="0"/>
                <w:color w:val="auto"/>
                <w:spacing w:val="-16"/>
                <w:kern w:val="21"/>
                <w:szCs w:val="21"/>
              </w:rPr>
            </w:pPr>
            <w:r>
              <w:rPr>
                <w:rFonts w:ascii="Times New Roman"/>
                <w:b/>
                <w:snapToGrid w:val="0"/>
                <w:color w:val="auto"/>
                <w:spacing w:val="-16"/>
                <w:kern w:val="21"/>
                <w:szCs w:val="21"/>
              </w:rPr>
              <w:t>（新建项目不填）</w:t>
            </w:r>
            <w:r>
              <w:rPr>
                <w:rFonts w:ascii="Times New Roman"/>
                <w:b/>
                <w:snapToGrid w:val="0"/>
                <w:color w:val="auto"/>
                <w:spacing w:val="-16"/>
                <w:kern w:val="21"/>
                <w:szCs w:val="21"/>
              </w:rPr>
              <w:fldChar w:fldCharType="begin"/>
            </w:r>
            <w:r>
              <w:rPr>
                <w:rFonts w:ascii="Times New Roman"/>
                <w:b/>
                <w:snapToGrid w:val="0"/>
                <w:color w:val="auto"/>
                <w:spacing w:val="-16"/>
                <w:kern w:val="21"/>
                <w:szCs w:val="21"/>
              </w:rPr>
              <w:instrText xml:space="preserve"> = 5 \* GB3 \* MERGEFORMAT </w:instrText>
            </w:r>
            <w:r>
              <w:rPr>
                <w:rFonts w:ascii="Times New Roman"/>
                <w:b/>
                <w:snapToGrid w:val="0"/>
                <w:color w:val="auto"/>
                <w:spacing w:val="-16"/>
                <w:kern w:val="21"/>
                <w:szCs w:val="21"/>
              </w:rPr>
              <w:fldChar w:fldCharType="separate"/>
            </w:r>
            <w:r>
              <w:rPr>
                <w:rFonts w:ascii="Times New Roman"/>
                <w:b/>
                <w:color w:val="auto"/>
                <w:kern w:val="2"/>
                <w:szCs w:val="21"/>
              </w:rPr>
              <w:t>⑤</w:t>
            </w:r>
            <w:r>
              <w:rPr>
                <w:rFonts w:ascii="Times New Roman"/>
                <w:b/>
                <w:snapToGrid w:val="0"/>
                <w:color w:val="auto"/>
                <w:spacing w:val="-16"/>
                <w:kern w:val="21"/>
                <w:szCs w:val="21"/>
              </w:rPr>
              <w:fldChar w:fldCharType="end"/>
            </w:r>
          </w:p>
        </w:tc>
        <w:tc>
          <w:tcPr>
            <w:tcW w:w="602" w:type="pct"/>
            <w:tcBorders>
              <w:tl2br w:val="nil"/>
              <w:tr2bl w:val="nil"/>
            </w:tcBorders>
            <w:tcMar>
              <w:left w:w="28" w:type="dxa"/>
              <w:right w:w="28" w:type="dxa"/>
            </w:tcMar>
            <w:vAlign w:val="center"/>
          </w:tcPr>
          <w:p w14:paraId="0E43EF25">
            <w:pPr>
              <w:pStyle w:val="53"/>
              <w:spacing w:beforeLines="0" w:afterLines="0" w:line="276" w:lineRule="auto"/>
              <w:rPr>
                <w:rFonts w:ascii="Times New Roman"/>
                <w:b/>
                <w:snapToGrid w:val="0"/>
                <w:color w:val="auto"/>
                <w:spacing w:val="-16"/>
                <w:kern w:val="21"/>
                <w:szCs w:val="21"/>
              </w:rPr>
            </w:pPr>
            <w:r>
              <w:rPr>
                <w:rFonts w:ascii="Times New Roman"/>
                <w:b/>
                <w:snapToGrid w:val="0"/>
                <w:color w:val="auto"/>
                <w:spacing w:val="-16"/>
                <w:kern w:val="21"/>
                <w:szCs w:val="21"/>
              </w:rPr>
              <w:t>本项目建成后</w:t>
            </w:r>
          </w:p>
          <w:p w14:paraId="278FE61E">
            <w:pPr>
              <w:pStyle w:val="53"/>
              <w:spacing w:beforeLines="0" w:afterLines="0" w:line="276" w:lineRule="auto"/>
              <w:rPr>
                <w:rFonts w:ascii="Times New Roman"/>
                <w:b/>
                <w:snapToGrid w:val="0"/>
                <w:color w:val="auto"/>
                <w:spacing w:val="-16"/>
                <w:kern w:val="21"/>
                <w:szCs w:val="21"/>
              </w:rPr>
            </w:pPr>
            <w:r>
              <w:rPr>
                <w:rFonts w:ascii="Times New Roman"/>
                <w:b/>
                <w:snapToGrid w:val="0"/>
                <w:color w:val="auto"/>
                <w:spacing w:val="-16"/>
                <w:kern w:val="21"/>
                <w:szCs w:val="21"/>
              </w:rPr>
              <w:t>全厂排放量（固体废物产生量）</w:t>
            </w:r>
            <w:r>
              <w:rPr>
                <w:rFonts w:ascii="Times New Roman"/>
                <w:b/>
                <w:snapToGrid w:val="0"/>
                <w:color w:val="auto"/>
                <w:spacing w:val="-16"/>
                <w:kern w:val="21"/>
                <w:szCs w:val="21"/>
              </w:rPr>
              <w:fldChar w:fldCharType="begin"/>
            </w:r>
            <w:r>
              <w:rPr>
                <w:rFonts w:ascii="Times New Roman"/>
                <w:b/>
                <w:snapToGrid w:val="0"/>
                <w:color w:val="auto"/>
                <w:spacing w:val="-16"/>
                <w:kern w:val="21"/>
                <w:szCs w:val="21"/>
              </w:rPr>
              <w:instrText xml:space="preserve"> = 6 \* GB3 \* MERGEFORMAT </w:instrText>
            </w:r>
            <w:r>
              <w:rPr>
                <w:rFonts w:ascii="Times New Roman"/>
                <w:b/>
                <w:snapToGrid w:val="0"/>
                <w:color w:val="auto"/>
                <w:spacing w:val="-16"/>
                <w:kern w:val="21"/>
                <w:szCs w:val="21"/>
              </w:rPr>
              <w:fldChar w:fldCharType="separate"/>
            </w:r>
            <w:r>
              <w:rPr>
                <w:rFonts w:ascii="Times New Roman"/>
                <w:b/>
                <w:color w:val="auto"/>
                <w:kern w:val="2"/>
                <w:szCs w:val="21"/>
              </w:rPr>
              <w:t>⑥</w:t>
            </w:r>
            <w:r>
              <w:rPr>
                <w:rFonts w:ascii="Times New Roman"/>
                <w:b/>
                <w:snapToGrid w:val="0"/>
                <w:color w:val="auto"/>
                <w:spacing w:val="-16"/>
                <w:kern w:val="21"/>
                <w:szCs w:val="21"/>
              </w:rPr>
              <w:fldChar w:fldCharType="end"/>
            </w:r>
          </w:p>
        </w:tc>
        <w:tc>
          <w:tcPr>
            <w:tcW w:w="475" w:type="pct"/>
            <w:tcBorders>
              <w:tl2br w:val="nil"/>
              <w:tr2bl w:val="nil"/>
            </w:tcBorders>
            <w:tcMar>
              <w:left w:w="28" w:type="dxa"/>
              <w:right w:w="28" w:type="dxa"/>
            </w:tcMar>
            <w:vAlign w:val="center"/>
          </w:tcPr>
          <w:p w14:paraId="4E860DC2">
            <w:pPr>
              <w:pStyle w:val="53"/>
              <w:spacing w:beforeLines="0" w:afterLines="0" w:line="276" w:lineRule="auto"/>
              <w:rPr>
                <w:rFonts w:ascii="Times New Roman"/>
                <w:b/>
                <w:snapToGrid w:val="0"/>
                <w:color w:val="auto"/>
                <w:spacing w:val="-6"/>
                <w:kern w:val="21"/>
                <w:szCs w:val="21"/>
              </w:rPr>
            </w:pPr>
            <w:r>
              <w:rPr>
                <w:rFonts w:ascii="Times New Roman"/>
                <w:b/>
                <w:snapToGrid w:val="0"/>
                <w:color w:val="auto"/>
                <w:spacing w:val="-6"/>
                <w:kern w:val="21"/>
                <w:szCs w:val="21"/>
              </w:rPr>
              <w:t>变化量</w:t>
            </w:r>
          </w:p>
          <w:p w14:paraId="6B0228BD">
            <w:pPr>
              <w:pStyle w:val="53"/>
              <w:spacing w:beforeLines="0" w:afterLines="0" w:line="276" w:lineRule="auto"/>
              <w:rPr>
                <w:rFonts w:ascii="Times New Roman"/>
                <w:b/>
                <w:snapToGrid w:val="0"/>
                <w:color w:val="auto"/>
                <w:spacing w:val="-6"/>
                <w:kern w:val="21"/>
                <w:szCs w:val="21"/>
              </w:rPr>
            </w:pPr>
            <w:r>
              <w:rPr>
                <w:rFonts w:ascii="Times New Roman"/>
                <w:b/>
                <w:snapToGrid w:val="0"/>
                <w:color w:val="auto"/>
                <w:spacing w:val="-6"/>
                <w:kern w:val="21"/>
                <w:szCs w:val="21"/>
              </w:rPr>
              <w:fldChar w:fldCharType="begin"/>
            </w:r>
            <w:r>
              <w:rPr>
                <w:rFonts w:ascii="Times New Roman"/>
                <w:b/>
                <w:snapToGrid w:val="0"/>
                <w:color w:val="auto"/>
                <w:spacing w:val="-6"/>
                <w:kern w:val="21"/>
                <w:szCs w:val="21"/>
              </w:rPr>
              <w:instrText xml:space="preserve"> = 7 \* GB3 \* MERGEFORMAT </w:instrText>
            </w:r>
            <w:r>
              <w:rPr>
                <w:rFonts w:ascii="Times New Roman"/>
                <w:b/>
                <w:snapToGrid w:val="0"/>
                <w:color w:val="auto"/>
                <w:spacing w:val="-6"/>
                <w:kern w:val="21"/>
                <w:szCs w:val="21"/>
              </w:rPr>
              <w:fldChar w:fldCharType="separate"/>
            </w:r>
            <w:r>
              <w:rPr>
                <w:rFonts w:ascii="Times New Roman"/>
                <w:b/>
                <w:color w:val="auto"/>
                <w:kern w:val="2"/>
                <w:szCs w:val="21"/>
              </w:rPr>
              <w:t>⑦</w:t>
            </w:r>
            <w:r>
              <w:rPr>
                <w:rFonts w:ascii="Times New Roman"/>
                <w:b/>
                <w:snapToGrid w:val="0"/>
                <w:color w:val="auto"/>
                <w:spacing w:val="-6"/>
                <w:kern w:val="21"/>
                <w:szCs w:val="21"/>
              </w:rPr>
              <w:fldChar w:fldCharType="end"/>
            </w:r>
          </w:p>
        </w:tc>
      </w:tr>
      <w:tr w14:paraId="3ABFC5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8" w:type="pct"/>
            <w:vMerge w:val="restart"/>
            <w:tcBorders>
              <w:tl2br w:val="nil"/>
              <w:tr2bl w:val="nil"/>
            </w:tcBorders>
            <w:vAlign w:val="center"/>
          </w:tcPr>
          <w:p w14:paraId="02421F99">
            <w:pPr>
              <w:keepNext w:val="0"/>
              <w:keepLines w:val="0"/>
              <w:pageBreakBefore w:val="0"/>
              <w:kinsoku/>
              <w:wordWrap/>
              <w:overflowPunct/>
              <w:topLinePunct w:val="0"/>
              <w:autoSpaceDE/>
              <w:autoSpaceDN/>
              <w:bidi w:val="0"/>
              <w:adjustRightInd w:val="0"/>
              <w:snapToGrid/>
              <w:spacing w:line="240" w:lineRule="auto"/>
              <w:jc w:val="center"/>
              <w:textAlignment w:val="auto"/>
              <w:rPr>
                <w:rFonts w:hint="eastAsia" w:ascii="Times New Roman" w:hAnsi="Times New Roman" w:eastAsia="宋体" w:cs="Times New Roman"/>
                <w:bCs/>
                <w:color w:val="auto"/>
                <w:szCs w:val="21"/>
              </w:rPr>
            </w:pPr>
            <w:r>
              <w:rPr>
                <w:rFonts w:hint="eastAsia" w:ascii="Times New Roman" w:hAnsi="Times New Roman" w:eastAsia="宋体" w:cs="Times New Roman"/>
                <w:bCs/>
                <w:color w:val="auto"/>
                <w:szCs w:val="21"/>
              </w:rPr>
              <w:t>废气</w:t>
            </w:r>
          </w:p>
        </w:tc>
        <w:tc>
          <w:tcPr>
            <w:tcW w:w="519" w:type="pct"/>
            <w:tcBorders>
              <w:tl2br w:val="nil"/>
              <w:tr2bl w:val="nil"/>
            </w:tcBorders>
            <w:vAlign w:val="center"/>
          </w:tcPr>
          <w:p w14:paraId="759994EC">
            <w:pPr>
              <w:keepNext w:val="0"/>
              <w:keepLines w:val="0"/>
              <w:pageBreakBefore w:val="0"/>
              <w:kinsoku/>
              <w:wordWrap/>
              <w:overflowPunct/>
              <w:topLinePunct w:val="0"/>
              <w:autoSpaceDE/>
              <w:autoSpaceDN/>
              <w:bidi w:val="0"/>
              <w:adjustRightInd w:val="0"/>
              <w:snapToGrid/>
              <w:spacing w:line="340" w:lineRule="exact"/>
              <w:jc w:val="center"/>
              <w:textAlignment w:val="auto"/>
              <w:rPr>
                <w:rFonts w:hint="eastAsia" w:eastAsia="宋体"/>
                <w:snapToGrid w:val="0"/>
                <w:color w:val="auto"/>
                <w:kern w:val="21"/>
                <w:szCs w:val="21"/>
                <w:lang w:eastAsia="zh-CN"/>
              </w:rPr>
            </w:pPr>
            <w:r>
              <w:rPr>
                <w:rFonts w:hint="eastAsia"/>
                <w:snapToGrid w:val="0"/>
                <w:color w:val="auto"/>
                <w:kern w:val="21"/>
                <w:szCs w:val="21"/>
                <w:lang w:val="en-US" w:eastAsia="zh-CN"/>
              </w:rPr>
              <w:t>氯化氢</w:t>
            </w:r>
          </w:p>
        </w:tc>
        <w:tc>
          <w:tcPr>
            <w:tcW w:w="624" w:type="pct"/>
            <w:tcBorders>
              <w:tl2br w:val="nil"/>
              <w:tr2bl w:val="nil"/>
            </w:tcBorders>
            <w:vAlign w:val="center"/>
          </w:tcPr>
          <w:p w14:paraId="0CD7B44B">
            <w:pPr>
              <w:keepNext w:val="0"/>
              <w:keepLines w:val="0"/>
              <w:pageBreakBefore w:val="0"/>
              <w:kinsoku/>
              <w:wordWrap/>
              <w:overflowPunct/>
              <w:topLinePunct w:val="0"/>
              <w:autoSpaceDE/>
              <w:autoSpaceDN/>
              <w:bidi w:val="0"/>
              <w:adjustRightInd w:val="0"/>
              <w:snapToGrid/>
              <w:spacing w:line="340" w:lineRule="exact"/>
              <w:jc w:val="center"/>
              <w:textAlignment w:val="auto"/>
              <w:rPr>
                <w:rFonts w:hint="default" w:ascii="Times New Roman" w:hAnsi="Times New Roman" w:eastAsia="宋体" w:cs="Times New Roman"/>
                <w:snapToGrid w:val="0"/>
                <w:color w:val="auto"/>
                <w:kern w:val="21"/>
                <w:szCs w:val="21"/>
                <w:lang w:val="en-US" w:eastAsia="zh-CN"/>
              </w:rPr>
            </w:pPr>
            <w:r>
              <w:rPr>
                <w:rFonts w:hint="eastAsia" w:cs="Times New Roman"/>
                <w:snapToGrid w:val="0"/>
                <w:color w:val="auto"/>
                <w:kern w:val="21"/>
                <w:szCs w:val="21"/>
                <w:lang w:val="en-US" w:eastAsia="zh-CN"/>
              </w:rPr>
              <w:t>0.1638</w:t>
            </w:r>
          </w:p>
        </w:tc>
        <w:tc>
          <w:tcPr>
            <w:tcW w:w="468" w:type="pct"/>
            <w:tcBorders>
              <w:tl2br w:val="nil"/>
              <w:tr2bl w:val="nil"/>
            </w:tcBorders>
            <w:vAlign w:val="bottom"/>
          </w:tcPr>
          <w:p w14:paraId="790DBFF1">
            <w:pPr>
              <w:keepNext w:val="0"/>
              <w:keepLines w:val="0"/>
              <w:pageBreakBefore w:val="0"/>
              <w:kinsoku/>
              <w:wordWrap/>
              <w:overflowPunct/>
              <w:topLinePunct w:val="0"/>
              <w:autoSpaceDE/>
              <w:autoSpaceDN/>
              <w:bidi w:val="0"/>
              <w:adjustRightInd w:val="0"/>
              <w:snapToGrid/>
              <w:spacing w:line="340" w:lineRule="exact"/>
              <w:jc w:val="center"/>
              <w:textAlignment w:val="auto"/>
              <w:rPr>
                <w:rFonts w:hint="eastAsia" w:ascii="Times New Roman" w:hAnsi="Times New Roman" w:eastAsia="宋体" w:cs="Times New Roman"/>
                <w:snapToGrid w:val="0"/>
                <w:color w:val="auto"/>
                <w:kern w:val="21"/>
                <w:szCs w:val="21"/>
                <w:lang w:val="en-US" w:eastAsia="zh-CN"/>
              </w:rPr>
            </w:pPr>
            <w:r>
              <w:rPr>
                <w:rFonts w:hint="eastAsia" w:ascii="Times New Roman" w:hAnsi="Times New Roman" w:eastAsia="宋体" w:cs="Times New Roman"/>
                <w:snapToGrid w:val="0"/>
                <w:color w:val="auto"/>
                <w:kern w:val="21"/>
                <w:szCs w:val="21"/>
                <w:lang w:val="en-US" w:eastAsia="zh-CN"/>
              </w:rPr>
              <w:t>/</w:t>
            </w:r>
          </w:p>
        </w:tc>
        <w:tc>
          <w:tcPr>
            <w:tcW w:w="624" w:type="pct"/>
            <w:tcBorders>
              <w:tl2br w:val="nil"/>
              <w:tr2bl w:val="nil"/>
            </w:tcBorders>
            <w:vAlign w:val="bottom"/>
          </w:tcPr>
          <w:p w14:paraId="493F7EA7">
            <w:pPr>
              <w:keepNext w:val="0"/>
              <w:keepLines w:val="0"/>
              <w:pageBreakBefore w:val="0"/>
              <w:kinsoku/>
              <w:wordWrap/>
              <w:overflowPunct/>
              <w:topLinePunct w:val="0"/>
              <w:autoSpaceDE/>
              <w:autoSpaceDN/>
              <w:bidi w:val="0"/>
              <w:adjustRightInd w:val="0"/>
              <w:snapToGrid/>
              <w:spacing w:line="340" w:lineRule="exact"/>
              <w:jc w:val="center"/>
              <w:textAlignment w:val="auto"/>
              <w:rPr>
                <w:snapToGrid w:val="0"/>
                <w:color w:val="auto"/>
                <w:kern w:val="21"/>
                <w:szCs w:val="21"/>
              </w:rPr>
            </w:pPr>
            <w:r>
              <w:rPr>
                <w:rFonts w:hint="eastAsia" w:ascii="Times New Roman" w:hAnsi="Times New Roman" w:eastAsia="宋体" w:cs="Times New Roman"/>
                <w:snapToGrid w:val="0"/>
                <w:color w:val="auto"/>
                <w:kern w:val="21"/>
                <w:szCs w:val="21"/>
                <w:lang w:val="en-US" w:eastAsia="zh-CN"/>
              </w:rPr>
              <w:t>/</w:t>
            </w:r>
          </w:p>
        </w:tc>
        <w:tc>
          <w:tcPr>
            <w:tcW w:w="1608" w:type="dxa"/>
            <w:tcBorders>
              <w:tl2br w:val="nil"/>
              <w:tr2bl w:val="nil"/>
            </w:tcBorders>
            <w:vAlign w:val="center"/>
          </w:tcPr>
          <w:p w14:paraId="1AB4E072">
            <w:pPr>
              <w:keepNext w:val="0"/>
              <w:keepLines w:val="0"/>
              <w:pageBreakBefore w:val="0"/>
              <w:kinsoku/>
              <w:wordWrap/>
              <w:overflowPunct/>
              <w:topLinePunct w:val="0"/>
              <w:autoSpaceDE/>
              <w:autoSpaceDN/>
              <w:bidi w:val="0"/>
              <w:adjustRightInd w:val="0"/>
              <w:snapToGrid/>
              <w:spacing w:line="340" w:lineRule="exact"/>
              <w:jc w:val="center"/>
              <w:textAlignment w:val="auto"/>
              <w:rPr>
                <w:rFonts w:hint="eastAsia" w:ascii="Times New Roman" w:hAnsi="Times New Roman" w:eastAsia="宋体" w:cs="Times New Roman"/>
                <w:snapToGrid w:val="0"/>
                <w:color w:val="auto"/>
                <w:kern w:val="21"/>
                <w:szCs w:val="21"/>
                <w:lang w:val="en-US" w:eastAsia="zh-CN"/>
              </w:rPr>
            </w:pPr>
            <w:r>
              <w:rPr>
                <w:rFonts w:hint="eastAsia" w:cs="Times New Roman"/>
                <w:snapToGrid w:val="0"/>
                <w:color w:val="auto"/>
                <w:kern w:val="21"/>
                <w:szCs w:val="21"/>
                <w:lang w:val="en-US" w:eastAsia="zh-CN"/>
              </w:rPr>
              <w:t>0.1638</w:t>
            </w:r>
          </w:p>
        </w:tc>
        <w:tc>
          <w:tcPr>
            <w:tcW w:w="1814" w:type="dxa"/>
            <w:tcBorders>
              <w:tl2br w:val="nil"/>
              <w:tr2bl w:val="nil"/>
            </w:tcBorders>
            <w:vAlign w:val="center"/>
          </w:tcPr>
          <w:p w14:paraId="4389868B">
            <w:pPr>
              <w:keepNext w:val="0"/>
              <w:keepLines w:val="0"/>
              <w:pageBreakBefore w:val="0"/>
              <w:kinsoku/>
              <w:wordWrap/>
              <w:overflowPunct/>
              <w:topLinePunct w:val="0"/>
              <w:autoSpaceDE/>
              <w:autoSpaceDN/>
              <w:bidi w:val="0"/>
              <w:adjustRightInd w:val="0"/>
              <w:snapToGrid/>
              <w:spacing w:line="340" w:lineRule="exact"/>
              <w:jc w:val="center"/>
              <w:textAlignment w:val="auto"/>
              <w:rPr>
                <w:snapToGrid w:val="0"/>
                <w:color w:val="auto"/>
                <w:kern w:val="21"/>
                <w:szCs w:val="21"/>
              </w:rPr>
            </w:pPr>
            <w:r>
              <w:rPr>
                <w:rFonts w:hint="eastAsia" w:cs="Times New Roman"/>
                <w:snapToGrid w:val="0"/>
                <w:color w:val="auto"/>
                <w:kern w:val="21"/>
                <w:szCs w:val="21"/>
                <w:lang w:val="en-US" w:eastAsia="zh-CN"/>
              </w:rPr>
              <w:t>0.1638</w:t>
            </w:r>
          </w:p>
        </w:tc>
        <w:tc>
          <w:tcPr>
            <w:tcW w:w="1693" w:type="dxa"/>
            <w:tcBorders>
              <w:tl2br w:val="nil"/>
              <w:tr2bl w:val="nil"/>
            </w:tcBorders>
            <w:vAlign w:val="center"/>
          </w:tcPr>
          <w:p w14:paraId="503A288C">
            <w:pPr>
              <w:keepNext w:val="0"/>
              <w:keepLines w:val="0"/>
              <w:pageBreakBefore w:val="0"/>
              <w:kinsoku/>
              <w:wordWrap/>
              <w:overflowPunct/>
              <w:topLinePunct w:val="0"/>
              <w:autoSpaceDE/>
              <w:autoSpaceDN/>
              <w:bidi w:val="0"/>
              <w:adjustRightInd w:val="0"/>
              <w:snapToGrid/>
              <w:spacing w:line="340" w:lineRule="exact"/>
              <w:jc w:val="center"/>
              <w:textAlignment w:val="auto"/>
              <w:rPr>
                <w:color w:val="auto"/>
                <w:szCs w:val="21"/>
              </w:rPr>
            </w:pPr>
            <w:r>
              <w:rPr>
                <w:rFonts w:hint="eastAsia" w:cs="Times New Roman"/>
                <w:snapToGrid w:val="0"/>
                <w:color w:val="auto"/>
                <w:kern w:val="21"/>
                <w:szCs w:val="21"/>
                <w:lang w:val="en-US" w:eastAsia="zh-CN"/>
              </w:rPr>
              <w:t>0.1638</w:t>
            </w:r>
          </w:p>
        </w:tc>
        <w:tc>
          <w:tcPr>
            <w:tcW w:w="1336" w:type="dxa"/>
            <w:tcBorders>
              <w:tl2br w:val="nil"/>
              <w:tr2bl w:val="nil"/>
            </w:tcBorders>
            <w:vAlign w:val="center"/>
          </w:tcPr>
          <w:p w14:paraId="747CBC7C">
            <w:pPr>
              <w:keepNext w:val="0"/>
              <w:keepLines w:val="0"/>
              <w:widowControl/>
              <w:suppressLineNumbers w:val="0"/>
              <w:jc w:val="center"/>
              <w:textAlignment w:val="center"/>
              <w:rPr>
                <w:rFonts w:hint="default" w:ascii="Times New Roman" w:hAnsi="Times New Roman" w:eastAsia="宋体" w:cs="Times New Roman"/>
                <w:snapToGrid w:val="0"/>
                <w:color w:val="auto"/>
                <w:kern w:val="21"/>
                <w:szCs w:val="21"/>
                <w:lang w:val="en-US" w:eastAsia="zh-CN"/>
              </w:rPr>
            </w:pPr>
            <w:r>
              <w:rPr>
                <w:rFonts w:hint="eastAsia" w:cs="Times New Roman"/>
                <w:snapToGrid w:val="0"/>
                <w:color w:val="auto"/>
                <w:kern w:val="21"/>
                <w:szCs w:val="21"/>
                <w:lang w:val="en-US" w:eastAsia="zh-CN"/>
              </w:rPr>
              <w:t>0</w:t>
            </w:r>
          </w:p>
        </w:tc>
      </w:tr>
      <w:tr w14:paraId="59FCB3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68" w:type="pct"/>
            <w:vMerge w:val="continue"/>
            <w:tcBorders>
              <w:tl2br w:val="nil"/>
              <w:tr2bl w:val="nil"/>
            </w:tcBorders>
            <w:vAlign w:val="center"/>
          </w:tcPr>
          <w:p w14:paraId="04EC2747">
            <w:pPr>
              <w:keepNext w:val="0"/>
              <w:keepLines w:val="0"/>
              <w:pageBreakBefore w:val="0"/>
              <w:kinsoku/>
              <w:wordWrap/>
              <w:overflowPunct/>
              <w:topLinePunct w:val="0"/>
              <w:autoSpaceDE/>
              <w:autoSpaceDN/>
              <w:bidi w:val="0"/>
              <w:adjustRightInd w:val="0"/>
              <w:snapToGrid/>
              <w:spacing w:line="240" w:lineRule="auto"/>
              <w:jc w:val="center"/>
              <w:textAlignment w:val="auto"/>
              <w:rPr>
                <w:rFonts w:hint="eastAsia" w:ascii="Times New Roman" w:hAnsi="Times New Roman" w:eastAsia="宋体" w:cs="Times New Roman"/>
                <w:bCs/>
                <w:color w:val="auto"/>
                <w:szCs w:val="21"/>
              </w:rPr>
            </w:pPr>
          </w:p>
        </w:tc>
        <w:tc>
          <w:tcPr>
            <w:tcW w:w="519" w:type="pct"/>
            <w:tcBorders>
              <w:tl2br w:val="nil"/>
              <w:tr2bl w:val="nil"/>
            </w:tcBorders>
            <w:vAlign w:val="center"/>
          </w:tcPr>
          <w:p w14:paraId="6B0035D3">
            <w:pPr>
              <w:keepNext w:val="0"/>
              <w:keepLines w:val="0"/>
              <w:pageBreakBefore w:val="0"/>
              <w:kinsoku/>
              <w:wordWrap/>
              <w:overflowPunct/>
              <w:topLinePunct w:val="0"/>
              <w:autoSpaceDE/>
              <w:autoSpaceDN/>
              <w:bidi w:val="0"/>
              <w:adjustRightInd w:val="0"/>
              <w:snapToGrid/>
              <w:spacing w:line="340" w:lineRule="exact"/>
              <w:jc w:val="center"/>
              <w:textAlignment w:val="auto"/>
              <w:rPr>
                <w:rFonts w:hint="default"/>
                <w:snapToGrid w:val="0"/>
                <w:color w:val="auto"/>
                <w:kern w:val="21"/>
                <w:szCs w:val="21"/>
                <w:lang w:val="en-US" w:eastAsia="zh-CN"/>
              </w:rPr>
            </w:pPr>
            <w:r>
              <w:rPr>
                <w:rFonts w:hint="eastAsia"/>
                <w:snapToGrid w:val="0"/>
                <w:color w:val="auto"/>
                <w:kern w:val="21"/>
                <w:szCs w:val="21"/>
                <w:lang w:val="en-US" w:eastAsia="zh-CN"/>
              </w:rPr>
              <w:t>硫酸雾</w:t>
            </w:r>
          </w:p>
        </w:tc>
        <w:tc>
          <w:tcPr>
            <w:tcW w:w="624" w:type="pct"/>
            <w:tcBorders>
              <w:tl2br w:val="nil"/>
              <w:tr2bl w:val="nil"/>
            </w:tcBorders>
            <w:vAlign w:val="center"/>
          </w:tcPr>
          <w:p w14:paraId="03A264F9">
            <w:pPr>
              <w:keepNext w:val="0"/>
              <w:keepLines w:val="0"/>
              <w:pageBreakBefore w:val="0"/>
              <w:kinsoku/>
              <w:wordWrap/>
              <w:overflowPunct/>
              <w:topLinePunct w:val="0"/>
              <w:autoSpaceDE/>
              <w:autoSpaceDN/>
              <w:bidi w:val="0"/>
              <w:adjustRightInd w:val="0"/>
              <w:snapToGrid/>
              <w:spacing w:line="340" w:lineRule="exact"/>
              <w:jc w:val="center"/>
              <w:textAlignment w:val="auto"/>
              <w:rPr>
                <w:rFonts w:hint="default" w:ascii="Times New Roman" w:hAnsi="Times New Roman" w:eastAsia="宋体" w:cs="Times New Roman"/>
                <w:snapToGrid w:val="0"/>
                <w:color w:val="auto"/>
                <w:kern w:val="21"/>
                <w:szCs w:val="21"/>
                <w:lang w:val="en-US" w:eastAsia="zh-CN"/>
              </w:rPr>
            </w:pPr>
            <w:r>
              <w:rPr>
                <w:rFonts w:hint="eastAsia" w:cs="Times New Roman"/>
                <w:snapToGrid w:val="0"/>
                <w:color w:val="auto"/>
                <w:kern w:val="21"/>
                <w:szCs w:val="21"/>
                <w:lang w:val="en-US" w:eastAsia="zh-CN"/>
              </w:rPr>
              <w:t>0.0823</w:t>
            </w:r>
          </w:p>
        </w:tc>
        <w:tc>
          <w:tcPr>
            <w:tcW w:w="468" w:type="pct"/>
            <w:tcBorders>
              <w:tl2br w:val="nil"/>
              <w:tr2bl w:val="nil"/>
            </w:tcBorders>
            <w:vAlign w:val="bottom"/>
          </w:tcPr>
          <w:p w14:paraId="73F9D897">
            <w:pPr>
              <w:keepNext w:val="0"/>
              <w:keepLines w:val="0"/>
              <w:pageBreakBefore w:val="0"/>
              <w:kinsoku/>
              <w:wordWrap/>
              <w:overflowPunct/>
              <w:topLinePunct w:val="0"/>
              <w:autoSpaceDE/>
              <w:autoSpaceDN/>
              <w:bidi w:val="0"/>
              <w:adjustRightInd w:val="0"/>
              <w:snapToGrid/>
              <w:spacing w:line="340" w:lineRule="exact"/>
              <w:jc w:val="center"/>
              <w:textAlignment w:val="auto"/>
              <w:rPr>
                <w:rFonts w:hint="eastAsia" w:ascii="Times New Roman" w:hAnsi="Times New Roman" w:eastAsia="宋体" w:cs="Times New Roman"/>
                <w:snapToGrid w:val="0"/>
                <w:color w:val="auto"/>
                <w:kern w:val="21"/>
                <w:szCs w:val="21"/>
                <w:lang w:val="en-US" w:eastAsia="zh-CN"/>
              </w:rPr>
            </w:pPr>
            <w:r>
              <w:rPr>
                <w:rFonts w:hint="eastAsia" w:ascii="Times New Roman" w:hAnsi="Times New Roman" w:eastAsia="宋体" w:cs="Times New Roman"/>
                <w:snapToGrid w:val="0"/>
                <w:color w:val="auto"/>
                <w:kern w:val="21"/>
                <w:szCs w:val="21"/>
                <w:lang w:val="en-US" w:eastAsia="zh-CN"/>
              </w:rPr>
              <w:t>/</w:t>
            </w:r>
          </w:p>
        </w:tc>
        <w:tc>
          <w:tcPr>
            <w:tcW w:w="624" w:type="pct"/>
            <w:tcBorders>
              <w:tl2br w:val="nil"/>
              <w:tr2bl w:val="nil"/>
            </w:tcBorders>
            <w:vAlign w:val="bottom"/>
          </w:tcPr>
          <w:p w14:paraId="588F89E9">
            <w:pPr>
              <w:keepNext w:val="0"/>
              <w:keepLines w:val="0"/>
              <w:pageBreakBefore w:val="0"/>
              <w:kinsoku/>
              <w:wordWrap/>
              <w:overflowPunct/>
              <w:topLinePunct w:val="0"/>
              <w:autoSpaceDE/>
              <w:autoSpaceDN/>
              <w:bidi w:val="0"/>
              <w:adjustRightInd w:val="0"/>
              <w:snapToGrid/>
              <w:spacing w:line="340" w:lineRule="exact"/>
              <w:jc w:val="center"/>
              <w:textAlignment w:val="auto"/>
              <w:rPr>
                <w:rFonts w:hint="eastAsia"/>
                <w:snapToGrid w:val="0"/>
                <w:color w:val="auto"/>
                <w:kern w:val="21"/>
                <w:szCs w:val="21"/>
              </w:rPr>
            </w:pPr>
            <w:r>
              <w:rPr>
                <w:rFonts w:hint="eastAsia" w:ascii="Times New Roman" w:hAnsi="Times New Roman" w:eastAsia="宋体" w:cs="Times New Roman"/>
                <w:snapToGrid w:val="0"/>
                <w:color w:val="auto"/>
                <w:kern w:val="21"/>
                <w:szCs w:val="21"/>
                <w:lang w:val="en-US" w:eastAsia="zh-CN"/>
              </w:rPr>
              <w:t>/</w:t>
            </w:r>
          </w:p>
        </w:tc>
        <w:tc>
          <w:tcPr>
            <w:tcW w:w="1608" w:type="dxa"/>
            <w:tcBorders>
              <w:tl2br w:val="nil"/>
              <w:tr2bl w:val="nil"/>
            </w:tcBorders>
            <w:vAlign w:val="center"/>
          </w:tcPr>
          <w:p w14:paraId="5907A27F">
            <w:pPr>
              <w:keepNext w:val="0"/>
              <w:keepLines w:val="0"/>
              <w:pageBreakBefore w:val="0"/>
              <w:kinsoku/>
              <w:wordWrap/>
              <w:overflowPunct/>
              <w:topLinePunct w:val="0"/>
              <w:autoSpaceDE/>
              <w:autoSpaceDN/>
              <w:bidi w:val="0"/>
              <w:adjustRightInd w:val="0"/>
              <w:snapToGrid/>
              <w:spacing w:line="340" w:lineRule="exact"/>
              <w:jc w:val="center"/>
              <w:textAlignment w:val="auto"/>
              <w:rPr>
                <w:rFonts w:hint="default" w:ascii="Times New Roman" w:hAnsi="Times New Roman" w:eastAsia="宋体" w:cs="Times New Roman"/>
                <w:snapToGrid w:val="0"/>
                <w:color w:val="auto"/>
                <w:kern w:val="21"/>
                <w:szCs w:val="21"/>
                <w:lang w:val="en-US" w:eastAsia="zh-CN"/>
              </w:rPr>
            </w:pPr>
            <w:r>
              <w:rPr>
                <w:rFonts w:hint="eastAsia" w:cs="Times New Roman"/>
                <w:snapToGrid w:val="0"/>
                <w:color w:val="auto"/>
                <w:kern w:val="21"/>
                <w:szCs w:val="21"/>
                <w:lang w:val="en-US" w:eastAsia="zh-CN"/>
              </w:rPr>
              <w:t>0.0823</w:t>
            </w:r>
          </w:p>
        </w:tc>
        <w:tc>
          <w:tcPr>
            <w:tcW w:w="1814" w:type="dxa"/>
            <w:tcBorders>
              <w:tl2br w:val="nil"/>
              <w:tr2bl w:val="nil"/>
            </w:tcBorders>
            <w:vAlign w:val="center"/>
          </w:tcPr>
          <w:p w14:paraId="533DABB2">
            <w:pPr>
              <w:keepNext w:val="0"/>
              <w:keepLines w:val="0"/>
              <w:pageBreakBefore w:val="0"/>
              <w:kinsoku/>
              <w:wordWrap/>
              <w:overflowPunct/>
              <w:topLinePunct w:val="0"/>
              <w:autoSpaceDE/>
              <w:autoSpaceDN/>
              <w:bidi w:val="0"/>
              <w:adjustRightInd w:val="0"/>
              <w:snapToGrid/>
              <w:spacing w:line="340" w:lineRule="exact"/>
              <w:jc w:val="center"/>
              <w:textAlignment w:val="auto"/>
              <w:rPr>
                <w:rFonts w:hint="eastAsia"/>
                <w:snapToGrid w:val="0"/>
                <w:color w:val="auto"/>
                <w:kern w:val="21"/>
                <w:szCs w:val="21"/>
              </w:rPr>
            </w:pPr>
            <w:r>
              <w:rPr>
                <w:rFonts w:hint="eastAsia" w:cs="Times New Roman"/>
                <w:snapToGrid w:val="0"/>
                <w:color w:val="auto"/>
                <w:kern w:val="21"/>
                <w:szCs w:val="21"/>
                <w:lang w:val="en-US" w:eastAsia="zh-CN"/>
              </w:rPr>
              <w:t>0.0823</w:t>
            </w:r>
          </w:p>
        </w:tc>
        <w:tc>
          <w:tcPr>
            <w:tcW w:w="1693" w:type="dxa"/>
            <w:tcBorders>
              <w:tl2br w:val="nil"/>
              <w:tr2bl w:val="nil"/>
            </w:tcBorders>
            <w:vAlign w:val="center"/>
          </w:tcPr>
          <w:p w14:paraId="0A3CE751">
            <w:pPr>
              <w:keepNext w:val="0"/>
              <w:keepLines w:val="0"/>
              <w:pageBreakBefore w:val="0"/>
              <w:kinsoku/>
              <w:wordWrap/>
              <w:overflowPunct/>
              <w:topLinePunct w:val="0"/>
              <w:autoSpaceDE/>
              <w:autoSpaceDN/>
              <w:bidi w:val="0"/>
              <w:adjustRightInd w:val="0"/>
              <w:snapToGrid/>
              <w:spacing w:line="340" w:lineRule="exact"/>
              <w:jc w:val="center"/>
              <w:textAlignment w:val="auto"/>
              <w:rPr>
                <w:rFonts w:hint="eastAsia" w:ascii="Times New Roman" w:cs="Times New Roman"/>
                <w:color w:val="auto"/>
                <w:kern w:val="2"/>
                <w:sz w:val="21"/>
                <w:szCs w:val="21"/>
                <w:lang w:val="en-US" w:eastAsia="zh-CN" w:bidi="ar-SA"/>
              </w:rPr>
            </w:pPr>
            <w:r>
              <w:rPr>
                <w:rFonts w:hint="eastAsia" w:cs="Times New Roman"/>
                <w:snapToGrid w:val="0"/>
                <w:color w:val="auto"/>
                <w:kern w:val="21"/>
                <w:szCs w:val="21"/>
                <w:lang w:val="en-US" w:eastAsia="zh-CN"/>
              </w:rPr>
              <w:t>0.0823</w:t>
            </w:r>
          </w:p>
        </w:tc>
        <w:tc>
          <w:tcPr>
            <w:tcW w:w="1336" w:type="dxa"/>
            <w:tcBorders>
              <w:tl2br w:val="nil"/>
              <w:tr2bl w:val="nil"/>
            </w:tcBorders>
            <w:vAlign w:val="center"/>
          </w:tcPr>
          <w:p w14:paraId="442C7A38">
            <w:pPr>
              <w:keepNext w:val="0"/>
              <w:keepLines w:val="0"/>
              <w:widowControl/>
              <w:suppressLineNumbers w:val="0"/>
              <w:jc w:val="center"/>
              <w:textAlignment w:val="center"/>
              <w:rPr>
                <w:rFonts w:hint="default" w:ascii="Times New Roman" w:hAnsi="Times New Roman" w:eastAsia="宋体" w:cs="Times New Roman"/>
                <w:snapToGrid w:val="0"/>
                <w:color w:val="auto"/>
                <w:kern w:val="21"/>
                <w:szCs w:val="21"/>
                <w:lang w:val="en-US" w:eastAsia="zh-CN"/>
              </w:rPr>
            </w:pPr>
            <w:r>
              <w:rPr>
                <w:rFonts w:hint="eastAsia" w:cs="Times New Roman"/>
                <w:snapToGrid w:val="0"/>
                <w:color w:val="auto"/>
                <w:kern w:val="21"/>
                <w:szCs w:val="21"/>
                <w:lang w:val="en-US" w:eastAsia="zh-CN"/>
              </w:rPr>
              <w:t>0</w:t>
            </w:r>
          </w:p>
        </w:tc>
      </w:tr>
      <w:tr w14:paraId="04FF1B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8" w:type="pct"/>
            <w:vMerge w:val="continue"/>
            <w:tcBorders>
              <w:tl2br w:val="nil"/>
              <w:tr2bl w:val="nil"/>
            </w:tcBorders>
            <w:vAlign w:val="center"/>
          </w:tcPr>
          <w:p w14:paraId="2843DA67">
            <w:pPr>
              <w:keepNext w:val="0"/>
              <w:keepLines w:val="0"/>
              <w:pageBreakBefore w:val="0"/>
              <w:kinsoku/>
              <w:wordWrap/>
              <w:overflowPunct/>
              <w:topLinePunct w:val="0"/>
              <w:autoSpaceDE/>
              <w:autoSpaceDN/>
              <w:bidi w:val="0"/>
              <w:adjustRightInd w:val="0"/>
              <w:snapToGrid/>
              <w:spacing w:line="240" w:lineRule="auto"/>
              <w:jc w:val="center"/>
              <w:textAlignment w:val="auto"/>
              <w:rPr>
                <w:rFonts w:hint="eastAsia" w:ascii="Times New Roman" w:hAnsi="Times New Roman" w:eastAsia="宋体" w:cs="Times New Roman"/>
                <w:bCs/>
                <w:color w:val="auto"/>
                <w:szCs w:val="21"/>
              </w:rPr>
            </w:pPr>
          </w:p>
        </w:tc>
        <w:tc>
          <w:tcPr>
            <w:tcW w:w="519" w:type="pct"/>
            <w:tcBorders>
              <w:tl2br w:val="nil"/>
              <w:tr2bl w:val="nil"/>
            </w:tcBorders>
            <w:vAlign w:val="center"/>
          </w:tcPr>
          <w:p w14:paraId="3D493400">
            <w:pPr>
              <w:keepNext w:val="0"/>
              <w:keepLines w:val="0"/>
              <w:pageBreakBefore w:val="0"/>
              <w:kinsoku/>
              <w:wordWrap/>
              <w:overflowPunct/>
              <w:topLinePunct w:val="0"/>
              <w:autoSpaceDE/>
              <w:autoSpaceDN/>
              <w:bidi w:val="0"/>
              <w:adjustRightInd w:val="0"/>
              <w:snapToGrid/>
              <w:spacing w:line="340" w:lineRule="exact"/>
              <w:jc w:val="center"/>
              <w:textAlignment w:val="auto"/>
              <w:rPr>
                <w:rFonts w:hint="default"/>
                <w:snapToGrid w:val="0"/>
                <w:color w:val="auto"/>
                <w:kern w:val="21"/>
                <w:szCs w:val="21"/>
                <w:lang w:val="en-US" w:eastAsia="zh-CN"/>
              </w:rPr>
            </w:pPr>
            <w:r>
              <w:rPr>
                <w:rFonts w:hint="eastAsia"/>
                <w:snapToGrid w:val="0"/>
                <w:color w:val="auto"/>
                <w:kern w:val="21"/>
                <w:szCs w:val="21"/>
                <w:lang w:val="en-US" w:eastAsia="zh-CN"/>
              </w:rPr>
              <w:t>VOCs</w:t>
            </w:r>
          </w:p>
        </w:tc>
        <w:tc>
          <w:tcPr>
            <w:tcW w:w="624" w:type="pct"/>
            <w:tcBorders>
              <w:tl2br w:val="nil"/>
              <w:tr2bl w:val="nil"/>
            </w:tcBorders>
            <w:vAlign w:val="center"/>
          </w:tcPr>
          <w:p w14:paraId="6C587D06">
            <w:pPr>
              <w:keepNext w:val="0"/>
              <w:keepLines w:val="0"/>
              <w:pageBreakBefore w:val="0"/>
              <w:kinsoku/>
              <w:wordWrap/>
              <w:overflowPunct/>
              <w:topLinePunct w:val="0"/>
              <w:autoSpaceDE/>
              <w:autoSpaceDN/>
              <w:bidi w:val="0"/>
              <w:adjustRightInd w:val="0"/>
              <w:snapToGrid/>
              <w:spacing w:line="340" w:lineRule="exact"/>
              <w:jc w:val="center"/>
              <w:textAlignment w:val="auto"/>
              <w:rPr>
                <w:rFonts w:hint="default" w:ascii="Times New Roman" w:hAnsi="Times New Roman" w:eastAsia="宋体" w:cs="Times New Roman"/>
                <w:snapToGrid w:val="0"/>
                <w:color w:val="auto"/>
                <w:kern w:val="21"/>
                <w:szCs w:val="21"/>
                <w:lang w:val="en-US" w:eastAsia="zh-CN"/>
              </w:rPr>
            </w:pPr>
            <w:r>
              <w:rPr>
                <w:rFonts w:hint="eastAsia" w:cs="Times New Roman"/>
                <w:snapToGrid w:val="0"/>
                <w:color w:val="auto"/>
                <w:kern w:val="21"/>
                <w:szCs w:val="21"/>
                <w:lang w:val="en-US" w:eastAsia="zh-CN"/>
              </w:rPr>
              <w:t>0.0586</w:t>
            </w:r>
          </w:p>
        </w:tc>
        <w:tc>
          <w:tcPr>
            <w:tcW w:w="468" w:type="pct"/>
            <w:tcBorders>
              <w:tl2br w:val="nil"/>
              <w:tr2bl w:val="nil"/>
            </w:tcBorders>
            <w:vAlign w:val="bottom"/>
          </w:tcPr>
          <w:p w14:paraId="4B6E1142">
            <w:pPr>
              <w:keepNext w:val="0"/>
              <w:keepLines w:val="0"/>
              <w:pageBreakBefore w:val="0"/>
              <w:kinsoku/>
              <w:wordWrap/>
              <w:overflowPunct/>
              <w:topLinePunct w:val="0"/>
              <w:autoSpaceDE/>
              <w:autoSpaceDN/>
              <w:bidi w:val="0"/>
              <w:adjustRightInd w:val="0"/>
              <w:snapToGrid/>
              <w:spacing w:line="340" w:lineRule="exact"/>
              <w:jc w:val="center"/>
              <w:textAlignment w:val="auto"/>
              <w:rPr>
                <w:rFonts w:hint="default" w:ascii="Times New Roman" w:hAnsi="Times New Roman" w:eastAsia="宋体" w:cs="Times New Roman"/>
                <w:snapToGrid w:val="0"/>
                <w:color w:val="auto"/>
                <w:kern w:val="21"/>
                <w:szCs w:val="21"/>
                <w:lang w:val="en-US" w:eastAsia="zh-CN"/>
              </w:rPr>
            </w:pPr>
            <w:r>
              <w:rPr>
                <w:rFonts w:hint="eastAsia" w:cs="Times New Roman"/>
                <w:snapToGrid w:val="0"/>
                <w:color w:val="auto"/>
                <w:kern w:val="21"/>
                <w:szCs w:val="21"/>
                <w:lang w:val="en-US" w:eastAsia="zh-CN"/>
              </w:rPr>
              <w:t>/</w:t>
            </w:r>
          </w:p>
        </w:tc>
        <w:tc>
          <w:tcPr>
            <w:tcW w:w="624" w:type="pct"/>
            <w:tcBorders>
              <w:tl2br w:val="nil"/>
              <w:tr2bl w:val="nil"/>
            </w:tcBorders>
            <w:vAlign w:val="bottom"/>
          </w:tcPr>
          <w:p w14:paraId="54707CDE">
            <w:pPr>
              <w:keepNext w:val="0"/>
              <w:keepLines w:val="0"/>
              <w:pageBreakBefore w:val="0"/>
              <w:kinsoku/>
              <w:wordWrap/>
              <w:overflowPunct/>
              <w:topLinePunct w:val="0"/>
              <w:autoSpaceDE/>
              <w:autoSpaceDN/>
              <w:bidi w:val="0"/>
              <w:adjustRightInd w:val="0"/>
              <w:snapToGrid/>
              <w:spacing w:line="340" w:lineRule="exact"/>
              <w:jc w:val="center"/>
              <w:textAlignment w:val="auto"/>
              <w:rPr>
                <w:rFonts w:hint="eastAsia"/>
                <w:snapToGrid w:val="0"/>
                <w:color w:val="auto"/>
                <w:kern w:val="21"/>
                <w:szCs w:val="21"/>
              </w:rPr>
            </w:pPr>
            <w:r>
              <w:rPr>
                <w:rFonts w:hint="eastAsia" w:cs="Times New Roman"/>
                <w:snapToGrid w:val="0"/>
                <w:color w:val="auto"/>
                <w:kern w:val="21"/>
                <w:szCs w:val="21"/>
                <w:lang w:val="en-US" w:eastAsia="zh-CN"/>
              </w:rPr>
              <w:t>/</w:t>
            </w:r>
          </w:p>
        </w:tc>
        <w:tc>
          <w:tcPr>
            <w:tcW w:w="1608" w:type="dxa"/>
            <w:tcBorders>
              <w:tl2br w:val="nil"/>
              <w:tr2bl w:val="nil"/>
            </w:tcBorders>
            <w:vAlign w:val="center"/>
          </w:tcPr>
          <w:p w14:paraId="24944481">
            <w:pPr>
              <w:keepNext w:val="0"/>
              <w:keepLines w:val="0"/>
              <w:pageBreakBefore w:val="0"/>
              <w:kinsoku/>
              <w:wordWrap/>
              <w:overflowPunct/>
              <w:topLinePunct w:val="0"/>
              <w:autoSpaceDE/>
              <w:autoSpaceDN/>
              <w:bidi w:val="0"/>
              <w:adjustRightInd w:val="0"/>
              <w:snapToGrid/>
              <w:spacing w:line="340" w:lineRule="exact"/>
              <w:jc w:val="center"/>
              <w:textAlignment w:val="auto"/>
              <w:rPr>
                <w:rFonts w:hint="default" w:ascii="Times New Roman" w:hAnsi="Times New Roman" w:eastAsia="宋体" w:cs="Times New Roman"/>
                <w:snapToGrid w:val="0"/>
                <w:color w:val="auto"/>
                <w:kern w:val="21"/>
                <w:szCs w:val="21"/>
                <w:lang w:val="en-US" w:eastAsia="zh-CN"/>
              </w:rPr>
            </w:pPr>
            <w:r>
              <w:rPr>
                <w:rFonts w:hint="eastAsia" w:cs="Times New Roman"/>
                <w:snapToGrid w:val="0"/>
                <w:color w:val="auto"/>
                <w:kern w:val="21"/>
                <w:szCs w:val="21"/>
                <w:lang w:val="en-US" w:eastAsia="zh-CN"/>
              </w:rPr>
              <w:t>0.0586</w:t>
            </w:r>
          </w:p>
        </w:tc>
        <w:tc>
          <w:tcPr>
            <w:tcW w:w="1814" w:type="dxa"/>
            <w:tcBorders>
              <w:tl2br w:val="nil"/>
              <w:tr2bl w:val="nil"/>
            </w:tcBorders>
            <w:vAlign w:val="center"/>
          </w:tcPr>
          <w:p w14:paraId="6B55750A">
            <w:pPr>
              <w:keepNext w:val="0"/>
              <w:keepLines w:val="0"/>
              <w:pageBreakBefore w:val="0"/>
              <w:kinsoku/>
              <w:wordWrap/>
              <w:overflowPunct/>
              <w:topLinePunct w:val="0"/>
              <w:autoSpaceDE/>
              <w:autoSpaceDN/>
              <w:bidi w:val="0"/>
              <w:adjustRightInd w:val="0"/>
              <w:snapToGrid/>
              <w:spacing w:line="340" w:lineRule="exact"/>
              <w:jc w:val="center"/>
              <w:textAlignment w:val="auto"/>
              <w:rPr>
                <w:rFonts w:hint="eastAsia"/>
                <w:snapToGrid w:val="0"/>
                <w:color w:val="auto"/>
                <w:kern w:val="21"/>
                <w:szCs w:val="21"/>
              </w:rPr>
            </w:pPr>
            <w:r>
              <w:rPr>
                <w:rFonts w:hint="eastAsia" w:cs="Times New Roman"/>
                <w:snapToGrid w:val="0"/>
                <w:color w:val="auto"/>
                <w:kern w:val="21"/>
                <w:szCs w:val="21"/>
                <w:lang w:val="en-US" w:eastAsia="zh-CN"/>
              </w:rPr>
              <w:t>0.0586</w:t>
            </w:r>
          </w:p>
        </w:tc>
        <w:tc>
          <w:tcPr>
            <w:tcW w:w="1693" w:type="dxa"/>
            <w:tcBorders>
              <w:tl2br w:val="nil"/>
              <w:tr2bl w:val="nil"/>
            </w:tcBorders>
            <w:vAlign w:val="center"/>
          </w:tcPr>
          <w:p w14:paraId="669D6E95">
            <w:pPr>
              <w:keepNext w:val="0"/>
              <w:keepLines w:val="0"/>
              <w:pageBreakBefore w:val="0"/>
              <w:kinsoku/>
              <w:wordWrap/>
              <w:overflowPunct/>
              <w:topLinePunct w:val="0"/>
              <w:autoSpaceDE/>
              <w:autoSpaceDN/>
              <w:bidi w:val="0"/>
              <w:adjustRightInd w:val="0"/>
              <w:snapToGrid/>
              <w:spacing w:line="340" w:lineRule="exact"/>
              <w:jc w:val="center"/>
              <w:textAlignment w:val="auto"/>
              <w:rPr>
                <w:rFonts w:hint="eastAsia" w:ascii="Times New Roman" w:cs="Times New Roman"/>
                <w:color w:val="auto"/>
                <w:kern w:val="2"/>
                <w:sz w:val="21"/>
                <w:szCs w:val="21"/>
                <w:lang w:val="en-US" w:eastAsia="zh-CN" w:bidi="ar-SA"/>
              </w:rPr>
            </w:pPr>
            <w:r>
              <w:rPr>
                <w:rFonts w:hint="eastAsia" w:cs="Times New Roman"/>
                <w:snapToGrid w:val="0"/>
                <w:color w:val="auto"/>
                <w:kern w:val="21"/>
                <w:szCs w:val="21"/>
                <w:lang w:val="en-US" w:eastAsia="zh-CN"/>
              </w:rPr>
              <w:t>0.0586</w:t>
            </w:r>
          </w:p>
        </w:tc>
        <w:tc>
          <w:tcPr>
            <w:tcW w:w="1336" w:type="dxa"/>
            <w:tcBorders>
              <w:tl2br w:val="nil"/>
              <w:tr2bl w:val="nil"/>
            </w:tcBorders>
            <w:vAlign w:val="center"/>
          </w:tcPr>
          <w:p w14:paraId="0C62D7A8">
            <w:pPr>
              <w:keepNext w:val="0"/>
              <w:keepLines w:val="0"/>
              <w:widowControl/>
              <w:suppressLineNumbers w:val="0"/>
              <w:jc w:val="center"/>
              <w:textAlignment w:val="center"/>
              <w:rPr>
                <w:rFonts w:hint="default" w:ascii="Times New Roman" w:hAnsi="Times New Roman" w:eastAsia="宋体" w:cs="Times New Roman"/>
                <w:snapToGrid w:val="0"/>
                <w:color w:val="auto"/>
                <w:kern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w:t>
            </w:r>
          </w:p>
        </w:tc>
      </w:tr>
      <w:tr w14:paraId="0779C0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8" w:type="pct"/>
            <w:tcBorders>
              <w:tl2br w:val="nil"/>
              <w:tr2bl w:val="nil"/>
            </w:tcBorders>
            <w:vAlign w:val="center"/>
          </w:tcPr>
          <w:p w14:paraId="630FBAFF">
            <w:pPr>
              <w:keepNext w:val="0"/>
              <w:keepLines w:val="0"/>
              <w:pageBreakBefore w:val="0"/>
              <w:kinsoku/>
              <w:wordWrap/>
              <w:overflowPunct/>
              <w:topLinePunct w:val="0"/>
              <w:autoSpaceDE/>
              <w:autoSpaceDN/>
              <w:bidi w:val="0"/>
              <w:adjustRightInd w:val="0"/>
              <w:snapToGrid/>
              <w:spacing w:line="240" w:lineRule="auto"/>
              <w:jc w:val="center"/>
              <w:textAlignment w:val="auto"/>
              <w:rPr>
                <w:rFonts w:hint="eastAsia" w:ascii="Times New Roman" w:hAnsi="Times New Roman" w:eastAsia="宋体" w:cs="Times New Roman"/>
                <w:bCs/>
                <w:color w:val="auto"/>
                <w:szCs w:val="21"/>
              </w:rPr>
            </w:pPr>
            <w:r>
              <w:rPr>
                <w:rFonts w:hint="eastAsia" w:ascii="Times New Roman" w:hAnsi="Times New Roman" w:eastAsia="宋体" w:cs="Times New Roman"/>
                <w:bCs/>
                <w:color w:val="auto"/>
                <w:szCs w:val="21"/>
              </w:rPr>
              <w:t>废水</w:t>
            </w:r>
          </w:p>
        </w:tc>
        <w:tc>
          <w:tcPr>
            <w:tcW w:w="519" w:type="pct"/>
            <w:tcBorders>
              <w:tl2br w:val="nil"/>
              <w:tr2bl w:val="nil"/>
            </w:tcBorders>
            <w:vAlign w:val="bottom"/>
          </w:tcPr>
          <w:p w14:paraId="2C012E16">
            <w:pPr>
              <w:keepNext w:val="0"/>
              <w:keepLines w:val="0"/>
              <w:pageBreakBefore w:val="0"/>
              <w:kinsoku/>
              <w:wordWrap/>
              <w:overflowPunct/>
              <w:topLinePunct w:val="0"/>
              <w:autoSpaceDE/>
              <w:autoSpaceDN/>
              <w:bidi w:val="0"/>
              <w:adjustRightInd w:val="0"/>
              <w:snapToGrid/>
              <w:spacing w:line="340" w:lineRule="exact"/>
              <w:jc w:val="center"/>
              <w:textAlignment w:val="auto"/>
              <w:rPr>
                <w:rFonts w:hint="eastAsia" w:eastAsia="宋体"/>
                <w:snapToGrid w:val="0"/>
                <w:color w:val="auto"/>
                <w:kern w:val="21"/>
                <w:szCs w:val="21"/>
                <w:lang w:eastAsia="zh-CN"/>
              </w:rPr>
            </w:pPr>
            <w:r>
              <w:rPr>
                <w:rFonts w:hint="eastAsia"/>
                <w:snapToGrid w:val="0"/>
                <w:color w:val="auto"/>
                <w:kern w:val="21"/>
                <w:szCs w:val="21"/>
                <w:lang w:val="en-US" w:eastAsia="zh-CN"/>
              </w:rPr>
              <w:t>/</w:t>
            </w:r>
          </w:p>
        </w:tc>
        <w:tc>
          <w:tcPr>
            <w:tcW w:w="624" w:type="pct"/>
            <w:tcBorders>
              <w:tl2br w:val="nil"/>
              <w:tr2bl w:val="nil"/>
            </w:tcBorders>
            <w:vAlign w:val="bottom"/>
          </w:tcPr>
          <w:p w14:paraId="78D8D16E">
            <w:pPr>
              <w:keepNext w:val="0"/>
              <w:keepLines w:val="0"/>
              <w:pageBreakBefore w:val="0"/>
              <w:kinsoku/>
              <w:wordWrap/>
              <w:overflowPunct/>
              <w:topLinePunct w:val="0"/>
              <w:autoSpaceDE/>
              <w:autoSpaceDN/>
              <w:bidi w:val="0"/>
              <w:adjustRightInd w:val="0"/>
              <w:snapToGrid/>
              <w:spacing w:line="340" w:lineRule="exact"/>
              <w:jc w:val="center"/>
              <w:textAlignment w:val="auto"/>
              <w:rPr>
                <w:snapToGrid w:val="0"/>
                <w:color w:val="auto"/>
                <w:kern w:val="21"/>
                <w:szCs w:val="21"/>
              </w:rPr>
            </w:pPr>
            <w:r>
              <w:rPr>
                <w:rFonts w:hint="eastAsia"/>
                <w:snapToGrid w:val="0"/>
                <w:color w:val="auto"/>
                <w:kern w:val="21"/>
                <w:szCs w:val="21"/>
              </w:rPr>
              <w:t>/</w:t>
            </w:r>
          </w:p>
        </w:tc>
        <w:tc>
          <w:tcPr>
            <w:tcW w:w="468" w:type="pct"/>
            <w:tcBorders>
              <w:tl2br w:val="nil"/>
              <w:tr2bl w:val="nil"/>
            </w:tcBorders>
            <w:vAlign w:val="bottom"/>
          </w:tcPr>
          <w:p w14:paraId="4FF423AD">
            <w:pPr>
              <w:keepNext w:val="0"/>
              <w:keepLines w:val="0"/>
              <w:pageBreakBefore w:val="0"/>
              <w:kinsoku/>
              <w:wordWrap/>
              <w:overflowPunct/>
              <w:topLinePunct w:val="0"/>
              <w:autoSpaceDE/>
              <w:autoSpaceDN/>
              <w:bidi w:val="0"/>
              <w:adjustRightInd w:val="0"/>
              <w:snapToGrid/>
              <w:spacing w:line="340" w:lineRule="exact"/>
              <w:jc w:val="center"/>
              <w:textAlignment w:val="auto"/>
              <w:rPr>
                <w:snapToGrid w:val="0"/>
                <w:color w:val="auto"/>
                <w:kern w:val="21"/>
                <w:szCs w:val="21"/>
              </w:rPr>
            </w:pPr>
            <w:r>
              <w:rPr>
                <w:rFonts w:hint="eastAsia"/>
                <w:snapToGrid w:val="0"/>
                <w:color w:val="auto"/>
                <w:kern w:val="21"/>
                <w:szCs w:val="21"/>
              </w:rPr>
              <w:t>/</w:t>
            </w:r>
          </w:p>
        </w:tc>
        <w:tc>
          <w:tcPr>
            <w:tcW w:w="624" w:type="pct"/>
            <w:tcBorders>
              <w:tl2br w:val="nil"/>
              <w:tr2bl w:val="nil"/>
            </w:tcBorders>
            <w:vAlign w:val="bottom"/>
          </w:tcPr>
          <w:p w14:paraId="63B17902">
            <w:pPr>
              <w:keepNext w:val="0"/>
              <w:keepLines w:val="0"/>
              <w:pageBreakBefore w:val="0"/>
              <w:kinsoku/>
              <w:wordWrap/>
              <w:overflowPunct/>
              <w:topLinePunct w:val="0"/>
              <w:autoSpaceDE/>
              <w:autoSpaceDN/>
              <w:bidi w:val="0"/>
              <w:adjustRightInd w:val="0"/>
              <w:snapToGrid/>
              <w:spacing w:line="340" w:lineRule="exact"/>
              <w:jc w:val="center"/>
              <w:textAlignment w:val="auto"/>
              <w:rPr>
                <w:snapToGrid w:val="0"/>
                <w:color w:val="auto"/>
                <w:kern w:val="21"/>
                <w:szCs w:val="21"/>
              </w:rPr>
            </w:pPr>
            <w:r>
              <w:rPr>
                <w:rFonts w:hint="eastAsia"/>
                <w:snapToGrid w:val="0"/>
                <w:color w:val="auto"/>
                <w:kern w:val="21"/>
                <w:szCs w:val="21"/>
              </w:rPr>
              <w:t>/</w:t>
            </w:r>
          </w:p>
        </w:tc>
        <w:tc>
          <w:tcPr>
            <w:tcW w:w="572" w:type="pct"/>
            <w:tcBorders>
              <w:tl2br w:val="nil"/>
              <w:tr2bl w:val="nil"/>
            </w:tcBorders>
            <w:vAlign w:val="bottom"/>
          </w:tcPr>
          <w:p w14:paraId="273BBC23">
            <w:pPr>
              <w:keepNext w:val="0"/>
              <w:keepLines w:val="0"/>
              <w:pageBreakBefore w:val="0"/>
              <w:kinsoku/>
              <w:wordWrap/>
              <w:overflowPunct/>
              <w:topLinePunct w:val="0"/>
              <w:autoSpaceDE/>
              <w:autoSpaceDN/>
              <w:bidi w:val="0"/>
              <w:adjustRightInd w:val="0"/>
              <w:snapToGrid/>
              <w:spacing w:line="340" w:lineRule="exact"/>
              <w:jc w:val="center"/>
              <w:textAlignment w:val="auto"/>
              <w:rPr>
                <w:rFonts w:hint="eastAsia" w:ascii="Times New Roman" w:hAnsi="Times New Roman" w:eastAsia="宋体" w:cs="Times New Roman"/>
                <w:snapToGrid w:val="0"/>
                <w:color w:val="auto"/>
                <w:kern w:val="21"/>
                <w:szCs w:val="21"/>
                <w:lang w:val="en-US" w:eastAsia="zh-CN"/>
              </w:rPr>
            </w:pPr>
            <w:r>
              <w:rPr>
                <w:rFonts w:hint="eastAsia" w:ascii="Times New Roman" w:hAnsi="Times New Roman" w:eastAsia="宋体" w:cs="Times New Roman"/>
                <w:snapToGrid w:val="0"/>
                <w:color w:val="auto"/>
                <w:kern w:val="21"/>
                <w:szCs w:val="21"/>
                <w:lang w:val="en-US" w:eastAsia="zh-CN"/>
              </w:rPr>
              <w:t>/</w:t>
            </w:r>
          </w:p>
        </w:tc>
        <w:tc>
          <w:tcPr>
            <w:tcW w:w="645" w:type="pct"/>
            <w:tcBorders>
              <w:tl2br w:val="nil"/>
              <w:tr2bl w:val="nil"/>
            </w:tcBorders>
            <w:vAlign w:val="bottom"/>
          </w:tcPr>
          <w:p w14:paraId="05F05787">
            <w:pPr>
              <w:keepNext w:val="0"/>
              <w:keepLines w:val="0"/>
              <w:pageBreakBefore w:val="0"/>
              <w:kinsoku/>
              <w:wordWrap/>
              <w:overflowPunct/>
              <w:topLinePunct w:val="0"/>
              <w:autoSpaceDE/>
              <w:autoSpaceDN/>
              <w:bidi w:val="0"/>
              <w:adjustRightInd w:val="0"/>
              <w:snapToGrid/>
              <w:spacing w:line="340" w:lineRule="exact"/>
              <w:jc w:val="center"/>
              <w:textAlignment w:val="auto"/>
              <w:rPr>
                <w:snapToGrid w:val="0"/>
                <w:color w:val="auto"/>
                <w:kern w:val="21"/>
                <w:szCs w:val="21"/>
              </w:rPr>
            </w:pPr>
            <w:r>
              <w:rPr>
                <w:rFonts w:hint="eastAsia"/>
                <w:snapToGrid w:val="0"/>
                <w:color w:val="auto"/>
                <w:kern w:val="21"/>
                <w:szCs w:val="21"/>
              </w:rPr>
              <w:t>/</w:t>
            </w:r>
          </w:p>
        </w:tc>
        <w:tc>
          <w:tcPr>
            <w:tcW w:w="602" w:type="pct"/>
            <w:tcBorders>
              <w:tl2br w:val="nil"/>
              <w:tr2bl w:val="nil"/>
            </w:tcBorders>
            <w:vAlign w:val="bottom"/>
          </w:tcPr>
          <w:p w14:paraId="3FF1B720">
            <w:pPr>
              <w:keepNext w:val="0"/>
              <w:keepLines w:val="0"/>
              <w:pageBreakBefore w:val="0"/>
              <w:kinsoku/>
              <w:wordWrap/>
              <w:overflowPunct/>
              <w:topLinePunct w:val="0"/>
              <w:autoSpaceDE/>
              <w:autoSpaceDN/>
              <w:bidi w:val="0"/>
              <w:adjustRightInd w:val="0"/>
              <w:snapToGrid/>
              <w:spacing w:line="340" w:lineRule="exact"/>
              <w:jc w:val="center"/>
              <w:textAlignment w:val="auto"/>
              <w:rPr>
                <w:snapToGrid w:val="0"/>
                <w:color w:val="auto"/>
                <w:kern w:val="21"/>
                <w:szCs w:val="21"/>
              </w:rPr>
            </w:pPr>
            <w:r>
              <w:rPr>
                <w:rFonts w:hint="eastAsia" w:ascii="Times New Roman" w:hAnsi="Times New Roman" w:eastAsia="宋体" w:cs="Times New Roman"/>
                <w:snapToGrid w:val="0"/>
                <w:color w:val="auto"/>
                <w:kern w:val="21"/>
                <w:szCs w:val="21"/>
                <w:lang w:val="en-US" w:eastAsia="zh-CN"/>
              </w:rPr>
              <w:t>/</w:t>
            </w:r>
          </w:p>
        </w:tc>
        <w:tc>
          <w:tcPr>
            <w:tcW w:w="475" w:type="pct"/>
            <w:tcBorders>
              <w:tl2br w:val="nil"/>
              <w:tr2bl w:val="nil"/>
            </w:tcBorders>
            <w:vAlign w:val="bottom"/>
          </w:tcPr>
          <w:p w14:paraId="76D49322">
            <w:pPr>
              <w:keepNext w:val="0"/>
              <w:keepLines w:val="0"/>
              <w:pageBreakBefore w:val="0"/>
              <w:kinsoku/>
              <w:wordWrap/>
              <w:overflowPunct/>
              <w:topLinePunct w:val="0"/>
              <w:autoSpaceDE/>
              <w:autoSpaceDN/>
              <w:bidi w:val="0"/>
              <w:adjustRightInd w:val="0"/>
              <w:snapToGrid/>
              <w:spacing w:line="340" w:lineRule="exact"/>
              <w:jc w:val="center"/>
              <w:textAlignment w:val="auto"/>
              <w:rPr>
                <w:rFonts w:hint="eastAsia" w:ascii="Times New Roman" w:hAnsi="Times New Roman" w:eastAsia="宋体" w:cs="Times New Roman"/>
                <w:snapToGrid w:val="0"/>
                <w:color w:val="auto"/>
                <w:kern w:val="21"/>
                <w:szCs w:val="21"/>
                <w:lang w:val="en-US" w:eastAsia="zh-CN"/>
              </w:rPr>
            </w:pPr>
            <w:r>
              <w:rPr>
                <w:rFonts w:hint="eastAsia" w:ascii="Times New Roman" w:hAnsi="Times New Roman" w:eastAsia="宋体" w:cs="Times New Roman"/>
                <w:snapToGrid w:val="0"/>
                <w:color w:val="auto"/>
                <w:kern w:val="21"/>
                <w:szCs w:val="21"/>
                <w:lang w:val="en-US" w:eastAsia="zh-CN"/>
              </w:rPr>
              <w:t>/</w:t>
            </w:r>
          </w:p>
        </w:tc>
      </w:tr>
      <w:tr w14:paraId="42B341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8" w:type="pct"/>
            <w:tcBorders>
              <w:tl2br w:val="nil"/>
              <w:tr2bl w:val="nil"/>
            </w:tcBorders>
            <w:vAlign w:val="center"/>
          </w:tcPr>
          <w:p w14:paraId="1377D640">
            <w:pPr>
              <w:keepNext w:val="0"/>
              <w:keepLines w:val="0"/>
              <w:pageBreakBefore w:val="0"/>
              <w:kinsoku/>
              <w:wordWrap/>
              <w:overflowPunct/>
              <w:topLinePunct w:val="0"/>
              <w:autoSpaceDE/>
              <w:autoSpaceDN/>
              <w:bidi w:val="0"/>
              <w:adjustRightInd w:val="0"/>
              <w:snapToGrid/>
              <w:spacing w:line="240" w:lineRule="auto"/>
              <w:jc w:val="center"/>
              <w:textAlignment w:val="auto"/>
              <w:rPr>
                <w:rFonts w:hint="eastAsia" w:ascii="Times New Roman" w:hAnsi="Times New Roman" w:eastAsia="宋体" w:cs="Times New Roman"/>
                <w:bCs/>
                <w:color w:val="auto"/>
                <w:szCs w:val="21"/>
              </w:rPr>
            </w:pPr>
            <w:r>
              <w:rPr>
                <w:rFonts w:hint="eastAsia" w:ascii="Times New Roman" w:hAnsi="Times New Roman" w:eastAsia="宋体" w:cs="Times New Roman"/>
                <w:bCs/>
                <w:color w:val="auto"/>
                <w:szCs w:val="21"/>
              </w:rPr>
              <w:t>一般工业</w:t>
            </w:r>
          </w:p>
          <w:p w14:paraId="7811D55F">
            <w:pPr>
              <w:keepNext w:val="0"/>
              <w:keepLines w:val="0"/>
              <w:pageBreakBefore w:val="0"/>
              <w:kinsoku/>
              <w:wordWrap/>
              <w:overflowPunct/>
              <w:topLinePunct w:val="0"/>
              <w:autoSpaceDE/>
              <w:autoSpaceDN/>
              <w:bidi w:val="0"/>
              <w:adjustRightInd w:val="0"/>
              <w:snapToGrid/>
              <w:spacing w:line="240" w:lineRule="auto"/>
              <w:jc w:val="center"/>
              <w:textAlignment w:val="auto"/>
              <w:rPr>
                <w:rFonts w:hint="eastAsia" w:ascii="Times New Roman" w:hAnsi="Times New Roman" w:eastAsia="宋体" w:cs="Times New Roman"/>
                <w:bCs/>
                <w:color w:val="auto"/>
                <w:szCs w:val="21"/>
              </w:rPr>
            </w:pPr>
            <w:r>
              <w:rPr>
                <w:rFonts w:hint="eastAsia" w:ascii="Times New Roman" w:hAnsi="Times New Roman" w:eastAsia="宋体" w:cs="Times New Roman"/>
                <w:bCs/>
                <w:color w:val="auto"/>
                <w:szCs w:val="21"/>
              </w:rPr>
              <w:t>固体废物</w:t>
            </w:r>
          </w:p>
        </w:tc>
        <w:tc>
          <w:tcPr>
            <w:tcW w:w="519" w:type="pct"/>
            <w:tcBorders>
              <w:tl2br w:val="nil"/>
              <w:tr2bl w:val="nil"/>
            </w:tcBorders>
            <w:vAlign w:val="center"/>
          </w:tcPr>
          <w:p w14:paraId="2400D05A">
            <w:pPr>
              <w:pStyle w:val="53"/>
              <w:keepNext w:val="0"/>
              <w:keepLines w:val="0"/>
              <w:pageBreakBefore w:val="0"/>
              <w:kinsoku/>
              <w:wordWrap/>
              <w:overflowPunct/>
              <w:topLinePunct w:val="0"/>
              <w:autoSpaceDE/>
              <w:autoSpaceDN/>
              <w:bidi w:val="0"/>
              <w:adjustRightInd w:val="0"/>
              <w:snapToGrid/>
              <w:spacing w:beforeLines="0" w:afterLines="0" w:line="340" w:lineRule="exact"/>
              <w:textAlignment w:val="auto"/>
              <w:rPr>
                <w:rFonts w:ascii="Times New Roman"/>
                <w:snapToGrid w:val="0"/>
                <w:color w:val="auto"/>
                <w:kern w:val="21"/>
                <w:szCs w:val="21"/>
              </w:rPr>
            </w:pPr>
            <w:r>
              <w:rPr>
                <w:rFonts w:hint="eastAsia" w:ascii="Times New Roman"/>
                <w:snapToGrid w:val="0"/>
                <w:color w:val="auto"/>
                <w:kern w:val="21"/>
                <w:szCs w:val="21"/>
              </w:rPr>
              <w:t>/</w:t>
            </w:r>
          </w:p>
        </w:tc>
        <w:tc>
          <w:tcPr>
            <w:tcW w:w="624" w:type="pct"/>
            <w:tcBorders>
              <w:tl2br w:val="nil"/>
              <w:tr2bl w:val="nil"/>
            </w:tcBorders>
            <w:vAlign w:val="center"/>
          </w:tcPr>
          <w:p w14:paraId="4EAB2DD0">
            <w:pPr>
              <w:keepNext w:val="0"/>
              <w:keepLines w:val="0"/>
              <w:pageBreakBefore w:val="0"/>
              <w:kinsoku/>
              <w:wordWrap/>
              <w:overflowPunct/>
              <w:topLinePunct w:val="0"/>
              <w:autoSpaceDE/>
              <w:autoSpaceDN/>
              <w:bidi w:val="0"/>
              <w:adjustRightInd w:val="0"/>
              <w:snapToGrid/>
              <w:spacing w:line="340" w:lineRule="exact"/>
              <w:jc w:val="center"/>
              <w:textAlignment w:val="auto"/>
              <w:rPr>
                <w:snapToGrid w:val="0"/>
                <w:color w:val="auto"/>
                <w:kern w:val="21"/>
                <w:szCs w:val="21"/>
              </w:rPr>
            </w:pPr>
            <w:r>
              <w:rPr>
                <w:rFonts w:hint="eastAsia"/>
                <w:snapToGrid w:val="0"/>
                <w:color w:val="auto"/>
                <w:kern w:val="21"/>
                <w:szCs w:val="21"/>
              </w:rPr>
              <w:t>/</w:t>
            </w:r>
          </w:p>
        </w:tc>
        <w:tc>
          <w:tcPr>
            <w:tcW w:w="468" w:type="pct"/>
            <w:tcBorders>
              <w:tl2br w:val="nil"/>
              <w:tr2bl w:val="nil"/>
            </w:tcBorders>
            <w:vAlign w:val="center"/>
          </w:tcPr>
          <w:p w14:paraId="1CCA799E">
            <w:pPr>
              <w:keepNext w:val="0"/>
              <w:keepLines w:val="0"/>
              <w:pageBreakBefore w:val="0"/>
              <w:kinsoku/>
              <w:wordWrap/>
              <w:overflowPunct/>
              <w:topLinePunct w:val="0"/>
              <w:autoSpaceDE/>
              <w:autoSpaceDN/>
              <w:bidi w:val="0"/>
              <w:adjustRightInd w:val="0"/>
              <w:snapToGrid/>
              <w:spacing w:line="340" w:lineRule="exact"/>
              <w:jc w:val="center"/>
              <w:textAlignment w:val="auto"/>
              <w:rPr>
                <w:snapToGrid w:val="0"/>
                <w:color w:val="auto"/>
                <w:kern w:val="21"/>
                <w:szCs w:val="21"/>
              </w:rPr>
            </w:pPr>
            <w:r>
              <w:rPr>
                <w:rFonts w:hint="eastAsia"/>
                <w:snapToGrid w:val="0"/>
                <w:color w:val="auto"/>
                <w:kern w:val="21"/>
                <w:szCs w:val="21"/>
              </w:rPr>
              <w:t>/</w:t>
            </w:r>
          </w:p>
        </w:tc>
        <w:tc>
          <w:tcPr>
            <w:tcW w:w="624" w:type="pct"/>
            <w:tcBorders>
              <w:tl2br w:val="nil"/>
              <w:tr2bl w:val="nil"/>
            </w:tcBorders>
            <w:vAlign w:val="center"/>
          </w:tcPr>
          <w:p w14:paraId="06A9FA5F">
            <w:pPr>
              <w:keepNext w:val="0"/>
              <w:keepLines w:val="0"/>
              <w:pageBreakBefore w:val="0"/>
              <w:kinsoku/>
              <w:wordWrap/>
              <w:overflowPunct/>
              <w:topLinePunct w:val="0"/>
              <w:autoSpaceDE/>
              <w:autoSpaceDN/>
              <w:bidi w:val="0"/>
              <w:adjustRightInd w:val="0"/>
              <w:snapToGrid/>
              <w:spacing w:line="340" w:lineRule="exact"/>
              <w:jc w:val="center"/>
              <w:textAlignment w:val="auto"/>
              <w:rPr>
                <w:snapToGrid w:val="0"/>
                <w:color w:val="auto"/>
                <w:kern w:val="21"/>
                <w:szCs w:val="21"/>
              </w:rPr>
            </w:pPr>
            <w:r>
              <w:rPr>
                <w:rFonts w:hint="eastAsia"/>
                <w:snapToGrid w:val="0"/>
                <w:color w:val="auto"/>
                <w:kern w:val="21"/>
                <w:szCs w:val="21"/>
              </w:rPr>
              <w:t>/</w:t>
            </w:r>
          </w:p>
        </w:tc>
        <w:tc>
          <w:tcPr>
            <w:tcW w:w="572" w:type="pct"/>
            <w:tcBorders>
              <w:tl2br w:val="nil"/>
              <w:tr2bl w:val="nil"/>
            </w:tcBorders>
            <w:vAlign w:val="center"/>
          </w:tcPr>
          <w:p w14:paraId="52FF0B17">
            <w:pPr>
              <w:keepNext w:val="0"/>
              <w:keepLines w:val="0"/>
              <w:pageBreakBefore w:val="0"/>
              <w:kinsoku/>
              <w:wordWrap/>
              <w:overflowPunct/>
              <w:topLinePunct w:val="0"/>
              <w:autoSpaceDE/>
              <w:autoSpaceDN/>
              <w:bidi w:val="0"/>
              <w:adjustRightInd w:val="0"/>
              <w:snapToGrid/>
              <w:spacing w:line="340" w:lineRule="exact"/>
              <w:jc w:val="center"/>
              <w:textAlignment w:val="auto"/>
              <w:rPr>
                <w:rFonts w:hint="default" w:ascii="Times New Roman" w:hAnsi="Times New Roman" w:eastAsia="宋体" w:cs="Times New Roman"/>
                <w:snapToGrid w:val="0"/>
                <w:color w:val="auto"/>
                <w:kern w:val="21"/>
                <w:szCs w:val="21"/>
                <w:lang w:val="en-US" w:eastAsia="zh-CN"/>
              </w:rPr>
            </w:pPr>
            <w:r>
              <w:rPr>
                <w:rFonts w:hint="eastAsia" w:ascii="Times New Roman" w:hAnsi="Times New Roman" w:eastAsia="宋体" w:cs="Times New Roman"/>
                <w:snapToGrid w:val="0"/>
                <w:color w:val="auto"/>
                <w:kern w:val="21"/>
                <w:szCs w:val="21"/>
                <w:lang w:val="en-US" w:eastAsia="zh-CN"/>
              </w:rPr>
              <w:t>/</w:t>
            </w:r>
          </w:p>
        </w:tc>
        <w:tc>
          <w:tcPr>
            <w:tcW w:w="645" w:type="pct"/>
            <w:tcBorders>
              <w:tl2br w:val="nil"/>
              <w:tr2bl w:val="nil"/>
            </w:tcBorders>
            <w:vAlign w:val="center"/>
          </w:tcPr>
          <w:p w14:paraId="06EE9238">
            <w:pPr>
              <w:keepNext w:val="0"/>
              <w:keepLines w:val="0"/>
              <w:pageBreakBefore w:val="0"/>
              <w:kinsoku/>
              <w:wordWrap/>
              <w:overflowPunct/>
              <w:topLinePunct w:val="0"/>
              <w:autoSpaceDE/>
              <w:autoSpaceDN/>
              <w:bidi w:val="0"/>
              <w:adjustRightInd w:val="0"/>
              <w:snapToGrid/>
              <w:spacing w:line="340" w:lineRule="exact"/>
              <w:jc w:val="center"/>
              <w:textAlignment w:val="auto"/>
              <w:rPr>
                <w:snapToGrid w:val="0"/>
                <w:color w:val="auto"/>
                <w:kern w:val="21"/>
                <w:szCs w:val="21"/>
              </w:rPr>
            </w:pPr>
            <w:r>
              <w:rPr>
                <w:rFonts w:hint="eastAsia"/>
                <w:snapToGrid w:val="0"/>
                <w:color w:val="auto"/>
                <w:kern w:val="21"/>
                <w:szCs w:val="21"/>
              </w:rPr>
              <w:t>/</w:t>
            </w:r>
          </w:p>
        </w:tc>
        <w:tc>
          <w:tcPr>
            <w:tcW w:w="602" w:type="pct"/>
            <w:tcBorders>
              <w:tl2br w:val="nil"/>
              <w:tr2bl w:val="nil"/>
            </w:tcBorders>
            <w:vAlign w:val="center"/>
          </w:tcPr>
          <w:p w14:paraId="5DB2D3DE">
            <w:pPr>
              <w:keepNext w:val="0"/>
              <w:keepLines w:val="0"/>
              <w:pageBreakBefore w:val="0"/>
              <w:kinsoku/>
              <w:wordWrap/>
              <w:overflowPunct/>
              <w:topLinePunct w:val="0"/>
              <w:autoSpaceDE/>
              <w:autoSpaceDN/>
              <w:bidi w:val="0"/>
              <w:adjustRightInd w:val="0"/>
              <w:snapToGrid/>
              <w:spacing w:line="340" w:lineRule="exact"/>
              <w:jc w:val="center"/>
              <w:textAlignment w:val="auto"/>
              <w:rPr>
                <w:rFonts w:ascii="Times New Roman"/>
                <w:snapToGrid w:val="0"/>
                <w:color w:val="auto"/>
                <w:kern w:val="21"/>
                <w:szCs w:val="21"/>
              </w:rPr>
            </w:pPr>
            <w:r>
              <w:rPr>
                <w:rFonts w:hint="eastAsia" w:ascii="Times New Roman" w:hAnsi="Times New Roman" w:eastAsia="宋体" w:cs="Times New Roman"/>
                <w:snapToGrid w:val="0"/>
                <w:color w:val="auto"/>
                <w:kern w:val="21"/>
                <w:szCs w:val="21"/>
                <w:lang w:val="en-US" w:eastAsia="zh-CN"/>
              </w:rPr>
              <w:t>/</w:t>
            </w:r>
          </w:p>
        </w:tc>
        <w:tc>
          <w:tcPr>
            <w:tcW w:w="475" w:type="pct"/>
            <w:tcBorders>
              <w:tl2br w:val="nil"/>
              <w:tr2bl w:val="nil"/>
            </w:tcBorders>
            <w:vAlign w:val="center"/>
          </w:tcPr>
          <w:p w14:paraId="0307BE56">
            <w:pPr>
              <w:keepNext w:val="0"/>
              <w:keepLines w:val="0"/>
              <w:pageBreakBefore w:val="0"/>
              <w:kinsoku/>
              <w:wordWrap/>
              <w:overflowPunct/>
              <w:topLinePunct w:val="0"/>
              <w:autoSpaceDE/>
              <w:autoSpaceDN/>
              <w:bidi w:val="0"/>
              <w:adjustRightInd w:val="0"/>
              <w:snapToGrid/>
              <w:spacing w:line="340" w:lineRule="exact"/>
              <w:jc w:val="center"/>
              <w:textAlignment w:val="auto"/>
              <w:rPr>
                <w:rFonts w:hint="eastAsia" w:ascii="Times New Roman" w:hAnsi="Times New Roman" w:eastAsia="宋体" w:cs="Times New Roman"/>
                <w:snapToGrid w:val="0"/>
                <w:color w:val="auto"/>
                <w:kern w:val="21"/>
                <w:szCs w:val="21"/>
                <w:lang w:val="en-US" w:eastAsia="zh-CN"/>
              </w:rPr>
            </w:pPr>
            <w:r>
              <w:rPr>
                <w:rFonts w:hint="eastAsia" w:ascii="Times New Roman" w:hAnsi="Times New Roman" w:eastAsia="宋体" w:cs="Times New Roman"/>
                <w:snapToGrid w:val="0"/>
                <w:color w:val="auto"/>
                <w:kern w:val="21"/>
                <w:szCs w:val="21"/>
                <w:lang w:val="en-US" w:eastAsia="zh-CN"/>
              </w:rPr>
              <w:t>/</w:t>
            </w:r>
          </w:p>
        </w:tc>
      </w:tr>
      <w:tr w14:paraId="1ADBC8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8" w:type="pct"/>
            <w:tcBorders>
              <w:tl2br w:val="nil"/>
              <w:tr2bl w:val="nil"/>
            </w:tcBorders>
            <w:vAlign w:val="center"/>
          </w:tcPr>
          <w:p w14:paraId="7B2E648D">
            <w:pPr>
              <w:keepNext w:val="0"/>
              <w:keepLines w:val="0"/>
              <w:pageBreakBefore w:val="0"/>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bCs/>
                <w:color w:val="auto"/>
                <w:szCs w:val="21"/>
                <w:lang w:val="en-US" w:eastAsia="zh-CN"/>
              </w:rPr>
            </w:pPr>
            <w:r>
              <w:rPr>
                <w:rFonts w:hint="eastAsia" w:cs="Times New Roman"/>
                <w:bCs/>
                <w:color w:val="auto"/>
                <w:szCs w:val="21"/>
                <w:lang w:val="en-US" w:eastAsia="zh-CN"/>
              </w:rPr>
              <w:t>危险废物</w:t>
            </w:r>
          </w:p>
        </w:tc>
        <w:tc>
          <w:tcPr>
            <w:tcW w:w="519" w:type="pct"/>
            <w:tcBorders>
              <w:tl2br w:val="nil"/>
              <w:tr2bl w:val="nil"/>
            </w:tcBorders>
            <w:vAlign w:val="center"/>
          </w:tcPr>
          <w:p w14:paraId="127F2976">
            <w:pPr>
              <w:pStyle w:val="53"/>
              <w:keepNext w:val="0"/>
              <w:keepLines w:val="0"/>
              <w:pageBreakBefore w:val="0"/>
              <w:kinsoku/>
              <w:wordWrap/>
              <w:overflowPunct/>
              <w:topLinePunct w:val="0"/>
              <w:autoSpaceDE/>
              <w:autoSpaceDN/>
              <w:bidi w:val="0"/>
              <w:adjustRightInd w:val="0"/>
              <w:snapToGrid/>
              <w:spacing w:beforeLines="0" w:afterLines="0" w:line="340" w:lineRule="exact"/>
              <w:textAlignment w:val="auto"/>
              <w:rPr>
                <w:rFonts w:hint="eastAsia" w:ascii="Times New Roman" w:eastAsia="宋体"/>
                <w:snapToGrid w:val="0"/>
                <w:color w:val="auto"/>
                <w:kern w:val="21"/>
                <w:szCs w:val="21"/>
                <w:lang w:eastAsia="zh-CN"/>
              </w:rPr>
            </w:pPr>
            <w:r>
              <w:rPr>
                <w:rFonts w:hint="eastAsia" w:ascii="Times New Roman"/>
                <w:snapToGrid w:val="0"/>
                <w:color w:val="auto"/>
                <w:kern w:val="21"/>
                <w:szCs w:val="21"/>
                <w:lang w:val="en-US" w:eastAsia="zh-CN"/>
              </w:rPr>
              <w:t>/</w:t>
            </w:r>
          </w:p>
        </w:tc>
        <w:tc>
          <w:tcPr>
            <w:tcW w:w="624" w:type="pct"/>
            <w:tcBorders>
              <w:tl2br w:val="nil"/>
              <w:tr2bl w:val="nil"/>
            </w:tcBorders>
            <w:vAlign w:val="center"/>
          </w:tcPr>
          <w:p w14:paraId="62D3146C">
            <w:pPr>
              <w:keepNext w:val="0"/>
              <w:keepLines w:val="0"/>
              <w:pageBreakBefore w:val="0"/>
              <w:kinsoku/>
              <w:wordWrap/>
              <w:overflowPunct/>
              <w:topLinePunct w:val="0"/>
              <w:autoSpaceDE/>
              <w:autoSpaceDN/>
              <w:bidi w:val="0"/>
              <w:adjustRightInd w:val="0"/>
              <w:snapToGrid/>
              <w:spacing w:line="340" w:lineRule="exact"/>
              <w:jc w:val="center"/>
              <w:textAlignment w:val="auto"/>
              <w:rPr>
                <w:rFonts w:hint="default" w:eastAsia="宋体"/>
                <w:snapToGrid w:val="0"/>
                <w:color w:val="auto"/>
                <w:kern w:val="21"/>
                <w:szCs w:val="21"/>
                <w:lang w:val="en-US" w:eastAsia="zh-CN"/>
              </w:rPr>
            </w:pPr>
            <w:r>
              <w:rPr>
                <w:rFonts w:hint="eastAsia"/>
                <w:snapToGrid w:val="0"/>
                <w:color w:val="auto"/>
                <w:kern w:val="21"/>
                <w:szCs w:val="21"/>
                <w:lang w:val="en-US" w:eastAsia="zh-CN"/>
              </w:rPr>
              <w:t>0.09</w:t>
            </w:r>
          </w:p>
        </w:tc>
        <w:tc>
          <w:tcPr>
            <w:tcW w:w="468" w:type="pct"/>
            <w:tcBorders>
              <w:tl2br w:val="nil"/>
              <w:tr2bl w:val="nil"/>
            </w:tcBorders>
            <w:vAlign w:val="center"/>
          </w:tcPr>
          <w:p w14:paraId="1D888F17">
            <w:pPr>
              <w:keepNext w:val="0"/>
              <w:keepLines w:val="0"/>
              <w:pageBreakBefore w:val="0"/>
              <w:kinsoku/>
              <w:wordWrap/>
              <w:overflowPunct/>
              <w:topLinePunct w:val="0"/>
              <w:autoSpaceDE/>
              <w:autoSpaceDN/>
              <w:bidi w:val="0"/>
              <w:adjustRightInd w:val="0"/>
              <w:snapToGrid/>
              <w:spacing w:line="340" w:lineRule="exact"/>
              <w:jc w:val="center"/>
              <w:textAlignment w:val="auto"/>
              <w:rPr>
                <w:snapToGrid w:val="0"/>
                <w:color w:val="auto"/>
                <w:kern w:val="21"/>
                <w:szCs w:val="21"/>
              </w:rPr>
            </w:pPr>
            <w:r>
              <w:rPr>
                <w:rFonts w:hint="eastAsia"/>
                <w:snapToGrid w:val="0"/>
                <w:color w:val="auto"/>
                <w:kern w:val="21"/>
                <w:szCs w:val="21"/>
              </w:rPr>
              <w:t>/</w:t>
            </w:r>
          </w:p>
        </w:tc>
        <w:tc>
          <w:tcPr>
            <w:tcW w:w="624" w:type="pct"/>
            <w:tcBorders>
              <w:tl2br w:val="nil"/>
              <w:tr2bl w:val="nil"/>
            </w:tcBorders>
            <w:vAlign w:val="center"/>
          </w:tcPr>
          <w:p w14:paraId="31729E26">
            <w:pPr>
              <w:keepNext w:val="0"/>
              <w:keepLines w:val="0"/>
              <w:pageBreakBefore w:val="0"/>
              <w:kinsoku/>
              <w:wordWrap/>
              <w:overflowPunct/>
              <w:topLinePunct w:val="0"/>
              <w:autoSpaceDE/>
              <w:autoSpaceDN/>
              <w:bidi w:val="0"/>
              <w:adjustRightInd w:val="0"/>
              <w:snapToGrid/>
              <w:spacing w:line="340" w:lineRule="exact"/>
              <w:jc w:val="center"/>
              <w:textAlignment w:val="auto"/>
              <w:rPr>
                <w:snapToGrid w:val="0"/>
                <w:color w:val="auto"/>
                <w:kern w:val="21"/>
                <w:szCs w:val="21"/>
              </w:rPr>
            </w:pPr>
            <w:r>
              <w:rPr>
                <w:rFonts w:hint="eastAsia"/>
                <w:snapToGrid w:val="0"/>
                <w:color w:val="auto"/>
                <w:kern w:val="21"/>
                <w:szCs w:val="21"/>
              </w:rPr>
              <w:t>/</w:t>
            </w:r>
          </w:p>
        </w:tc>
        <w:tc>
          <w:tcPr>
            <w:tcW w:w="572" w:type="pct"/>
            <w:tcBorders>
              <w:tl2br w:val="nil"/>
              <w:tr2bl w:val="nil"/>
            </w:tcBorders>
            <w:vAlign w:val="center"/>
          </w:tcPr>
          <w:p w14:paraId="7CB84D1C">
            <w:pPr>
              <w:keepNext w:val="0"/>
              <w:keepLines w:val="0"/>
              <w:pageBreakBefore w:val="0"/>
              <w:kinsoku/>
              <w:wordWrap/>
              <w:overflowPunct/>
              <w:topLinePunct w:val="0"/>
              <w:autoSpaceDE/>
              <w:autoSpaceDN/>
              <w:bidi w:val="0"/>
              <w:adjustRightInd w:val="0"/>
              <w:snapToGrid/>
              <w:spacing w:line="340" w:lineRule="exact"/>
              <w:jc w:val="center"/>
              <w:textAlignment w:val="auto"/>
              <w:rPr>
                <w:rFonts w:hint="default" w:ascii="Times New Roman" w:hAnsi="Times New Roman" w:eastAsia="宋体" w:cs="Times New Roman"/>
                <w:snapToGrid w:val="0"/>
                <w:color w:val="auto"/>
                <w:kern w:val="21"/>
                <w:szCs w:val="21"/>
                <w:lang w:val="en-US" w:eastAsia="zh-CN"/>
              </w:rPr>
            </w:pPr>
            <w:r>
              <w:rPr>
                <w:rFonts w:hint="eastAsia" w:ascii="Times New Roman" w:hAnsi="Times New Roman" w:eastAsia="宋体" w:cs="Times New Roman"/>
                <w:snapToGrid w:val="0"/>
                <w:color w:val="auto"/>
                <w:kern w:val="21"/>
                <w:szCs w:val="21"/>
                <w:lang w:val="en-US" w:eastAsia="zh-CN"/>
              </w:rPr>
              <w:t>0.0</w:t>
            </w:r>
            <w:r>
              <w:rPr>
                <w:rFonts w:hint="eastAsia" w:cs="Times New Roman"/>
                <w:snapToGrid w:val="0"/>
                <w:color w:val="auto"/>
                <w:kern w:val="21"/>
                <w:szCs w:val="21"/>
                <w:lang w:val="en-US" w:eastAsia="zh-CN"/>
              </w:rPr>
              <w:t>9</w:t>
            </w:r>
          </w:p>
        </w:tc>
        <w:tc>
          <w:tcPr>
            <w:tcW w:w="645" w:type="pct"/>
            <w:tcBorders>
              <w:tl2br w:val="nil"/>
              <w:tr2bl w:val="nil"/>
            </w:tcBorders>
            <w:vAlign w:val="center"/>
          </w:tcPr>
          <w:p w14:paraId="0671A63E">
            <w:pPr>
              <w:keepNext w:val="0"/>
              <w:keepLines w:val="0"/>
              <w:pageBreakBefore w:val="0"/>
              <w:kinsoku/>
              <w:wordWrap/>
              <w:overflowPunct/>
              <w:topLinePunct w:val="0"/>
              <w:autoSpaceDE/>
              <w:autoSpaceDN/>
              <w:bidi w:val="0"/>
              <w:adjustRightInd w:val="0"/>
              <w:snapToGrid/>
              <w:spacing w:line="340" w:lineRule="exact"/>
              <w:jc w:val="center"/>
              <w:textAlignment w:val="auto"/>
              <w:rPr>
                <w:rFonts w:hint="default" w:eastAsia="宋体"/>
                <w:snapToGrid w:val="0"/>
                <w:color w:val="auto"/>
                <w:kern w:val="21"/>
                <w:szCs w:val="21"/>
                <w:lang w:val="en-US" w:eastAsia="zh-CN"/>
              </w:rPr>
            </w:pPr>
            <w:r>
              <w:rPr>
                <w:rFonts w:hint="eastAsia"/>
                <w:snapToGrid w:val="0"/>
                <w:color w:val="auto"/>
                <w:kern w:val="21"/>
                <w:szCs w:val="21"/>
                <w:lang w:val="en-US" w:eastAsia="zh-CN"/>
              </w:rPr>
              <w:t>0.09</w:t>
            </w:r>
          </w:p>
        </w:tc>
        <w:tc>
          <w:tcPr>
            <w:tcW w:w="602" w:type="pct"/>
            <w:tcBorders>
              <w:tl2br w:val="nil"/>
              <w:tr2bl w:val="nil"/>
            </w:tcBorders>
            <w:vAlign w:val="center"/>
          </w:tcPr>
          <w:p w14:paraId="2FBC59F9">
            <w:pPr>
              <w:keepNext w:val="0"/>
              <w:keepLines w:val="0"/>
              <w:pageBreakBefore w:val="0"/>
              <w:kinsoku/>
              <w:wordWrap/>
              <w:overflowPunct/>
              <w:topLinePunct w:val="0"/>
              <w:autoSpaceDE/>
              <w:autoSpaceDN/>
              <w:bidi w:val="0"/>
              <w:adjustRightInd w:val="0"/>
              <w:snapToGrid/>
              <w:spacing w:line="340" w:lineRule="exact"/>
              <w:jc w:val="center"/>
              <w:textAlignment w:val="auto"/>
              <w:rPr>
                <w:rFonts w:hint="default" w:ascii="Times New Roman"/>
                <w:snapToGrid w:val="0"/>
                <w:color w:val="auto"/>
                <w:kern w:val="21"/>
                <w:szCs w:val="21"/>
                <w:lang w:val="en-US"/>
              </w:rPr>
            </w:pPr>
            <w:r>
              <w:rPr>
                <w:rFonts w:hint="eastAsia" w:ascii="Times New Roman" w:hAnsi="Times New Roman" w:eastAsia="宋体" w:cs="Times New Roman"/>
                <w:snapToGrid w:val="0"/>
                <w:color w:val="auto"/>
                <w:kern w:val="21"/>
                <w:szCs w:val="21"/>
                <w:lang w:val="en-US" w:eastAsia="zh-CN"/>
              </w:rPr>
              <w:t>0.0</w:t>
            </w:r>
            <w:r>
              <w:rPr>
                <w:rFonts w:hint="eastAsia" w:cs="Times New Roman"/>
                <w:snapToGrid w:val="0"/>
                <w:color w:val="auto"/>
                <w:kern w:val="21"/>
                <w:szCs w:val="21"/>
                <w:lang w:val="en-US" w:eastAsia="zh-CN"/>
              </w:rPr>
              <w:t>9</w:t>
            </w:r>
          </w:p>
        </w:tc>
        <w:tc>
          <w:tcPr>
            <w:tcW w:w="475" w:type="pct"/>
            <w:tcBorders>
              <w:tl2br w:val="nil"/>
              <w:tr2bl w:val="nil"/>
            </w:tcBorders>
            <w:vAlign w:val="center"/>
          </w:tcPr>
          <w:p w14:paraId="553D84FA">
            <w:pPr>
              <w:keepNext w:val="0"/>
              <w:keepLines w:val="0"/>
              <w:pageBreakBefore w:val="0"/>
              <w:kinsoku/>
              <w:wordWrap/>
              <w:overflowPunct/>
              <w:topLinePunct w:val="0"/>
              <w:autoSpaceDE/>
              <w:autoSpaceDN/>
              <w:bidi w:val="0"/>
              <w:adjustRightInd w:val="0"/>
              <w:snapToGrid/>
              <w:spacing w:line="340" w:lineRule="exact"/>
              <w:jc w:val="center"/>
              <w:textAlignment w:val="auto"/>
              <w:rPr>
                <w:rFonts w:hint="eastAsia" w:ascii="Times New Roman" w:hAnsi="Times New Roman" w:eastAsia="宋体" w:cs="Times New Roman"/>
                <w:snapToGrid w:val="0"/>
                <w:color w:val="auto"/>
                <w:kern w:val="21"/>
                <w:szCs w:val="21"/>
                <w:lang w:val="en-US" w:eastAsia="zh-CN"/>
              </w:rPr>
            </w:pPr>
            <w:r>
              <w:rPr>
                <w:rFonts w:hint="eastAsia" w:cs="Times New Roman"/>
                <w:snapToGrid w:val="0"/>
                <w:color w:val="auto"/>
                <w:kern w:val="21"/>
                <w:szCs w:val="21"/>
                <w:lang w:val="en-US" w:eastAsia="zh-CN"/>
              </w:rPr>
              <w:t>0</w:t>
            </w:r>
          </w:p>
        </w:tc>
      </w:tr>
    </w:tbl>
    <w:p w14:paraId="65BA0A42">
      <w:pPr>
        <w:pStyle w:val="53"/>
        <w:spacing w:beforeLines="0" w:afterLines="0"/>
        <w:jc w:val="left"/>
        <w:rPr>
          <w:rFonts w:ascii="Times New Roman"/>
          <w:snapToGrid w:val="0"/>
          <w:color w:val="auto"/>
          <w:spacing w:val="-6"/>
          <w:kern w:val="21"/>
          <w:szCs w:val="21"/>
        </w:rPr>
      </w:pPr>
      <w:r>
        <w:rPr>
          <w:rFonts w:ascii="Times New Roman"/>
          <w:snapToGrid w:val="0"/>
          <w:color w:val="auto"/>
          <w:kern w:val="21"/>
          <w:szCs w:val="21"/>
        </w:rPr>
        <w:t>注：</w:t>
      </w:r>
      <w:r>
        <w:rPr>
          <w:rFonts w:ascii="Times New Roman"/>
          <w:snapToGrid w:val="0"/>
          <w:color w:val="auto"/>
          <w:spacing w:val="-16"/>
          <w:kern w:val="21"/>
          <w:szCs w:val="21"/>
        </w:rPr>
        <w:fldChar w:fldCharType="begin"/>
      </w:r>
      <w:r>
        <w:rPr>
          <w:rFonts w:ascii="Times New Roman"/>
          <w:snapToGrid w:val="0"/>
          <w:color w:val="auto"/>
          <w:spacing w:val="-16"/>
          <w:kern w:val="21"/>
          <w:szCs w:val="21"/>
        </w:rPr>
        <w:instrText xml:space="preserve"> = 6 \* GB3 \* MERGEFORMAT </w:instrText>
      </w:r>
      <w:r>
        <w:rPr>
          <w:rFonts w:ascii="Times New Roman"/>
          <w:snapToGrid w:val="0"/>
          <w:color w:val="auto"/>
          <w:spacing w:val="-16"/>
          <w:kern w:val="21"/>
          <w:szCs w:val="21"/>
        </w:rPr>
        <w:fldChar w:fldCharType="separate"/>
      </w:r>
      <w:r>
        <w:rPr>
          <w:rFonts w:ascii="Times New Roman"/>
          <w:color w:val="auto"/>
          <w:szCs w:val="21"/>
        </w:rPr>
        <w:t>⑥</w:t>
      </w:r>
      <w:r>
        <w:rPr>
          <w:rFonts w:ascii="Times New Roman"/>
          <w:snapToGrid w:val="0"/>
          <w:color w:val="auto"/>
          <w:spacing w:val="-16"/>
          <w:kern w:val="21"/>
          <w:szCs w:val="21"/>
        </w:rPr>
        <w:fldChar w:fldCharType="end"/>
      </w:r>
      <w:r>
        <w:rPr>
          <w:rFonts w:ascii="Times New Roman"/>
          <w:snapToGrid w:val="0"/>
          <w:color w:val="auto"/>
          <w:spacing w:val="-1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1 \* GB3 \* MERGEFORMAT </w:instrText>
      </w:r>
      <w:r>
        <w:rPr>
          <w:rFonts w:ascii="Times New Roman"/>
          <w:snapToGrid w:val="0"/>
          <w:color w:val="auto"/>
          <w:spacing w:val="-6"/>
          <w:kern w:val="21"/>
          <w:szCs w:val="21"/>
        </w:rPr>
        <w:fldChar w:fldCharType="separate"/>
      </w:r>
      <w:r>
        <w:rPr>
          <w:rFonts w:ascii="Times New Roman"/>
          <w:color w:val="auto"/>
          <w:szCs w:val="21"/>
        </w:rPr>
        <w:t>①</w:t>
      </w:r>
      <w:r>
        <w:rPr>
          <w:rFonts w:ascii="Times New Roman"/>
          <w:snapToGrid w:val="0"/>
          <w:color w:val="auto"/>
          <w:spacing w:val="-6"/>
          <w:kern w:val="21"/>
          <w:szCs w:val="21"/>
        </w:rPr>
        <w:fldChar w:fldCharType="end"/>
      </w:r>
      <w:r>
        <w:rPr>
          <w:rFonts w:ascii="Times New Roman"/>
          <w:snapToGrid w:val="0"/>
          <w:color w:val="auto"/>
          <w:spacing w:val="-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3 \* GB3 \* MERGEFORMAT </w:instrText>
      </w:r>
      <w:r>
        <w:rPr>
          <w:rFonts w:ascii="Times New Roman"/>
          <w:snapToGrid w:val="0"/>
          <w:color w:val="auto"/>
          <w:spacing w:val="-6"/>
          <w:kern w:val="21"/>
          <w:szCs w:val="21"/>
        </w:rPr>
        <w:fldChar w:fldCharType="separate"/>
      </w:r>
      <w:r>
        <w:rPr>
          <w:rFonts w:ascii="Times New Roman"/>
          <w:color w:val="auto"/>
          <w:szCs w:val="21"/>
        </w:rPr>
        <w:t>③</w:t>
      </w:r>
      <w:r>
        <w:rPr>
          <w:rFonts w:ascii="Times New Roman"/>
          <w:snapToGrid w:val="0"/>
          <w:color w:val="auto"/>
          <w:spacing w:val="-6"/>
          <w:kern w:val="21"/>
          <w:szCs w:val="21"/>
        </w:rPr>
        <w:fldChar w:fldCharType="end"/>
      </w:r>
      <w:r>
        <w:rPr>
          <w:rFonts w:ascii="Times New Roman"/>
          <w:snapToGrid w:val="0"/>
          <w:color w:val="auto"/>
          <w:spacing w:val="-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4 \* GB3 \* MERGEFORMAT </w:instrText>
      </w:r>
      <w:r>
        <w:rPr>
          <w:rFonts w:ascii="Times New Roman"/>
          <w:snapToGrid w:val="0"/>
          <w:color w:val="auto"/>
          <w:spacing w:val="-6"/>
          <w:kern w:val="21"/>
          <w:szCs w:val="21"/>
        </w:rPr>
        <w:fldChar w:fldCharType="separate"/>
      </w:r>
      <w:r>
        <w:rPr>
          <w:rFonts w:ascii="Times New Roman"/>
          <w:color w:val="auto"/>
          <w:szCs w:val="21"/>
        </w:rPr>
        <w:t>④</w:t>
      </w:r>
      <w:r>
        <w:rPr>
          <w:rFonts w:ascii="Times New Roman"/>
          <w:snapToGrid w:val="0"/>
          <w:color w:val="auto"/>
          <w:spacing w:val="-6"/>
          <w:kern w:val="21"/>
          <w:szCs w:val="21"/>
        </w:rPr>
        <w:fldChar w:fldCharType="end"/>
      </w:r>
      <w:r>
        <w:rPr>
          <w:rFonts w:ascii="Times New Roman"/>
          <w:snapToGrid w:val="0"/>
          <w:color w:val="auto"/>
          <w:spacing w:val="-6"/>
          <w:kern w:val="21"/>
          <w:szCs w:val="21"/>
        </w:rPr>
        <w:t>-</w:t>
      </w:r>
      <w:r>
        <w:rPr>
          <w:rFonts w:ascii="Times New Roman"/>
          <w:snapToGrid w:val="0"/>
          <w:color w:val="auto"/>
          <w:spacing w:val="-16"/>
          <w:kern w:val="21"/>
          <w:szCs w:val="21"/>
        </w:rPr>
        <w:fldChar w:fldCharType="begin"/>
      </w:r>
      <w:r>
        <w:rPr>
          <w:rFonts w:ascii="Times New Roman"/>
          <w:snapToGrid w:val="0"/>
          <w:color w:val="auto"/>
          <w:spacing w:val="-16"/>
          <w:kern w:val="21"/>
          <w:szCs w:val="21"/>
        </w:rPr>
        <w:instrText xml:space="preserve"> = 5 \* GB3 \* MERGEFORMAT </w:instrText>
      </w:r>
      <w:r>
        <w:rPr>
          <w:rFonts w:ascii="Times New Roman"/>
          <w:snapToGrid w:val="0"/>
          <w:color w:val="auto"/>
          <w:spacing w:val="-16"/>
          <w:kern w:val="21"/>
          <w:szCs w:val="21"/>
        </w:rPr>
        <w:fldChar w:fldCharType="separate"/>
      </w:r>
      <w:r>
        <w:rPr>
          <w:rFonts w:ascii="Times New Roman"/>
          <w:color w:val="auto"/>
          <w:szCs w:val="21"/>
        </w:rPr>
        <w:t>⑤</w:t>
      </w:r>
      <w:r>
        <w:rPr>
          <w:rFonts w:ascii="Times New Roman"/>
          <w:snapToGrid w:val="0"/>
          <w:color w:val="auto"/>
          <w:spacing w:val="-16"/>
          <w:kern w:val="21"/>
          <w:szCs w:val="21"/>
        </w:rPr>
        <w:fldChar w:fldCharType="end"/>
      </w:r>
      <w:r>
        <w:rPr>
          <w:rFonts w:ascii="Times New Roman"/>
          <w:snapToGrid w:val="0"/>
          <w:color w:val="auto"/>
          <w:spacing w:val="-1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7 \* GB3 \* MERGEFORMAT </w:instrText>
      </w:r>
      <w:r>
        <w:rPr>
          <w:rFonts w:ascii="Times New Roman"/>
          <w:snapToGrid w:val="0"/>
          <w:color w:val="auto"/>
          <w:spacing w:val="-6"/>
          <w:kern w:val="21"/>
          <w:szCs w:val="21"/>
        </w:rPr>
        <w:fldChar w:fldCharType="separate"/>
      </w:r>
      <w:r>
        <w:rPr>
          <w:rFonts w:ascii="Times New Roman"/>
          <w:color w:val="auto"/>
          <w:szCs w:val="21"/>
        </w:rPr>
        <w:t>⑦</w:t>
      </w:r>
      <w:r>
        <w:rPr>
          <w:rFonts w:ascii="Times New Roman"/>
          <w:snapToGrid w:val="0"/>
          <w:color w:val="auto"/>
          <w:spacing w:val="-6"/>
          <w:kern w:val="21"/>
          <w:szCs w:val="21"/>
        </w:rPr>
        <w:fldChar w:fldCharType="end"/>
      </w:r>
      <w:r>
        <w:rPr>
          <w:rFonts w:ascii="Times New Roman"/>
          <w:snapToGrid w:val="0"/>
          <w:color w:val="auto"/>
          <w:spacing w:val="-6"/>
          <w:kern w:val="21"/>
          <w:szCs w:val="21"/>
        </w:rPr>
        <w:t>=</w:t>
      </w:r>
      <w:r>
        <w:rPr>
          <w:rFonts w:ascii="Times New Roman"/>
          <w:snapToGrid w:val="0"/>
          <w:color w:val="auto"/>
          <w:spacing w:val="-16"/>
          <w:kern w:val="21"/>
          <w:szCs w:val="21"/>
        </w:rPr>
        <w:fldChar w:fldCharType="begin"/>
      </w:r>
      <w:r>
        <w:rPr>
          <w:rFonts w:ascii="Times New Roman"/>
          <w:snapToGrid w:val="0"/>
          <w:color w:val="auto"/>
          <w:spacing w:val="-16"/>
          <w:kern w:val="21"/>
          <w:szCs w:val="21"/>
        </w:rPr>
        <w:instrText xml:space="preserve"> = 6 \* GB3 \* MERGEFORMAT </w:instrText>
      </w:r>
      <w:r>
        <w:rPr>
          <w:rFonts w:ascii="Times New Roman"/>
          <w:snapToGrid w:val="0"/>
          <w:color w:val="auto"/>
          <w:spacing w:val="-16"/>
          <w:kern w:val="21"/>
          <w:szCs w:val="21"/>
        </w:rPr>
        <w:fldChar w:fldCharType="separate"/>
      </w:r>
      <w:r>
        <w:rPr>
          <w:rFonts w:ascii="Times New Roman"/>
          <w:color w:val="auto"/>
          <w:szCs w:val="21"/>
        </w:rPr>
        <w:t>⑥</w:t>
      </w:r>
      <w:r>
        <w:rPr>
          <w:rFonts w:ascii="Times New Roman"/>
          <w:snapToGrid w:val="0"/>
          <w:color w:val="auto"/>
          <w:spacing w:val="-16"/>
          <w:kern w:val="21"/>
          <w:szCs w:val="21"/>
        </w:rPr>
        <w:fldChar w:fldCharType="end"/>
      </w:r>
      <w:r>
        <w:rPr>
          <w:rFonts w:ascii="Times New Roman"/>
          <w:snapToGrid w:val="0"/>
          <w:color w:val="auto"/>
          <w:spacing w:val="-1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1 \* GB3 \* MERGEFORMAT </w:instrText>
      </w:r>
      <w:r>
        <w:rPr>
          <w:rFonts w:ascii="Times New Roman"/>
          <w:snapToGrid w:val="0"/>
          <w:color w:val="auto"/>
          <w:spacing w:val="-6"/>
          <w:kern w:val="21"/>
          <w:szCs w:val="21"/>
        </w:rPr>
        <w:fldChar w:fldCharType="separate"/>
      </w:r>
      <w:r>
        <w:rPr>
          <w:rFonts w:ascii="Times New Roman"/>
          <w:color w:val="auto"/>
          <w:szCs w:val="21"/>
        </w:rPr>
        <w:t>①</w:t>
      </w:r>
      <w:r>
        <w:rPr>
          <w:rFonts w:ascii="Times New Roman"/>
          <w:snapToGrid w:val="0"/>
          <w:color w:val="auto"/>
          <w:spacing w:val="-6"/>
          <w:kern w:val="21"/>
          <w:szCs w:val="21"/>
        </w:rPr>
        <w:fldChar w:fldCharType="end"/>
      </w:r>
    </w:p>
    <w:p w14:paraId="604E6387">
      <w:pPr>
        <w:rPr>
          <w:rFonts w:hint="eastAsia"/>
          <w:snapToGrid w:val="0"/>
          <w:color w:val="auto"/>
          <w:spacing w:val="-6"/>
          <w:kern w:val="21"/>
          <w:szCs w:val="21"/>
          <w:lang w:val="en-US" w:eastAsia="zh-CN"/>
        </w:rPr>
      </w:pPr>
      <w:r>
        <w:rPr>
          <w:rFonts w:hint="eastAsia"/>
          <w:snapToGrid w:val="0"/>
          <w:color w:val="auto"/>
          <w:spacing w:val="-6"/>
          <w:kern w:val="21"/>
          <w:szCs w:val="21"/>
          <w:lang w:val="en-US" w:eastAsia="zh-CN"/>
        </w:rPr>
        <w:t>单位：t/a</w:t>
      </w:r>
    </w:p>
    <w:p w14:paraId="41AEDC4D">
      <w:pPr>
        <w:rPr>
          <w:rFonts w:hint="eastAsia"/>
          <w:snapToGrid w:val="0"/>
          <w:color w:val="auto"/>
          <w:spacing w:val="-6"/>
          <w:kern w:val="21"/>
          <w:szCs w:val="21"/>
          <w:lang w:val="en-US" w:eastAsia="zh-CN"/>
        </w:rPr>
        <w:sectPr>
          <w:pgSz w:w="16838" w:h="11906" w:orient="landscape"/>
          <w:pgMar w:top="1800" w:right="1440" w:bottom="1800" w:left="1440" w:header="851" w:footer="992" w:gutter="0"/>
          <w:cols w:space="425" w:num="1"/>
          <w:docGrid w:type="lines" w:linePitch="312" w:charSpace="0"/>
        </w:sectPr>
      </w:pPr>
    </w:p>
    <w:p w14:paraId="4C716FD4">
      <w:pPr>
        <w:numPr>
          <w:ilvl w:val="0"/>
          <w:numId w:val="48"/>
        </w:numPr>
        <w:tabs>
          <w:tab w:val="left" w:pos="3697"/>
        </w:tabs>
        <w:ind w:left="0" w:leftChars="0" w:firstLine="420" w:firstLineChars="0"/>
        <w:outlineLvl w:val="0"/>
        <w:rPr>
          <w:rFonts w:hint="eastAsia"/>
          <w:b/>
          <w:bCs/>
          <w:color w:val="auto"/>
          <w:sz w:val="24"/>
          <w:szCs w:val="24"/>
          <w:lang w:val="en-US" w:eastAsia="zh-CN"/>
        </w:rPr>
      </w:pPr>
      <w:r>
        <w:rPr>
          <w:rFonts w:hint="eastAsia"/>
          <w:b/>
          <w:bCs/>
          <w:color w:val="auto"/>
          <w:sz w:val="24"/>
          <w:szCs w:val="24"/>
          <w:lang w:val="en-US" w:eastAsia="zh-CN"/>
        </w:rPr>
        <w:t>委托书</w:t>
      </w:r>
      <w:r>
        <w:rPr>
          <w:rFonts w:hint="eastAsia"/>
          <w:b/>
          <w:bCs/>
          <w:color w:val="auto"/>
          <w:sz w:val="24"/>
          <w:szCs w:val="24"/>
          <w:lang w:val="en-US" w:eastAsia="zh-CN"/>
        </w:rPr>
        <w:tab/>
      </w:r>
    </w:p>
    <w:p w14:paraId="3B2013B0">
      <w:pPr>
        <w:rPr>
          <w:rFonts w:hint="eastAsia" w:eastAsiaTheme="minorEastAsia"/>
          <w:color w:val="FF0000"/>
          <w:lang w:eastAsia="zh-CN"/>
        </w:rPr>
      </w:pPr>
      <w:r>
        <w:rPr>
          <w:rFonts w:hint="eastAsia"/>
          <w:color w:val="FF0000"/>
          <w:lang w:val="en-US" w:eastAsia="zh-CN"/>
        </w:rPr>
        <w:t xml:space="preserve"> </w:t>
      </w:r>
    </w:p>
    <w:p w14:paraId="6D74E262">
      <w:pPr>
        <w:rPr>
          <w:color w:val="FF0000"/>
        </w:rPr>
      </w:pPr>
      <w:r>
        <w:rPr>
          <w:rFonts w:hint="eastAsia" w:eastAsiaTheme="minorEastAsia"/>
          <w:color w:val="FF0000"/>
          <w:lang w:eastAsia="zh-CN"/>
        </w:rPr>
        <w:drawing>
          <wp:inline distT="0" distB="0" distL="114300" distR="114300">
            <wp:extent cx="5958205" cy="7915275"/>
            <wp:effectExtent l="0" t="0" r="4445" b="9525"/>
            <wp:docPr id="24" name="图片 24" descr="委托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委托书"/>
                    <pic:cNvPicPr>
                      <a:picLocks noChangeAspect="1"/>
                    </pic:cNvPicPr>
                  </pic:nvPicPr>
                  <pic:blipFill>
                    <a:blip r:embed="rId18"/>
                    <a:srcRect t="3790" b="6742"/>
                    <a:stretch>
                      <a:fillRect/>
                    </a:stretch>
                  </pic:blipFill>
                  <pic:spPr>
                    <a:xfrm>
                      <a:off x="0" y="0"/>
                      <a:ext cx="5958205" cy="7915275"/>
                    </a:xfrm>
                    <a:prstGeom prst="rect">
                      <a:avLst/>
                    </a:prstGeom>
                  </pic:spPr>
                </pic:pic>
              </a:graphicData>
            </a:graphic>
          </wp:inline>
        </w:drawing>
      </w:r>
    </w:p>
    <w:p w14:paraId="019E53E7">
      <w:pPr>
        <w:rPr>
          <w:color w:val="FF0000"/>
        </w:rPr>
      </w:pPr>
    </w:p>
    <w:p w14:paraId="3F2C7A22">
      <w:pPr>
        <w:rPr>
          <w:color w:val="FF0000"/>
        </w:rPr>
      </w:pPr>
    </w:p>
    <w:p w14:paraId="59CFA33A">
      <w:pPr>
        <w:rPr>
          <w:color w:val="FF0000"/>
        </w:rPr>
        <w:sectPr>
          <w:pgSz w:w="11906" w:h="16838"/>
          <w:pgMar w:top="1134" w:right="1134" w:bottom="1134" w:left="1134" w:header="851" w:footer="992" w:gutter="0"/>
          <w:cols w:space="425" w:num="1"/>
          <w:docGrid w:type="lines" w:linePitch="312" w:charSpace="0"/>
        </w:sectPr>
      </w:pPr>
    </w:p>
    <w:p w14:paraId="0E4B524A">
      <w:pPr>
        <w:numPr>
          <w:ilvl w:val="0"/>
          <w:numId w:val="48"/>
        </w:numPr>
        <w:ind w:left="0" w:leftChars="0" w:firstLine="420" w:firstLineChars="0"/>
        <w:outlineLvl w:val="0"/>
        <w:rPr>
          <w:rFonts w:hint="default"/>
          <w:b/>
          <w:bCs/>
          <w:color w:val="auto"/>
          <w:sz w:val="24"/>
          <w:szCs w:val="24"/>
          <w:lang w:val="en-US" w:eastAsia="zh-CN"/>
        </w:rPr>
      </w:pPr>
      <w:r>
        <w:rPr>
          <w:rFonts w:hint="eastAsia"/>
          <w:b/>
          <w:bCs/>
          <w:color w:val="auto"/>
          <w:sz w:val="24"/>
          <w:szCs w:val="24"/>
          <w:lang w:val="en-US" w:eastAsia="zh-CN"/>
        </w:rPr>
        <w:t>营业执照</w:t>
      </w:r>
    </w:p>
    <w:p w14:paraId="3970313E">
      <w:pPr>
        <w:jc w:val="center"/>
        <w:rPr>
          <w:rFonts w:hint="eastAsia" w:eastAsiaTheme="minorEastAsia"/>
          <w:color w:val="FF0000"/>
          <w:lang w:eastAsia="zh-CN"/>
        </w:rPr>
      </w:pPr>
      <w:r>
        <w:rPr>
          <w:rFonts w:hint="eastAsia" w:eastAsiaTheme="minorEastAsia"/>
          <w:color w:val="FF0000"/>
          <w:lang w:eastAsia="zh-CN"/>
        </w:rPr>
        <w:drawing>
          <wp:inline distT="0" distB="0" distL="114300" distR="114300">
            <wp:extent cx="7858125" cy="5594985"/>
            <wp:effectExtent l="0" t="0" r="9525" b="5715"/>
            <wp:docPr id="21" name="图片 21" descr="营业执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营业执照"/>
                    <pic:cNvPicPr>
                      <a:picLocks noChangeAspect="1"/>
                    </pic:cNvPicPr>
                  </pic:nvPicPr>
                  <pic:blipFill>
                    <a:blip r:embed="rId19"/>
                    <a:stretch>
                      <a:fillRect/>
                    </a:stretch>
                  </pic:blipFill>
                  <pic:spPr>
                    <a:xfrm>
                      <a:off x="0" y="0"/>
                      <a:ext cx="7858125" cy="5594985"/>
                    </a:xfrm>
                    <a:prstGeom prst="rect">
                      <a:avLst/>
                    </a:prstGeom>
                  </pic:spPr>
                </pic:pic>
              </a:graphicData>
            </a:graphic>
          </wp:inline>
        </w:drawing>
      </w:r>
    </w:p>
    <w:p w14:paraId="659DDB39">
      <w:pPr>
        <w:rPr>
          <w:color w:val="FF0000"/>
        </w:rPr>
        <w:sectPr>
          <w:pgSz w:w="16838" w:h="11906" w:orient="landscape"/>
          <w:pgMar w:top="1134" w:right="1134" w:bottom="1134" w:left="1134" w:header="851" w:footer="992" w:gutter="0"/>
          <w:cols w:space="0" w:num="1"/>
          <w:rtlGutter w:val="0"/>
          <w:docGrid w:type="lines" w:linePitch="312" w:charSpace="0"/>
        </w:sectPr>
      </w:pPr>
    </w:p>
    <w:p w14:paraId="5897086F">
      <w:pPr>
        <w:numPr>
          <w:ilvl w:val="0"/>
          <w:numId w:val="48"/>
        </w:numPr>
        <w:ind w:left="0" w:leftChars="0" w:firstLine="420" w:firstLineChars="0"/>
        <w:outlineLvl w:val="0"/>
        <w:rPr>
          <w:rFonts w:hint="default"/>
          <w:b/>
          <w:bCs/>
          <w:color w:val="auto"/>
          <w:sz w:val="24"/>
          <w:szCs w:val="24"/>
          <w:lang w:val="en-US" w:eastAsia="zh-CN"/>
        </w:rPr>
      </w:pPr>
      <w:r>
        <w:rPr>
          <w:rFonts w:hint="eastAsia"/>
          <w:b/>
          <w:bCs/>
          <w:color w:val="auto"/>
          <w:sz w:val="24"/>
          <w:szCs w:val="24"/>
          <w:lang w:val="en-US" w:eastAsia="zh-CN"/>
        </w:rPr>
        <w:t>备案证明</w:t>
      </w:r>
    </w:p>
    <w:p w14:paraId="03B65E09">
      <w:pPr>
        <w:keepNext w:val="0"/>
        <w:keepLines w:val="0"/>
        <w:pageBreakBefore w:val="0"/>
        <w:widowControl w:val="0"/>
        <w:numPr>
          <w:ilvl w:val="0"/>
          <w:numId w:val="0"/>
        </w:numPr>
        <w:kinsoku/>
        <w:wordWrap/>
        <w:overflowPunct/>
        <w:topLinePunct w:val="0"/>
        <w:autoSpaceDE/>
        <w:autoSpaceDN/>
        <w:bidi w:val="0"/>
        <w:adjustRightInd/>
        <w:snapToGrid/>
        <w:jc w:val="both"/>
        <w:textAlignment w:val="auto"/>
        <w:outlineLvl w:val="9"/>
        <w:rPr>
          <w:rFonts w:hint="eastAsia"/>
          <w:b/>
          <w:bCs/>
          <w:color w:val="auto"/>
          <w:sz w:val="24"/>
          <w:szCs w:val="24"/>
          <w:lang w:val="en-US" w:eastAsia="zh-CN"/>
        </w:rPr>
      </w:pPr>
    </w:p>
    <w:p w14:paraId="3E3D4EF6">
      <w:pPr>
        <w:keepNext w:val="0"/>
        <w:keepLines w:val="0"/>
        <w:pageBreakBefore w:val="0"/>
        <w:widowControl w:val="0"/>
        <w:numPr>
          <w:ilvl w:val="0"/>
          <w:numId w:val="0"/>
        </w:numPr>
        <w:kinsoku/>
        <w:wordWrap/>
        <w:overflowPunct/>
        <w:topLinePunct w:val="0"/>
        <w:autoSpaceDE/>
        <w:autoSpaceDN/>
        <w:bidi w:val="0"/>
        <w:adjustRightInd/>
        <w:snapToGrid/>
        <w:jc w:val="both"/>
        <w:textAlignment w:val="auto"/>
        <w:outlineLvl w:val="9"/>
        <w:rPr>
          <w:rFonts w:hint="eastAsia"/>
          <w:b/>
          <w:bCs/>
          <w:color w:val="auto"/>
          <w:sz w:val="24"/>
          <w:szCs w:val="24"/>
          <w:lang w:val="en-US" w:eastAsia="zh-CN"/>
        </w:rPr>
      </w:pPr>
      <w:r>
        <w:rPr>
          <w:rFonts w:hint="eastAsia"/>
          <w:b/>
          <w:bCs/>
          <w:color w:val="auto"/>
          <w:sz w:val="24"/>
          <w:szCs w:val="24"/>
          <w:lang w:val="en-US" w:eastAsia="zh-CN"/>
        </w:rPr>
        <w:drawing>
          <wp:inline distT="0" distB="0" distL="114300" distR="114300">
            <wp:extent cx="5947410" cy="8418195"/>
            <wp:effectExtent l="0" t="0" r="15240" b="1905"/>
            <wp:docPr id="46" name="图片 46" descr="项目备案证明-2026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项目备案证明-2026_01"/>
                    <pic:cNvPicPr>
                      <a:picLocks noChangeAspect="1"/>
                    </pic:cNvPicPr>
                  </pic:nvPicPr>
                  <pic:blipFill>
                    <a:blip r:embed="rId20"/>
                    <a:stretch>
                      <a:fillRect/>
                    </a:stretch>
                  </pic:blipFill>
                  <pic:spPr>
                    <a:xfrm>
                      <a:off x="0" y="0"/>
                      <a:ext cx="5947410" cy="8418195"/>
                    </a:xfrm>
                    <a:prstGeom prst="rect">
                      <a:avLst/>
                    </a:prstGeom>
                  </pic:spPr>
                </pic:pic>
              </a:graphicData>
            </a:graphic>
          </wp:inline>
        </w:drawing>
      </w:r>
    </w:p>
    <w:p w14:paraId="4C826232">
      <w:pPr>
        <w:keepNext w:val="0"/>
        <w:keepLines w:val="0"/>
        <w:pageBreakBefore w:val="0"/>
        <w:widowControl w:val="0"/>
        <w:numPr>
          <w:ilvl w:val="0"/>
          <w:numId w:val="0"/>
        </w:numPr>
        <w:kinsoku/>
        <w:wordWrap/>
        <w:overflowPunct/>
        <w:topLinePunct w:val="0"/>
        <w:autoSpaceDE/>
        <w:autoSpaceDN/>
        <w:bidi w:val="0"/>
        <w:adjustRightInd/>
        <w:snapToGrid/>
        <w:jc w:val="both"/>
        <w:textAlignment w:val="auto"/>
        <w:outlineLvl w:val="9"/>
        <w:rPr>
          <w:rFonts w:hint="eastAsia"/>
          <w:b/>
          <w:bCs/>
          <w:color w:val="auto"/>
          <w:sz w:val="24"/>
          <w:szCs w:val="24"/>
          <w:lang w:val="en-US" w:eastAsia="zh-CN"/>
        </w:rPr>
      </w:pPr>
    </w:p>
    <w:p w14:paraId="17B2AAAC">
      <w:pPr>
        <w:keepNext w:val="0"/>
        <w:keepLines w:val="0"/>
        <w:pageBreakBefore w:val="0"/>
        <w:widowControl w:val="0"/>
        <w:numPr>
          <w:ilvl w:val="0"/>
          <w:numId w:val="0"/>
        </w:numPr>
        <w:kinsoku/>
        <w:wordWrap/>
        <w:overflowPunct/>
        <w:topLinePunct w:val="0"/>
        <w:autoSpaceDE/>
        <w:autoSpaceDN/>
        <w:bidi w:val="0"/>
        <w:adjustRightInd/>
        <w:snapToGrid/>
        <w:jc w:val="both"/>
        <w:textAlignment w:val="auto"/>
        <w:outlineLvl w:val="9"/>
        <w:rPr>
          <w:rFonts w:hint="default"/>
          <w:b/>
          <w:bCs/>
          <w:color w:val="auto"/>
          <w:sz w:val="24"/>
          <w:szCs w:val="24"/>
          <w:lang w:val="en-US" w:eastAsia="zh-CN"/>
        </w:rPr>
        <w:sectPr>
          <w:pgSz w:w="11906" w:h="16838"/>
          <w:pgMar w:top="1134" w:right="1134" w:bottom="1134" w:left="1134" w:header="851" w:footer="992" w:gutter="0"/>
          <w:cols w:space="0" w:num="1"/>
          <w:rtlGutter w:val="0"/>
          <w:docGrid w:type="lines" w:linePitch="312" w:charSpace="0"/>
        </w:sectPr>
      </w:pPr>
    </w:p>
    <w:p w14:paraId="4DC51140">
      <w:pPr>
        <w:keepNext w:val="0"/>
        <w:keepLines w:val="0"/>
        <w:pageBreakBefore w:val="0"/>
        <w:widowControl w:val="0"/>
        <w:numPr>
          <w:ilvl w:val="0"/>
          <w:numId w:val="48"/>
        </w:numPr>
        <w:kinsoku/>
        <w:wordWrap/>
        <w:overflowPunct/>
        <w:topLinePunct w:val="0"/>
        <w:autoSpaceDE/>
        <w:autoSpaceDN/>
        <w:bidi w:val="0"/>
        <w:adjustRightInd/>
        <w:snapToGrid/>
        <w:spacing w:line="360" w:lineRule="auto"/>
        <w:ind w:left="0" w:leftChars="0" w:firstLine="420" w:firstLineChars="0"/>
        <w:textAlignment w:val="auto"/>
        <w:outlineLvl w:val="0"/>
        <w:rPr>
          <w:rFonts w:hint="default"/>
          <w:b/>
          <w:bCs/>
          <w:color w:val="auto"/>
          <w:sz w:val="24"/>
          <w:szCs w:val="24"/>
          <w:lang w:val="en-US" w:eastAsia="zh-CN"/>
        </w:rPr>
      </w:pPr>
      <w:r>
        <w:rPr>
          <w:rFonts w:hint="eastAsia"/>
          <w:b/>
          <w:bCs/>
          <w:color w:val="auto"/>
          <w:sz w:val="24"/>
          <w:szCs w:val="24"/>
          <w:lang w:val="en-US" w:eastAsia="zh-CN"/>
        </w:rPr>
        <w:t>用地协议</w:t>
      </w:r>
    </w:p>
    <w:p w14:paraId="74F3F11C">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420" w:leftChars="0"/>
        <w:textAlignment w:val="auto"/>
        <w:outlineLvl w:val="1"/>
        <w:rPr>
          <w:rFonts w:hint="default" w:eastAsiaTheme="minorEastAsia"/>
          <w:b/>
          <w:bCs/>
          <w:color w:val="auto"/>
          <w:sz w:val="24"/>
          <w:szCs w:val="24"/>
          <w:lang w:val="en-US" w:eastAsia="zh-CN"/>
        </w:rPr>
      </w:pPr>
      <w:r>
        <w:rPr>
          <w:rFonts w:hint="eastAsia"/>
          <w:lang w:val="en-US" w:eastAsia="zh-CN"/>
        </w:rPr>
        <w:t>1、本</w:t>
      </w:r>
      <w:r>
        <w:rPr>
          <w:rFonts w:hint="eastAsia"/>
          <w:color w:val="auto"/>
          <w:lang w:val="en-US" w:eastAsia="zh-CN"/>
        </w:rPr>
        <w:t>项目</w:t>
      </w:r>
      <w:r>
        <w:rPr>
          <w:rFonts w:hint="eastAsia"/>
          <w:lang w:val="en-US" w:eastAsia="zh-CN"/>
        </w:rPr>
        <w:t>与张慎廷的租赁合同</w:t>
      </w:r>
    </w:p>
    <w:p w14:paraId="2D2B2D8C">
      <w:pPr>
        <w:keepNext w:val="0"/>
        <w:keepLines w:val="0"/>
        <w:pageBreakBefore w:val="0"/>
        <w:widowControl w:val="0"/>
        <w:numPr>
          <w:ilvl w:val="0"/>
          <w:numId w:val="0"/>
        </w:numPr>
        <w:kinsoku/>
        <w:wordWrap/>
        <w:overflowPunct/>
        <w:topLinePunct w:val="0"/>
        <w:autoSpaceDE/>
        <w:autoSpaceDN/>
        <w:bidi w:val="0"/>
        <w:adjustRightInd/>
        <w:snapToGrid/>
        <w:jc w:val="center"/>
        <w:textAlignment w:val="auto"/>
        <w:outlineLvl w:val="9"/>
        <w:rPr>
          <w:rFonts w:hint="eastAsia" w:eastAsiaTheme="minorEastAsia"/>
          <w:lang w:eastAsia="zh-CN"/>
        </w:rPr>
      </w:pPr>
      <w:r>
        <w:rPr>
          <w:rFonts w:hint="eastAsia" w:eastAsiaTheme="minorEastAsia"/>
          <w:lang w:eastAsia="zh-CN"/>
        </w:rPr>
        <w:drawing>
          <wp:inline distT="0" distB="0" distL="114300" distR="114300">
            <wp:extent cx="5855970" cy="8483600"/>
            <wp:effectExtent l="0" t="0" r="11430" b="12700"/>
            <wp:docPr id="1" name="图片 1" descr="微信图片_20260417161900_482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微信图片_20260417161900_482_271"/>
                    <pic:cNvPicPr>
                      <a:picLocks noChangeAspect="1"/>
                    </pic:cNvPicPr>
                  </pic:nvPicPr>
                  <pic:blipFill>
                    <a:blip r:embed="rId21"/>
                    <a:stretch>
                      <a:fillRect/>
                    </a:stretch>
                  </pic:blipFill>
                  <pic:spPr>
                    <a:xfrm>
                      <a:off x="0" y="0"/>
                      <a:ext cx="5855970" cy="8483600"/>
                    </a:xfrm>
                    <a:prstGeom prst="rect">
                      <a:avLst/>
                    </a:prstGeom>
                  </pic:spPr>
                </pic:pic>
              </a:graphicData>
            </a:graphic>
          </wp:inline>
        </w:drawing>
      </w:r>
      <w:r>
        <w:rPr>
          <w:rFonts w:hint="eastAsia" w:eastAsiaTheme="minorEastAsia"/>
          <w:lang w:eastAsia="zh-CN"/>
        </w:rPr>
        <w:drawing>
          <wp:inline distT="0" distB="0" distL="114300" distR="114300">
            <wp:extent cx="8888730" cy="6115685"/>
            <wp:effectExtent l="0" t="0" r="18415" b="7620"/>
            <wp:docPr id="3" name="图片 3" descr="微信图片_20260417161859_481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微信图片_20260417161859_481_271"/>
                    <pic:cNvPicPr>
                      <a:picLocks noChangeAspect="1"/>
                    </pic:cNvPicPr>
                  </pic:nvPicPr>
                  <pic:blipFill>
                    <a:blip r:embed="rId22"/>
                    <a:stretch>
                      <a:fillRect/>
                    </a:stretch>
                  </pic:blipFill>
                  <pic:spPr>
                    <a:xfrm rot="16200000">
                      <a:off x="0" y="0"/>
                      <a:ext cx="8888730" cy="6115685"/>
                    </a:xfrm>
                    <a:prstGeom prst="rect">
                      <a:avLst/>
                    </a:prstGeom>
                  </pic:spPr>
                </pic:pic>
              </a:graphicData>
            </a:graphic>
          </wp:inline>
        </w:drawing>
      </w:r>
    </w:p>
    <w:p w14:paraId="7FAED515">
      <w:pPr>
        <w:keepNext w:val="0"/>
        <w:keepLines w:val="0"/>
        <w:pageBreakBefore w:val="0"/>
        <w:widowControl w:val="0"/>
        <w:numPr>
          <w:ilvl w:val="0"/>
          <w:numId w:val="0"/>
        </w:numPr>
        <w:kinsoku/>
        <w:wordWrap/>
        <w:overflowPunct/>
        <w:topLinePunct w:val="0"/>
        <w:autoSpaceDE/>
        <w:autoSpaceDN/>
        <w:bidi w:val="0"/>
        <w:adjustRightInd/>
        <w:snapToGrid/>
        <w:jc w:val="both"/>
        <w:textAlignment w:val="auto"/>
        <w:outlineLvl w:val="9"/>
      </w:pPr>
    </w:p>
    <w:p w14:paraId="557B1631">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420" w:leftChars="0"/>
        <w:textAlignment w:val="auto"/>
        <w:outlineLvl w:val="1"/>
        <w:rPr>
          <w:rFonts w:hint="default"/>
          <w:color w:val="auto"/>
          <w:lang w:val="en-US" w:eastAsia="zh-CN"/>
        </w:rPr>
      </w:pPr>
      <w:r>
        <w:rPr>
          <w:rFonts w:hint="eastAsia"/>
          <w:color w:val="auto"/>
          <w:lang w:val="en-US" w:eastAsia="zh-CN"/>
        </w:rPr>
        <w:t>2、张慎廷与南韩村（淄川永兴家具厂）的租赁合同</w:t>
      </w:r>
    </w:p>
    <w:p w14:paraId="5BEBB05E">
      <w:pPr>
        <w:keepNext w:val="0"/>
        <w:keepLines w:val="0"/>
        <w:pageBreakBefore w:val="0"/>
        <w:widowControl w:val="0"/>
        <w:numPr>
          <w:ilvl w:val="0"/>
          <w:numId w:val="0"/>
        </w:numPr>
        <w:kinsoku/>
        <w:wordWrap/>
        <w:overflowPunct/>
        <w:topLinePunct w:val="0"/>
        <w:autoSpaceDE/>
        <w:autoSpaceDN/>
        <w:bidi w:val="0"/>
        <w:adjustRightInd/>
        <w:snapToGrid/>
        <w:jc w:val="both"/>
        <w:textAlignment w:val="auto"/>
        <w:outlineLvl w:val="9"/>
      </w:pPr>
    </w:p>
    <w:p w14:paraId="2D1128CB">
      <w:pPr>
        <w:keepNext w:val="0"/>
        <w:keepLines w:val="0"/>
        <w:pageBreakBefore w:val="0"/>
        <w:widowControl w:val="0"/>
        <w:numPr>
          <w:ilvl w:val="0"/>
          <w:numId w:val="0"/>
        </w:numPr>
        <w:kinsoku/>
        <w:wordWrap/>
        <w:overflowPunct/>
        <w:topLinePunct w:val="0"/>
        <w:autoSpaceDE/>
        <w:autoSpaceDN/>
        <w:bidi w:val="0"/>
        <w:adjustRightInd/>
        <w:snapToGrid/>
        <w:jc w:val="both"/>
        <w:textAlignment w:val="auto"/>
        <w:outlineLvl w:val="9"/>
        <w:rPr>
          <w:rFonts w:hint="eastAsia" w:eastAsiaTheme="minorEastAsia"/>
          <w:lang w:eastAsia="zh-CN"/>
        </w:rPr>
      </w:pPr>
      <w:r>
        <w:rPr>
          <w:rFonts w:hint="eastAsia" w:eastAsiaTheme="minorEastAsia"/>
          <w:lang w:eastAsia="zh-CN"/>
        </w:rPr>
        <w:drawing>
          <wp:inline distT="0" distB="0" distL="114300" distR="114300">
            <wp:extent cx="6108065" cy="8604250"/>
            <wp:effectExtent l="0" t="0" r="6985" b="6350"/>
            <wp:docPr id="5" name="图片 5" descr="微信图片_20260416174414_438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微信图片_20260416174414_438_271"/>
                    <pic:cNvPicPr>
                      <a:picLocks noChangeAspect="1"/>
                    </pic:cNvPicPr>
                  </pic:nvPicPr>
                  <pic:blipFill>
                    <a:blip r:embed="rId23"/>
                    <a:stretch>
                      <a:fillRect/>
                    </a:stretch>
                  </pic:blipFill>
                  <pic:spPr>
                    <a:xfrm>
                      <a:off x="0" y="0"/>
                      <a:ext cx="6108065" cy="8604250"/>
                    </a:xfrm>
                    <a:prstGeom prst="rect">
                      <a:avLst/>
                    </a:prstGeom>
                  </pic:spPr>
                </pic:pic>
              </a:graphicData>
            </a:graphic>
          </wp:inline>
        </w:drawing>
      </w:r>
      <w:r>
        <w:rPr>
          <w:rFonts w:hint="eastAsia" w:eastAsiaTheme="minorEastAsia"/>
          <w:lang w:eastAsia="zh-CN"/>
        </w:rPr>
        <w:drawing>
          <wp:inline distT="0" distB="0" distL="114300" distR="114300">
            <wp:extent cx="6115685" cy="8621395"/>
            <wp:effectExtent l="0" t="0" r="18415" b="8255"/>
            <wp:docPr id="19" name="图片 19" descr="微信图片_20260416174415_439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微信图片_20260416174415_439_271"/>
                    <pic:cNvPicPr>
                      <a:picLocks noChangeAspect="1"/>
                    </pic:cNvPicPr>
                  </pic:nvPicPr>
                  <pic:blipFill>
                    <a:blip r:embed="rId24"/>
                    <a:stretch>
                      <a:fillRect/>
                    </a:stretch>
                  </pic:blipFill>
                  <pic:spPr>
                    <a:xfrm>
                      <a:off x="0" y="0"/>
                      <a:ext cx="6115685" cy="8621395"/>
                    </a:xfrm>
                    <a:prstGeom prst="rect">
                      <a:avLst/>
                    </a:prstGeom>
                  </pic:spPr>
                </pic:pic>
              </a:graphicData>
            </a:graphic>
          </wp:inline>
        </w:drawing>
      </w:r>
      <w:r>
        <w:rPr>
          <w:rFonts w:hint="eastAsia" w:eastAsiaTheme="minorEastAsia"/>
          <w:lang w:eastAsia="zh-CN"/>
        </w:rPr>
        <w:drawing>
          <wp:inline distT="0" distB="0" distL="114300" distR="114300">
            <wp:extent cx="6108065" cy="8561070"/>
            <wp:effectExtent l="0" t="0" r="6985" b="11430"/>
            <wp:docPr id="20" name="图片 20" descr="微信图片_20260416174416_440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微信图片_20260416174416_440_271"/>
                    <pic:cNvPicPr>
                      <a:picLocks noChangeAspect="1"/>
                    </pic:cNvPicPr>
                  </pic:nvPicPr>
                  <pic:blipFill>
                    <a:blip r:embed="rId25"/>
                    <a:stretch>
                      <a:fillRect/>
                    </a:stretch>
                  </pic:blipFill>
                  <pic:spPr>
                    <a:xfrm>
                      <a:off x="0" y="0"/>
                      <a:ext cx="6108065" cy="8561070"/>
                    </a:xfrm>
                    <a:prstGeom prst="rect">
                      <a:avLst/>
                    </a:prstGeom>
                  </pic:spPr>
                </pic:pic>
              </a:graphicData>
            </a:graphic>
          </wp:inline>
        </w:drawing>
      </w:r>
    </w:p>
    <w:p w14:paraId="263583D8">
      <w:pPr>
        <w:keepNext w:val="0"/>
        <w:keepLines w:val="0"/>
        <w:pageBreakBefore w:val="0"/>
        <w:widowControl w:val="0"/>
        <w:numPr>
          <w:ilvl w:val="0"/>
          <w:numId w:val="0"/>
        </w:numPr>
        <w:kinsoku/>
        <w:wordWrap/>
        <w:overflowPunct/>
        <w:topLinePunct w:val="0"/>
        <w:autoSpaceDE/>
        <w:autoSpaceDN/>
        <w:bidi w:val="0"/>
        <w:adjustRightInd/>
        <w:snapToGrid/>
        <w:jc w:val="both"/>
        <w:textAlignment w:val="auto"/>
        <w:outlineLvl w:val="9"/>
      </w:pPr>
    </w:p>
    <w:p w14:paraId="2D4E7117">
      <w:pPr>
        <w:keepNext w:val="0"/>
        <w:keepLines w:val="0"/>
        <w:pageBreakBefore w:val="0"/>
        <w:widowControl w:val="0"/>
        <w:numPr>
          <w:ilvl w:val="0"/>
          <w:numId w:val="0"/>
        </w:numPr>
        <w:kinsoku/>
        <w:wordWrap/>
        <w:overflowPunct/>
        <w:topLinePunct w:val="0"/>
        <w:autoSpaceDE/>
        <w:autoSpaceDN/>
        <w:bidi w:val="0"/>
        <w:adjustRightInd/>
        <w:snapToGrid/>
        <w:jc w:val="both"/>
        <w:textAlignment w:val="auto"/>
        <w:outlineLvl w:val="9"/>
      </w:pPr>
    </w:p>
    <w:p w14:paraId="2157690F">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420" w:leftChars="0"/>
        <w:textAlignment w:val="auto"/>
        <w:outlineLvl w:val="1"/>
        <w:rPr>
          <w:rFonts w:hint="default"/>
          <w:color w:val="auto"/>
          <w:lang w:val="en-US" w:eastAsia="zh-CN"/>
        </w:rPr>
      </w:pPr>
      <w:r>
        <w:rPr>
          <w:rFonts w:hint="eastAsia"/>
          <w:color w:val="auto"/>
          <w:lang w:val="en-US" w:eastAsia="zh-CN"/>
        </w:rPr>
        <w:t>3、家具厂用地手续证明</w:t>
      </w:r>
    </w:p>
    <w:p w14:paraId="6EC3FCA5">
      <w:pPr>
        <w:keepNext w:val="0"/>
        <w:keepLines w:val="0"/>
        <w:pageBreakBefore w:val="0"/>
        <w:widowControl w:val="0"/>
        <w:numPr>
          <w:ilvl w:val="0"/>
          <w:numId w:val="0"/>
        </w:numPr>
        <w:kinsoku/>
        <w:wordWrap/>
        <w:overflowPunct/>
        <w:topLinePunct w:val="0"/>
        <w:autoSpaceDE/>
        <w:autoSpaceDN/>
        <w:bidi w:val="0"/>
        <w:adjustRightInd/>
        <w:snapToGrid/>
        <w:jc w:val="center"/>
        <w:textAlignment w:val="auto"/>
        <w:outlineLvl w:val="9"/>
        <w:rPr>
          <w:rFonts w:hint="default"/>
          <w:b/>
          <w:bCs/>
          <w:color w:val="FF0000"/>
          <w:sz w:val="24"/>
          <w:szCs w:val="24"/>
          <w:lang w:val="en-US" w:eastAsia="zh-CN"/>
        </w:rPr>
      </w:pPr>
      <w:r>
        <w:rPr>
          <w:rFonts w:hint="default"/>
          <w:b/>
          <w:bCs/>
          <w:color w:val="FF0000"/>
          <w:sz w:val="24"/>
          <w:szCs w:val="24"/>
          <w:lang w:val="en-US" w:eastAsia="zh-CN"/>
        </w:rPr>
        <w:drawing>
          <wp:inline distT="0" distB="0" distL="114300" distR="114300">
            <wp:extent cx="6115685" cy="8157210"/>
            <wp:effectExtent l="0" t="0" r="18415" b="15240"/>
            <wp:docPr id="44" name="图片 44" descr="微信图片_20260330100710_262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微信图片_20260330100710_262_271"/>
                    <pic:cNvPicPr>
                      <a:picLocks noChangeAspect="1"/>
                    </pic:cNvPicPr>
                  </pic:nvPicPr>
                  <pic:blipFill>
                    <a:blip r:embed="rId26"/>
                    <a:stretch>
                      <a:fillRect/>
                    </a:stretch>
                  </pic:blipFill>
                  <pic:spPr>
                    <a:xfrm>
                      <a:off x="0" y="0"/>
                      <a:ext cx="6115685" cy="8157210"/>
                    </a:xfrm>
                    <a:prstGeom prst="rect">
                      <a:avLst/>
                    </a:prstGeom>
                  </pic:spPr>
                </pic:pic>
              </a:graphicData>
            </a:graphic>
          </wp:inline>
        </w:drawing>
      </w:r>
      <w:r>
        <w:rPr>
          <w:rFonts w:hint="default"/>
          <w:b/>
          <w:bCs/>
          <w:color w:val="FF0000"/>
          <w:sz w:val="24"/>
          <w:szCs w:val="24"/>
          <w:lang w:val="en-US" w:eastAsia="zh-CN"/>
        </w:rPr>
        <w:drawing>
          <wp:inline distT="0" distB="0" distL="114300" distR="114300">
            <wp:extent cx="6115685" cy="8157210"/>
            <wp:effectExtent l="0" t="0" r="18415" b="15240"/>
            <wp:docPr id="45" name="图片 45" descr="微信图片_20260330100712_263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微信图片_20260330100712_263_271"/>
                    <pic:cNvPicPr>
                      <a:picLocks noChangeAspect="1"/>
                    </pic:cNvPicPr>
                  </pic:nvPicPr>
                  <pic:blipFill>
                    <a:blip r:embed="rId27"/>
                    <a:stretch>
                      <a:fillRect/>
                    </a:stretch>
                  </pic:blipFill>
                  <pic:spPr>
                    <a:xfrm>
                      <a:off x="0" y="0"/>
                      <a:ext cx="6115685" cy="8157210"/>
                    </a:xfrm>
                    <a:prstGeom prst="rect">
                      <a:avLst/>
                    </a:prstGeom>
                  </pic:spPr>
                </pic:pic>
              </a:graphicData>
            </a:graphic>
          </wp:inline>
        </w:drawing>
      </w:r>
    </w:p>
    <w:p w14:paraId="222972D4">
      <w:pPr>
        <w:keepNext w:val="0"/>
        <w:keepLines w:val="0"/>
        <w:pageBreakBefore w:val="0"/>
        <w:widowControl w:val="0"/>
        <w:numPr>
          <w:ilvl w:val="0"/>
          <w:numId w:val="0"/>
        </w:numPr>
        <w:kinsoku/>
        <w:wordWrap/>
        <w:overflowPunct/>
        <w:topLinePunct w:val="0"/>
        <w:autoSpaceDE/>
        <w:autoSpaceDN/>
        <w:bidi w:val="0"/>
        <w:adjustRightInd/>
        <w:snapToGrid/>
        <w:jc w:val="both"/>
        <w:textAlignment w:val="auto"/>
        <w:outlineLvl w:val="9"/>
        <w:rPr>
          <w:rFonts w:hint="default"/>
          <w:b/>
          <w:bCs/>
          <w:color w:val="FF0000"/>
          <w:sz w:val="24"/>
          <w:szCs w:val="24"/>
          <w:lang w:val="en-US" w:eastAsia="zh-CN"/>
        </w:rPr>
        <w:sectPr>
          <w:pgSz w:w="11906" w:h="16838"/>
          <w:pgMar w:top="1134" w:right="1134" w:bottom="1134" w:left="1134" w:header="851" w:footer="992" w:gutter="0"/>
          <w:cols w:space="0" w:num="1"/>
          <w:rtlGutter w:val="0"/>
          <w:docGrid w:type="lines" w:linePitch="312" w:charSpace="0"/>
        </w:sectPr>
      </w:pPr>
    </w:p>
    <w:p w14:paraId="3B6EF1C3">
      <w:pPr>
        <w:numPr>
          <w:ilvl w:val="0"/>
          <w:numId w:val="48"/>
        </w:numPr>
        <w:ind w:left="0" w:leftChars="0" w:firstLine="420" w:firstLineChars="0"/>
        <w:outlineLvl w:val="0"/>
        <w:rPr>
          <w:rFonts w:hint="default"/>
          <w:b/>
          <w:bCs/>
          <w:color w:val="auto"/>
          <w:sz w:val="24"/>
          <w:szCs w:val="24"/>
          <w:lang w:val="en-US" w:eastAsia="zh-CN"/>
        </w:rPr>
      </w:pPr>
      <w:r>
        <w:rPr>
          <w:rFonts w:hint="eastAsia"/>
          <w:b/>
          <w:bCs/>
          <w:color w:val="auto"/>
          <w:sz w:val="24"/>
          <w:szCs w:val="24"/>
          <w:lang w:val="en-US" w:eastAsia="zh-CN"/>
        </w:rPr>
        <w:t>现有项目环评批复</w:t>
      </w:r>
    </w:p>
    <w:p w14:paraId="1FB6EC07">
      <w:pPr>
        <w:rPr>
          <w:rFonts w:hint="eastAsia" w:eastAsiaTheme="minorEastAsia"/>
          <w:color w:val="FF0000"/>
          <w:lang w:eastAsia="zh-CN"/>
        </w:rPr>
      </w:pPr>
      <w:r>
        <w:rPr>
          <w:rFonts w:hint="eastAsia" w:eastAsiaTheme="minorEastAsia"/>
          <w:color w:val="FF0000"/>
          <w:lang w:eastAsia="zh-CN"/>
        </w:rPr>
        <w:drawing>
          <wp:inline distT="0" distB="0" distL="114300" distR="114300">
            <wp:extent cx="6116320" cy="8153400"/>
            <wp:effectExtent l="0" t="0" r="17780" b="0"/>
            <wp:docPr id="22" name="图片 22"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图片1"/>
                    <pic:cNvPicPr>
                      <a:picLocks noChangeAspect="1"/>
                    </pic:cNvPicPr>
                  </pic:nvPicPr>
                  <pic:blipFill>
                    <a:blip r:embed="rId28"/>
                    <a:stretch>
                      <a:fillRect/>
                    </a:stretch>
                  </pic:blipFill>
                  <pic:spPr>
                    <a:xfrm>
                      <a:off x="0" y="0"/>
                      <a:ext cx="6116320" cy="8153400"/>
                    </a:xfrm>
                    <a:prstGeom prst="rect">
                      <a:avLst/>
                    </a:prstGeom>
                  </pic:spPr>
                </pic:pic>
              </a:graphicData>
            </a:graphic>
          </wp:inline>
        </w:drawing>
      </w:r>
      <w:r>
        <w:rPr>
          <w:rFonts w:hint="eastAsia" w:eastAsiaTheme="minorEastAsia"/>
          <w:color w:val="FF0000"/>
          <w:lang w:eastAsia="zh-CN"/>
        </w:rPr>
        <w:drawing>
          <wp:inline distT="0" distB="0" distL="114300" distR="114300">
            <wp:extent cx="6116320" cy="8153400"/>
            <wp:effectExtent l="0" t="0" r="17780" b="0"/>
            <wp:docPr id="23" name="图片 23"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图片2"/>
                    <pic:cNvPicPr>
                      <a:picLocks noChangeAspect="1"/>
                    </pic:cNvPicPr>
                  </pic:nvPicPr>
                  <pic:blipFill>
                    <a:blip r:embed="rId29"/>
                    <a:stretch>
                      <a:fillRect/>
                    </a:stretch>
                  </pic:blipFill>
                  <pic:spPr>
                    <a:xfrm>
                      <a:off x="0" y="0"/>
                      <a:ext cx="6116320" cy="8153400"/>
                    </a:xfrm>
                    <a:prstGeom prst="rect">
                      <a:avLst/>
                    </a:prstGeom>
                  </pic:spPr>
                </pic:pic>
              </a:graphicData>
            </a:graphic>
          </wp:inline>
        </w:drawing>
      </w:r>
    </w:p>
    <w:p w14:paraId="31EAC365">
      <w:pPr>
        <w:rPr>
          <w:color w:val="FF0000"/>
        </w:rPr>
      </w:pPr>
    </w:p>
    <w:p w14:paraId="093BBFB0">
      <w:pPr>
        <w:rPr>
          <w:rFonts w:hint="eastAsia" w:eastAsiaTheme="minorEastAsia"/>
          <w:color w:val="FF0000"/>
          <w:lang w:eastAsia="zh-CN"/>
        </w:rPr>
        <w:sectPr>
          <w:pgSz w:w="11906" w:h="16838"/>
          <w:pgMar w:top="1134" w:right="1134" w:bottom="1134" w:left="1134" w:header="851" w:footer="992" w:gutter="0"/>
          <w:cols w:space="0" w:num="1"/>
          <w:rtlGutter w:val="0"/>
          <w:docGrid w:type="lines" w:linePitch="312" w:charSpace="0"/>
        </w:sectPr>
      </w:pPr>
    </w:p>
    <w:p w14:paraId="64317EE8">
      <w:pPr>
        <w:numPr>
          <w:ilvl w:val="0"/>
          <w:numId w:val="48"/>
        </w:numPr>
        <w:ind w:left="0" w:leftChars="0" w:firstLine="420" w:firstLineChars="0"/>
        <w:outlineLvl w:val="0"/>
        <w:rPr>
          <w:rFonts w:hint="eastAsia"/>
          <w:b/>
          <w:bCs/>
          <w:color w:val="auto"/>
          <w:sz w:val="24"/>
          <w:szCs w:val="24"/>
          <w:lang w:val="en-US" w:eastAsia="zh-CN"/>
        </w:rPr>
      </w:pPr>
      <w:r>
        <w:rPr>
          <w:rFonts w:hint="eastAsia"/>
          <w:b/>
          <w:bCs/>
          <w:color w:val="auto"/>
          <w:sz w:val="24"/>
          <w:szCs w:val="24"/>
          <w:lang w:val="en-US" w:eastAsia="zh-CN"/>
        </w:rPr>
        <w:t>企业总量确认书</w:t>
      </w:r>
    </w:p>
    <w:p w14:paraId="645F1271">
      <w:pPr>
        <w:rPr>
          <w:rFonts w:hint="eastAsia"/>
          <w:color w:val="FF0000"/>
          <w:lang w:val="en-US" w:eastAsia="zh-CN"/>
        </w:rPr>
      </w:pPr>
      <w:r>
        <w:drawing>
          <wp:anchor distT="0" distB="0" distL="114300" distR="114300" simplePos="0" relativeHeight="251659264" behindDoc="0" locked="0" layoutInCell="1" allowOverlap="1">
            <wp:simplePos x="0" y="0"/>
            <wp:positionH relativeFrom="page">
              <wp:posOffset>961390</wp:posOffset>
            </wp:positionH>
            <wp:positionV relativeFrom="paragraph">
              <wp:posOffset>100330</wp:posOffset>
            </wp:positionV>
            <wp:extent cx="5655945" cy="8229600"/>
            <wp:effectExtent l="0" t="0" r="1905" b="0"/>
            <wp:wrapTopAndBottom/>
            <wp:docPr id="25"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28.jpeg"/>
                    <pic:cNvPicPr>
                      <a:picLocks noChangeAspect="1"/>
                    </pic:cNvPicPr>
                  </pic:nvPicPr>
                  <pic:blipFill>
                    <a:blip r:embed="rId30"/>
                    <a:stretch>
                      <a:fillRect/>
                    </a:stretch>
                  </pic:blipFill>
                  <pic:spPr>
                    <a:xfrm>
                      <a:off x="0" y="0"/>
                      <a:ext cx="5655945" cy="8229600"/>
                    </a:xfrm>
                    <a:prstGeom prst="rect">
                      <a:avLst/>
                    </a:prstGeom>
                    <a:noFill/>
                    <a:ln>
                      <a:noFill/>
                    </a:ln>
                  </pic:spPr>
                </pic:pic>
              </a:graphicData>
            </a:graphic>
          </wp:anchor>
        </w:drawing>
      </w:r>
    </w:p>
    <w:p w14:paraId="200C6D09">
      <w:pPr>
        <w:jc w:val="center"/>
        <w:rPr>
          <w:rFonts w:hint="eastAsia"/>
          <w:color w:val="FF0000"/>
          <w:lang w:val="en-US" w:eastAsia="zh-CN"/>
        </w:rPr>
      </w:pPr>
      <w:r>
        <w:rPr>
          <w:sz w:val="20"/>
        </w:rPr>
        <w:drawing>
          <wp:inline distT="0" distB="0" distL="114300" distR="114300">
            <wp:extent cx="6115050" cy="8762365"/>
            <wp:effectExtent l="0" t="0" r="0" b="635"/>
            <wp:docPr id="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
                    <pic:cNvPicPr>
                      <a:picLocks noChangeAspect="1"/>
                    </pic:cNvPicPr>
                  </pic:nvPicPr>
                  <pic:blipFill>
                    <a:blip r:embed="rId31"/>
                    <a:stretch>
                      <a:fillRect/>
                    </a:stretch>
                  </pic:blipFill>
                  <pic:spPr>
                    <a:xfrm>
                      <a:off x="0" y="0"/>
                      <a:ext cx="6115050" cy="8762365"/>
                    </a:xfrm>
                    <a:prstGeom prst="rect">
                      <a:avLst/>
                    </a:prstGeom>
                    <a:noFill/>
                    <a:ln>
                      <a:noFill/>
                    </a:ln>
                  </pic:spPr>
                </pic:pic>
              </a:graphicData>
            </a:graphic>
          </wp:inline>
        </w:drawing>
      </w:r>
      <w:r>
        <w:rPr>
          <w:sz w:val="20"/>
        </w:rPr>
        <w:drawing>
          <wp:inline distT="0" distB="0" distL="114300" distR="114300">
            <wp:extent cx="6101080" cy="8797925"/>
            <wp:effectExtent l="0" t="0" r="13970" b="3175"/>
            <wp:docPr id="2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
                    <pic:cNvPicPr>
                      <a:picLocks noChangeAspect="1"/>
                    </pic:cNvPicPr>
                  </pic:nvPicPr>
                  <pic:blipFill>
                    <a:blip r:embed="rId32"/>
                    <a:stretch>
                      <a:fillRect/>
                    </a:stretch>
                  </pic:blipFill>
                  <pic:spPr>
                    <a:xfrm>
                      <a:off x="0" y="0"/>
                      <a:ext cx="6101080" cy="8797925"/>
                    </a:xfrm>
                    <a:prstGeom prst="rect">
                      <a:avLst/>
                    </a:prstGeom>
                    <a:noFill/>
                    <a:ln>
                      <a:noFill/>
                    </a:ln>
                  </pic:spPr>
                </pic:pic>
              </a:graphicData>
            </a:graphic>
          </wp:inline>
        </w:drawing>
      </w:r>
      <w:r>
        <w:rPr>
          <w:sz w:val="20"/>
        </w:rPr>
        <w:drawing>
          <wp:inline distT="0" distB="0" distL="114300" distR="114300">
            <wp:extent cx="5854700" cy="8316595"/>
            <wp:effectExtent l="0" t="0" r="12700" b="8255"/>
            <wp:docPr id="3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
                    <pic:cNvPicPr>
                      <a:picLocks noChangeAspect="1"/>
                    </pic:cNvPicPr>
                  </pic:nvPicPr>
                  <pic:blipFill>
                    <a:blip r:embed="rId33"/>
                    <a:stretch>
                      <a:fillRect/>
                    </a:stretch>
                  </pic:blipFill>
                  <pic:spPr>
                    <a:xfrm>
                      <a:off x="0" y="0"/>
                      <a:ext cx="5854700" cy="8316595"/>
                    </a:xfrm>
                    <a:prstGeom prst="rect">
                      <a:avLst/>
                    </a:prstGeom>
                    <a:noFill/>
                    <a:ln>
                      <a:noFill/>
                    </a:ln>
                  </pic:spPr>
                </pic:pic>
              </a:graphicData>
            </a:graphic>
          </wp:inline>
        </w:drawing>
      </w:r>
    </w:p>
    <w:p w14:paraId="57CF9D86">
      <w:pPr>
        <w:rPr>
          <w:rFonts w:hint="eastAsia"/>
          <w:color w:val="FF0000"/>
          <w:lang w:val="en-US" w:eastAsia="zh-CN"/>
        </w:rPr>
      </w:pPr>
    </w:p>
    <w:p w14:paraId="0BD2D5F2">
      <w:pPr>
        <w:rPr>
          <w:rFonts w:hint="eastAsia"/>
          <w:color w:val="FF0000"/>
          <w:lang w:val="en-US" w:eastAsia="zh-CN"/>
        </w:rPr>
      </w:pPr>
    </w:p>
    <w:p w14:paraId="086ECBF3">
      <w:pPr>
        <w:rPr>
          <w:rFonts w:hint="default"/>
          <w:color w:val="FF0000"/>
          <w:lang w:val="en-US" w:eastAsia="zh-CN"/>
        </w:rPr>
        <w:sectPr>
          <w:pgSz w:w="11906" w:h="16838"/>
          <w:pgMar w:top="1134" w:right="1134" w:bottom="1134" w:left="1134" w:header="851" w:footer="992" w:gutter="0"/>
          <w:cols w:space="0" w:num="1"/>
          <w:rtlGutter w:val="0"/>
          <w:docGrid w:type="lines" w:linePitch="312" w:charSpace="0"/>
        </w:sectPr>
      </w:pPr>
    </w:p>
    <w:p w14:paraId="1966EE48">
      <w:pPr>
        <w:numPr>
          <w:ilvl w:val="0"/>
          <w:numId w:val="48"/>
        </w:numPr>
        <w:ind w:left="0" w:leftChars="0" w:firstLine="420" w:firstLineChars="0"/>
        <w:outlineLvl w:val="0"/>
        <w:rPr>
          <w:rFonts w:hint="default"/>
          <w:b/>
          <w:bCs/>
          <w:color w:val="auto"/>
          <w:sz w:val="24"/>
          <w:szCs w:val="24"/>
          <w:lang w:val="en-US" w:eastAsia="zh-CN"/>
        </w:rPr>
      </w:pPr>
      <w:r>
        <w:rPr>
          <w:rFonts w:hint="eastAsia"/>
          <w:b/>
          <w:bCs/>
          <w:color w:val="auto"/>
          <w:sz w:val="24"/>
          <w:szCs w:val="24"/>
          <w:lang w:val="en-US" w:eastAsia="zh-CN"/>
        </w:rPr>
        <w:t>排污许可证</w:t>
      </w:r>
    </w:p>
    <w:p w14:paraId="6A899DC8">
      <w:pPr>
        <w:keepNext w:val="0"/>
        <w:keepLines w:val="0"/>
        <w:pageBreakBefore w:val="0"/>
        <w:widowControl w:val="0"/>
        <w:numPr>
          <w:ilvl w:val="0"/>
          <w:numId w:val="0"/>
        </w:numPr>
        <w:kinsoku/>
        <w:wordWrap/>
        <w:overflowPunct/>
        <w:topLinePunct w:val="0"/>
        <w:autoSpaceDE/>
        <w:autoSpaceDN/>
        <w:bidi w:val="0"/>
        <w:adjustRightInd/>
        <w:snapToGrid/>
        <w:jc w:val="both"/>
        <w:textAlignment w:val="auto"/>
        <w:outlineLvl w:val="9"/>
        <w:rPr>
          <w:rFonts w:hint="eastAsia"/>
          <w:b/>
          <w:bCs/>
          <w:color w:val="FF0000"/>
          <w:sz w:val="24"/>
          <w:szCs w:val="24"/>
          <w:lang w:val="en-US" w:eastAsia="zh-CN"/>
        </w:rPr>
      </w:pPr>
    </w:p>
    <w:p w14:paraId="5652436E">
      <w:pPr>
        <w:widowControl w:val="0"/>
        <w:numPr>
          <w:ilvl w:val="0"/>
          <w:numId w:val="0"/>
        </w:numPr>
        <w:jc w:val="center"/>
        <w:outlineLvl w:val="0"/>
        <w:rPr>
          <w:rFonts w:hint="default"/>
          <w:b/>
          <w:bCs/>
          <w:color w:val="FF0000"/>
          <w:sz w:val="24"/>
          <w:szCs w:val="24"/>
          <w:lang w:val="en-US" w:eastAsia="zh-CN"/>
        </w:rPr>
        <w:sectPr>
          <w:pgSz w:w="16838" w:h="11906" w:orient="landscape"/>
          <w:pgMar w:top="1134" w:right="1134" w:bottom="1134" w:left="1134" w:header="851" w:footer="992" w:gutter="0"/>
          <w:cols w:space="0" w:num="1"/>
          <w:rtlGutter w:val="0"/>
          <w:docGrid w:type="lines" w:linePitch="312" w:charSpace="0"/>
        </w:sectPr>
      </w:pPr>
      <w:r>
        <w:rPr>
          <w:rFonts w:hint="default"/>
          <w:b/>
          <w:bCs/>
          <w:color w:val="FF0000"/>
          <w:sz w:val="24"/>
          <w:szCs w:val="24"/>
          <w:lang w:val="en-US" w:eastAsia="zh-CN"/>
        </w:rPr>
        <w:drawing>
          <wp:inline distT="0" distB="0" distL="114300" distR="114300">
            <wp:extent cx="7730490" cy="5466080"/>
            <wp:effectExtent l="0" t="0" r="3810" b="1270"/>
            <wp:docPr id="48" name="图片 48" descr="排污许可证正本信息公开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排污许可证正本信息公开_01"/>
                    <pic:cNvPicPr>
                      <a:picLocks noChangeAspect="1"/>
                    </pic:cNvPicPr>
                  </pic:nvPicPr>
                  <pic:blipFill>
                    <a:blip r:embed="rId34"/>
                    <a:stretch>
                      <a:fillRect/>
                    </a:stretch>
                  </pic:blipFill>
                  <pic:spPr>
                    <a:xfrm>
                      <a:off x="0" y="0"/>
                      <a:ext cx="7730490" cy="5466080"/>
                    </a:xfrm>
                    <a:prstGeom prst="rect">
                      <a:avLst/>
                    </a:prstGeom>
                  </pic:spPr>
                </pic:pic>
              </a:graphicData>
            </a:graphic>
          </wp:inline>
        </w:drawing>
      </w:r>
    </w:p>
    <w:p w14:paraId="37EEEAAC">
      <w:pPr>
        <w:numPr>
          <w:ilvl w:val="0"/>
          <w:numId w:val="48"/>
        </w:numPr>
        <w:ind w:left="0" w:leftChars="0" w:firstLine="420" w:firstLineChars="0"/>
        <w:outlineLvl w:val="0"/>
        <w:rPr>
          <w:rFonts w:hint="default"/>
          <w:b/>
          <w:bCs/>
          <w:color w:val="auto"/>
          <w:sz w:val="24"/>
          <w:szCs w:val="24"/>
          <w:lang w:val="en-US" w:eastAsia="zh-CN"/>
        </w:rPr>
      </w:pPr>
      <w:r>
        <w:rPr>
          <w:rFonts w:hint="eastAsia"/>
          <w:b/>
          <w:bCs/>
          <w:color w:val="auto"/>
          <w:sz w:val="24"/>
          <w:szCs w:val="24"/>
          <w:lang w:val="en-US" w:eastAsia="zh-CN"/>
        </w:rPr>
        <w:t>现有项目验收意见（部分）</w:t>
      </w:r>
    </w:p>
    <w:p w14:paraId="2871D97C">
      <w:pPr>
        <w:keepNext w:val="0"/>
        <w:keepLines w:val="0"/>
        <w:pageBreakBefore w:val="0"/>
        <w:widowControl w:val="0"/>
        <w:numPr>
          <w:ilvl w:val="0"/>
          <w:numId w:val="0"/>
        </w:numPr>
        <w:kinsoku/>
        <w:wordWrap/>
        <w:overflowPunct/>
        <w:topLinePunct w:val="0"/>
        <w:autoSpaceDE/>
        <w:autoSpaceDN/>
        <w:bidi w:val="0"/>
        <w:adjustRightInd/>
        <w:snapToGrid/>
        <w:jc w:val="both"/>
        <w:textAlignment w:val="auto"/>
        <w:outlineLvl w:val="9"/>
        <w:rPr>
          <w:rFonts w:hint="eastAsia"/>
          <w:b/>
          <w:bCs/>
          <w:color w:val="FF0000"/>
          <w:sz w:val="24"/>
          <w:szCs w:val="24"/>
          <w:lang w:val="en-US" w:eastAsia="zh-CN"/>
        </w:rPr>
        <w:sectPr>
          <w:pgSz w:w="11906" w:h="16838"/>
          <w:pgMar w:top="1134" w:right="1134" w:bottom="1134" w:left="1134" w:header="851" w:footer="992" w:gutter="0"/>
          <w:cols w:space="0" w:num="1"/>
          <w:rtlGutter w:val="0"/>
          <w:docGrid w:type="lines" w:linePitch="312" w:charSpace="0"/>
        </w:sectPr>
      </w:pPr>
      <w:r>
        <w:rPr>
          <w:rFonts w:hint="eastAsia"/>
          <w:b/>
          <w:bCs/>
          <w:color w:val="FF0000"/>
          <w:sz w:val="24"/>
          <w:szCs w:val="24"/>
          <w:lang w:val="en-US" w:eastAsia="zh-CN"/>
        </w:rPr>
        <w:drawing>
          <wp:inline distT="0" distB="0" distL="114300" distR="114300">
            <wp:extent cx="6115050" cy="8649970"/>
            <wp:effectExtent l="0" t="0" r="0" b="17780"/>
            <wp:docPr id="26" name="图片 26" descr="1-5淄博利赛环保科技环保验收意见2021.5.6(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1-5淄博利赛环保科技环保验收意见2021.5.6(1)_01"/>
                    <pic:cNvPicPr>
                      <a:picLocks noChangeAspect="1"/>
                    </pic:cNvPicPr>
                  </pic:nvPicPr>
                  <pic:blipFill>
                    <a:blip r:embed="rId35"/>
                    <a:stretch>
                      <a:fillRect/>
                    </a:stretch>
                  </pic:blipFill>
                  <pic:spPr>
                    <a:xfrm>
                      <a:off x="0" y="0"/>
                      <a:ext cx="6115050" cy="8649970"/>
                    </a:xfrm>
                    <a:prstGeom prst="rect">
                      <a:avLst/>
                    </a:prstGeom>
                  </pic:spPr>
                </pic:pic>
              </a:graphicData>
            </a:graphic>
          </wp:inline>
        </w:drawing>
      </w:r>
    </w:p>
    <w:p w14:paraId="7EC0FB62">
      <w:pPr>
        <w:keepNext w:val="0"/>
        <w:keepLines w:val="0"/>
        <w:pageBreakBefore w:val="0"/>
        <w:widowControl w:val="0"/>
        <w:numPr>
          <w:ilvl w:val="0"/>
          <w:numId w:val="0"/>
        </w:numPr>
        <w:kinsoku/>
        <w:wordWrap/>
        <w:overflowPunct/>
        <w:topLinePunct w:val="0"/>
        <w:autoSpaceDE/>
        <w:autoSpaceDN/>
        <w:bidi w:val="0"/>
        <w:adjustRightInd/>
        <w:snapToGrid/>
        <w:jc w:val="center"/>
        <w:textAlignment w:val="auto"/>
        <w:outlineLvl w:val="9"/>
        <w:rPr>
          <w:rFonts w:hint="eastAsia"/>
          <w:b/>
          <w:bCs/>
          <w:color w:val="FF0000"/>
          <w:sz w:val="24"/>
          <w:szCs w:val="24"/>
          <w:lang w:val="en-US" w:eastAsia="zh-CN"/>
        </w:rPr>
      </w:pPr>
      <w:r>
        <w:rPr>
          <w:rFonts w:hint="eastAsia"/>
          <w:b/>
          <w:bCs/>
          <w:color w:val="FF0000"/>
          <w:sz w:val="24"/>
          <w:szCs w:val="24"/>
          <w:lang w:val="en-US" w:eastAsia="zh-CN"/>
        </w:rPr>
        <w:drawing>
          <wp:inline distT="0" distB="0" distL="114300" distR="114300">
            <wp:extent cx="8691880" cy="6151880"/>
            <wp:effectExtent l="0" t="0" r="13970" b="1270"/>
            <wp:docPr id="27" name="图片 27" descr="专家签字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专家签字页"/>
                    <pic:cNvPicPr>
                      <a:picLocks noChangeAspect="1"/>
                    </pic:cNvPicPr>
                  </pic:nvPicPr>
                  <pic:blipFill>
                    <a:blip r:embed="rId36"/>
                    <a:stretch>
                      <a:fillRect/>
                    </a:stretch>
                  </pic:blipFill>
                  <pic:spPr>
                    <a:xfrm>
                      <a:off x="0" y="0"/>
                      <a:ext cx="8691880" cy="6151880"/>
                    </a:xfrm>
                    <a:prstGeom prst="rect">
                      <a:avLst/>
                    </a:prstGeom>
                  </pic:spPr>
                </pic:pic>
              </a:graphicData>
            </a:graphic>
          </wp:inline>
        </w:drawing>
      </w:r>
    </w:p>
    <w:p w14:paraId="27DA8E52">
      <w:pPr>
        <w:keepNext w:val="0"/>
        <w:keepLines w:val="0"/>
        <w:pageBreakBefore w:val="0"/>
        <w:widowControl w:val="0"/>
        <w:numPr>
          <w:ilvl w:val="0"/>
          <w:numId w:val="0"/>
        </w:numPr>
        <w:kinsoku/>
        <w:wordWrap/>
        <w:overflowPunct/>
        <w:topLinePunct w:val="0"/>
        <w:autoSpaceDE/>
        <w:autoSpaceDN/>
        <w:bidi w:val="0"/>
        <w:adjustRightInd/>
        <w:snapToGrid/>
        <w:jc w:val="both"/>
        <w:textAlignment w:val="auto"/>
        <w:outlineLvl w:val="9"/>
        <w:rPr>
          <w:rFonts w:hint="default"/>
          <w:b/>
          <w:bCs/>
          <w:color w:val="FF0000"/>
          <w:sz w:val="24"/>
          <w:szCs w:val="24"/>
          <w:lang w:val="en-US" w:eastAsia="zh-CN"/>
        </w:rPr>
        <w:sectPr>
          <w:pgSz w:w="16838" w:h="11906" w:orient="landscape"/>
          <w:pgMar w:top="1134" w:right="1134" w:bottom="1134" w:left="1134" w:header="851" w:footer="992" w:gutter="0"/>
          <w:cols w:space="0" w:num="1"/>
          <w:rtlGutter w:val="0"/>
          <w:docGrid w:type="lines" w:linePitch="312" w:charSpace="0"/>
        </w:sectPr>
      </w:pPr>
    </w:p>
    <w:p w14:paraId="76B8324D">
      <w:pPr>
        <w:numPr>
          <w:ilvl w:val="0"/>
          <w:numId w:val="48"/>
        </w:numPr>
        <w:ind w:left="0" w:leftChars="0" w:firstLine="420" w:firstLineChars="0"/>
        <w:outlineLvl w:val="0"/>
        <w:rPr>
          <w:rFonts w:hint="default"/>
          <w:b/>
          <w:bCs/>
          <w:color w:val="auto"/>
          <w:sz w:val="24"/>
          <w:szCs w:val="24"/>
          <w:lang w:val="en-US" w:eastAsia="zh-CN"/>
        </w:rPr>
      </w:pPr>
      <w:r>
        <w:rPr>
          <w:rFonts w:hint="eastAsia"/>
          <w:b/>
          <w:bCs/>
          <w:color w:val="auto"/>
          <w:sz w:val="24"/>
          <w:szCs w:val="24"/>
          <w:lang w:val="en-US" w:eastAsia="zh-CN"/>
        </w:rPr>
        <w:t>危险废物经营许可证</w:t>
      </w:r>
    </w:p>
    <w:p w14:paraId="376C6253">
      <w:pPr>
        <w:keepNext w:val="0"/>
        <w:keepLines w:val="0"/>
        <w:pageBreakBefore w:val="0"/>
        <w:widowControl w:val="0"/>
        <w:numPr>
          <w:ilvl w:val="0"/>
          <w:numId w:val="0"/>
        </w:numPr>
        <w:kinsoku/>
        <w:wordWrap/>
        <w:overflowPunct/>
        <w:topLinePunct w:val="0"/>
        <w:autoSpaceDE/>
        <w:autoSpaceDN/>
        <w:bidi w:val="0"/>
        <w:adjustRightInd/>
        <w:snapToGrid/>
        <w:jc w:val="center"/>
        <w:textAlignment w:val="auto"/>
        <w:outlineLvl w:val="9"/>
        <w:rPr>
          <w:rFonts w:hint="default"/>
          <w:b/>
          <w:bCs/>
          <w:color w:val="FF0000"/>
          <w:sz w:val="24"/>
          <w:szCs w:val="24"/>
          <w:lang w:val="en-US" w:eastAsia="zh-CN"/>
        </w:rPr>
      </w:pPr>
      <w:r>
        <w:rPr>
          <w:rFonts w:hint="eastAsia"/>
          <w:b/>
          <w:bCs/>
          <w:color w:val="FF0000"/>
          <w:sz w:val="24"/>
          <w:szCs w:val="24"/>
          <w:lang w:val="en-US" w:eastAsia="zh-CN"/>
        </w:rPr>
        <w:drawing>
          <wp:inline distT="0" distB="0" distL="114300" distR="114300">
            <wp:extent cx="8077200" cy="5751830"/>
            <wp:effectExtent l="0" t="0" r="0" b="1270"/>
            <wp:docPr id="49" name="图片 49" descr="危废经营许可证-2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危废经营许可证-2026"/>
                    <pic:cNvPicPr>
                      <a:picLocks noChangeAspect="1"/>
                    </pic:cNvPicPr>
                  </pic:nvPicPr>
                  <pic:blipFill>
                    <a:blip r:embed="rId37"/>
                    <a:stretch>
                      <a:fillRect/>
                    </a:stretch>
                  </pic:blipFill>
                  <pic:spPr>
                    <a:xfrm>
                      <a:off x="0" y="0"/>
                      <a:ext cx="8077200" cy="5751830"/>
                    </a:xfrm>
                    <a:prstGeom prst="rect">
                      <a:avLst/>
                    </a:prstGeom>
                  </pic:spPr>
                </pic:pic>
              </a:graphicData>
            </a:graphic>
          </wp:inline>
        </w:drawing>
      </w:r>
    </w:p>
    <w:p w14:paraId="2DB8DDA3">
      <w:pPr>
        <w:keepNext w:val="0"/>
        <w:keepLines w:val="0"/>
        <w:pageBreakBefore w:val="0"/>
        <w:widowControl w:val="0"/>
        <w:numPr>
          <w:ilvl w:val="0"/>
          <w:numId w:val="0"/>
        </w:numPr>
        <w:kinsoku/>
        <w:wordWrap/>
        <w:overflowPunct/>
        <w:topLinePunct w:val="0"/>
        <w:autoSpaceDE/>
        <w:autoSpaceDN/>
        <w:bidi w:val="0"/>
        <w:adjustRightInd/>
        <w:snapToGrid/>
        <w:jc w:val="both"/>
        <w:textAlignment w:val="auto"/>
        <w:outlineLvl w:val="9"/>
        <w:rPr>
          <w:rFonts w:hint="default"/>
          <w:color w:val="FF0000"/>
          <w:lang w:val="en-US" w:eastAsia="zh-CN"/>
        </w:rPr>
        <w:sectPr>
          <w:pgSz w:w="16838" w:h="11906" w:orient="landscape"/>
          <w:pgMar w:top="1134" w:right="1134" w:bottom="1134" w:left="1134" w:header="851" w:footer="992" w:gutter="0"/>
          <w:cols w:space="0" w:num="1"/>
          <w:rtlGutter w:val="0"/>
          <w:docGrid w:type="lines" w:linePitch="312" w:charSpace="0"/>
        </w:sectPr>
      </w:pPr>
    </w:p>
    <w:p w14:paraId="13D77AC2">
      <w:pPr>
        <w:keepNext w:val="0"/>
        <w:keepLines w:val="0"/>
        <w:pageBreakBefore w:val="0"/>
        <w:widowControl w:val="0"/>
        <w:numPr>
          <w:ilvl w:val="0"/>
          <w:numId w:val="0"/>
        </w:numPr>
        <w:kinsoku/>
        <w:wordWrap/>
        <w:overflowPunct/>
        <w:topLinePunct w:val="0"/>
        <w:autoSpaceDE/>
        <w:autoSpaceDN/>
        <w:bidi w:val="0"/>
        <w:adjustRightInd/>
        <w:snapToGrid/>
        <w:jc w:val="both"/>
        <w:textAlignment w:val="auto"/>
        <w:outlineLvl w:val="9"/>
        <w:rPr>
          <w:rFonts w:hint="default"/>
          <w:color w:val="FF0000"/>
          <w:lang w:val="en-US" w:eastAsia="zh-CN"/>
        </w:rPr>
        <w:sectPr>
          <w:pgSz w:w="11906" w:h="16838"/>
          <w:pgMar w:top="1134" w:right="1134" w:bottom="1134" w:left="1134" w:header="851" w:footer="992" w:gutter="0"/>
          <w:cols w:space="0" w:num="1"/>
          <w:rtlGutter w:val="0"/>
          <w:docGrid w:type="lines" w:linePitch="312" w:charSpace="0"/>
        </w:sectPr>
      </w:pPr>
      <w:r>
        <w:rPr>
          <w:rFonts w:hint="default"/>
          <w:color w:val="FF0000"/>
          <w:lang w:val="en-US" w:eastAsia="zh-CN"/>
        </w:rPr>
        <w:drawing>
          <wp:inline distT="0" distB="0" distL="114300" distR="114300">
            <wp:extent cx="6108700" cy="8639175"/>
            <wp:effectExtent l="0" t="0" r="6350" b="9525"/>
            <wp:docPr id="50" name="图片 50" descr="危险废物经营许可证-淄博利赛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危险废物经营许可证-淄博利赛_04"/>
                    <pic:cNvPicPr>
                      <a:picLocks noChangeAspect="1"/>
                    </pic:cNvPicPr>
                  </pic:nvPicPr>
                  <pic:blipFill>
                    <a:blip r:embed="rId38"/>
                    <a:stretch>
                      <a:fillRect/>
                    </a:stretch>
                  </pic:blipFill>
                  <pic:spPr>
                    <a:xfrm>
                      <a:off x="0" y="0"/>
                      <a:ext cx="6108700" cy="8639175"/>
                    </a:xfrm>
                    <a:prstGeom prst="rect">
                      <a:avLst/>
                    </a:prstGeom>
                  </pic:spPr>
                </pic:pic>
              </a:graphicData>
            </a:graphic>
          </wp:inline>
        </w:drawing>
      </w:r>
      <w:r>
        <w:rPr>
          <w:rFonts w:hint="default"/>
          <w:color w:val="FF0000"/>
          <w:lang w:val="en-US" w:eastAsia="zh-CN"/>
        </w:rPr>
        <w:drawing>
          <wp:inline distT="0" distB="0" distL="114300" distR="114300">
            <wp:extent cx="6108700" cy="8639175"/>
            <wp:effectExtent l="0" t="0" r="6350" b="9525"/>
            <wp:docPr id="51" name="图片 51" descr="危险废物经营许可证-淄博利赛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危险废物经营许可证-淄博利赛_05"/>
                    <pic:cNvPicPr>
                      <a:picLocks noChangeAspect="1"/>
                    </pic:cNvPicPr>
                  </pic:nvPicPr>
                  <pic:blipFill>
                    <a:blip r:embed="rId39"/>
                    <a:stretch>
                      <a:fillRect/>
                    </a:stretch>
                  </pic:blipFill>
                  <pic:spPr>
                    <a:xfrm>
                      <a:off x="0" y="0"/>
                      <a:ext cx="6108700" cy="8639175"/>
                    </a:xfrm>
                    <a:prstGeom prst="rect">
                      <a:avLst/>
                    </a:prstGeom>
                  </pic:spPr>
                </pic:pic>
              </a:graphicData>
            </a:graphic>
          </wp:inline>
        </w:drawing>
      </w:r>
    </w:p>
    <w:p w14:paraId="29D015F9">
      <w:pPr>
        <w:numPr>
          <w:ilvl w:val="0"/>
          <w:numId w:val="48"/>
        </w:numPr>
        <w:ind w:left="0" w:leftChars="0" w:firstLine="420" w:firstLineChars="0"/>
        <w:outlineLvl w:val="0"/>
        <w:rPr>
          <w:rFonts w:hint="default"/>
          <w:b/>
          <w:bCs/>
          <w:color w:val="auto"/>
          <w:sz w:val="24"/>
          <w:szCs w:val="24"/>
          <w:lang w:val="en-US" w:eastAsia="zh-CN"/>
        </w:rPr>
      </w:pPr>
      <w:r>
        <w:rPr>
          <w:rFonts w:hint="eastAsia"/>
          <w:b/>
          <w:bCs/>
          <w:color w:val="auto"/>
          <w:sz w:val="24"/>
          <w:szCs w:val="24"/>
          <w:lang w:val="en-US" w:eastAsia="zh-CN"/>
        </w:rPr>
        <w:t>现有项目突发环境事件应急预案备案表</w:t>
      </w:r>
    </w:p>
    <w:p w14:paraId="15D6144D">
      <w:pPr>
        <w:keepNext w:val="0"/>
        <w:keepLines w:val="0"/>
        <w:pageBreakBefore w:val="0"/>
        <w:widowControl w:val="0"/>
        <w:kinsoku/>
        <w:wordWrap/>
        <w:overflowPunct/>
        <w:topLinePunct w:val="0"/>
        <w:autoSpaceDE/>
        <w:autoSpaceDN/>
        <w:bidi w:val="0"/>
        <w:adjustRightInd/>
        <w:snapToGrid/>
        <w:textAlignment w:val="auto"/>
        <w:outlineLvl w:val="9"/>
        <w:rPr>
          <w:rFonts w:hint="eastAsia" w:eastAsiaTheme="minorEastAsia"/>
          <w:color w:val="FF0000"/>
          <w:lang w:eastAsia="zh-CN"/>
        </w:rPr>
      </w:pPr>
      <w:r>
        <w:rPr>
          <w:rFonts w:hint="eastAsia" w:eastAsiaTheme="minorEastAsia"/>
          <w:color w:val="FF0000"/>
          <w:lang w:eastAsia="zh-CN"/>
        </w:rPr>
        <w:drawing>
          <wp:inline distT="0" distB="0" distL="114300" distR="114300">
            <wp:extent cx="6106795" cy="8639175"/>
            <wp:effectExtent l="0" t="0" r="8255" b="9525"/>
            <wp:docPr id="2" name="图片 2" descr="应急预案备案表-2025年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应急预案备案表-2025年_01(1)"/>
                    <pic:cNvPicPr>
                      <a:picLocks noChangeAspect="1"/>
                    </pic:cNvPicPr>
                  </pic:nvPicPr>
                  <pic:blipFill>
                    <a:blip r:embed="rId40"/>
                    <a:stretch>
                      <a:fillRect/>
                    </a:stretch>
                  </pic:blipFill>
                  <pic:spPr>
                    <a:xfrm>
                      <a:off x="0" y="0"/>
                      <a:ext cx="6106795" cy="8639175"/>
                    </a:xfrm>
                    <a:prstGeom prst="rect">
                      <a:avLst/>
                    </a:prstGeom>
                  </pic:spPr>
                </pic:pic>
              </a:graphicData>
            </a:graphic>
          </wp:inline>
        </w:drawing>
      </w:r>
    </w:p>
    <w:p w14:paraId="66832708">
      <w:pPr>
        <w:rPr>
          <w:color w:val="FF0000"/>
        </w:rPr>
      </w:pPr>
    </w:p>
    <w:p w14:paraId="16BEE435">
      <w:pPr>
        <w:rPr>
          <w:rFonts w:hint="eastAsia" w:eastAsiaTheme="minorEastAsia"/>
          <w:color w:val="FF0000"/>
          <w:lang w:eastAsia="zh-CN"/>
        </w:rPr>
      </w:pPr>
      <w:r>
        <w:rPr>
          <w:rFonts w:hint="eastAsia" w:eastAsiaTheme="minorEastAsia"/>
          <w:color w:val="FF0000"/>
          <w:lang w:eastAsia="zh-CN"/>
        </w:rPr>
        <w:drawing>
          <wp:inline distT="0" distB="0" distL="114300" distR="114300">
            <wp:extent cx="6106795" cy="8639175"/>
            <wp:effectExtent l="0" t="0" r="8255" b="9525"/>
            <wp:docPr id="4" name="图片 4" descr="应急预案备案表-2025年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应急预案备案表-2025年_02"/>
                    <pic:cNvPicPr>
                      <a:picLocks noChangeAspect="1"/>
                    </pic:cNvPicPr>
                  </pic:nvPicPr>
                  <pic:blipFill>
                    <a:blip r:embed="rId41"/>
                    <a:stretch>
                      <a:fillRect/>
                    </a:stretch>
                  </pic:blipFill>
                  <pic:spPr>
                    <a:xfrm>
                      <a:off x="0" y="0"/>
                      <a:ext cx="6106795" cy="8639175"/>
                    </a:xfrm>
                    <a:prstGeom prst="rect">
                      <a:avLst/>
                    </a:prstGeom>
                  </pic:spPr>
                </pic:pic>
              </a:graphicData>
            </a:graphic>
          </wp:inline>
        </w:drawing>
      </w:r>
    </w:p>
    <w:p w14:paraId="34E0F21B">
      <w:pPr>
        <w:rPr>
          <w:color w:val="FF0000"/>
        </w:rPr>
      </w:pPr>
    </w:p>
    <w:p w14:paraId="6C12B15F">
      <w:pPr>
        <w:rPr>
          <w:color w:val="FF0000"/>
        </w:rPr>
      </w:pPr>
    </w:p>
    <w:p w14:paraId="1E4B1F9A">
      <w:pPr>
        <w:rPr>
          <w:color w:val="FF0000"/>
        </w:rPr>
        <w:sectPr>
          <w:pgSz w:w="11906" w:h="16838"/>
          <w:pgMar w:top="1134" w:right="1134" w:bottom="1134" w:left="1134" w:header="851" w:footer="992" w:gutter="0"/>
          <w:cols w:space="0" w:num="1"/>
          <w:rtlGutter w:val="0"/>
          <w:docGrid w:type="lines" w:linePitch="312" w:charSpace="0"/>
        </w:sectPr>
      </w:pPr>
    </w:p>
    <w:p w14:paraId="245DB693">
      <w:pPr>
        <w:numPr>
          <w:ilvl w:val="0"/>
          <w:numId w:val="48"/>
        </w:numPr>
        <w:ind w:left="0" w:leftChars="0" w:firstLine="420" w:firstLineChars="0"/>
        <w:outlineLvl w:val="0"/>
        <w:rPr>
          <w:rFonts w:hint="eastAsia"/>
          <w:b/>
          <w:bCs/>
          <w:color w:val="auto"/>
          <w:sz w:val="24"/>
          <w:szCs w:val="24"/>
          <w:lang w:val="en-US" w:eastAsia="zh-CN"/>
        </w:rPr>
      </w:pPr>
      <w:r>
        <w:rPr>
          <w:rFonts w:hint="eastAsia"/>
          <w:b/>
          <w:bCs/>
          <w:color w:val="auto"/>
          <w:sz w:val="24"/>
          <w:szCs w:val="24"/>
          <w:lang w:val="en-US" w:eastAsia="zh-CN"/>
        </w:rPr>
        <w:t>现有项目监测报告</w:t>
      </w:r>
    </w:p>
    <w:p w14:paraId="58B0A43F">
      <w:pPr>
        <w:keepNext w:val="0"/>
        <w:keepLines w:val="0"/>
        <w:pageBreakBefore w:val="0"/>
        <w:widowControl w:val="0"/>
        <w:numPr>
          <w:ilvl w:val="0"/>
          <w:numId w:val="0"/>
        </w:numPr>
        <w:kinsoku/>
        <w:wordWrap/>
        <w:overflowPunct/>
        <w:topLinePunct w:val="0"/>
        <w:autoSpaceDE/>
        <w:autoSpaceDN/>
        <w:bidi w:val="0"/>
        <w:adjustRightInd/>
        <w:snapToGrid/>
        <w:textAlignment w:val="auto"/>
        <w:outlineLvl w:val="9"/>
        <w:rPr>
          <w:rFonts w:hint="default"/>
          <w:color w:val="FF0000"/>
          <w:lang w:val="en-US" w:eastAsia="zh-CN"/>
        </w:rPr>
      </w:pPr>
      <w:r>
        <w:rPr>
          <w:rFonts w:hint="default"/>
          <w:color w:val="FF0000"/>
          <w:lang w:val="en-US" w:eastAsia="zh-CN"/>
        </w:rPr>
        <w:drawing>
          <wp:inline distT="0" distB="0" distL="114300" distR="114300">
            <wp:extent cx="6113780" cy="8724265"/>
            <wp:effectExtent l="0" t="0" r="1270" b="635"/>
            <wp:docPr id="95" name="图片 95" descr="06101利赛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06101利赛_01"/>
                    <pic:cNvPicPr>
                      <a:picLocks noChangeAspect="1"/>
                    </pic:cNvPicPr>
                  </pic:nvPicPr>
                  <pic:blipFill>
                    <a:blip r:embed="rId42"/>
                    <a:stretch>
                      <a:fillRect/>
                    </a:stretch>
                  </pic:blipFill>
                  <pic:spPr>
                    <a:xfrm>
                      <a:off x="0" y="0"/>
                      <a:ext cx="6113780" cy="8724265"/>
                    </a:xfrm>
                    <a:prstGeom prst="rect">
                      <a:avLst/>
                    </a:prstGeom>
                  </pic:spPr>
                </pic:pic>
              </a:graphicData>
            </a:graphic>
          </wp:inline>
        </w:drawing>
      </w:r>
    </w:p>
    <w:p w14:paraId="68507968">
      <w:pPr>
        <w:keepNext w:val="0"/>
        <w:keepLines w:val="0"/>
        <w:pageBreakBefore w:val="0"/>
        <w:widowControl w:val="0"/>
        <w:numPr>
          <w:ilvl w:val="0"/>
          <w:numId w:val="0"/>
        </w:numPr>
        <w:kinsoku/>
        <w:wordWrap/>
        <w:overflowPunct/>
        <w:topLinePunct w:val="0"/>
        <w:autoSpaceDE/>
        <w:autoSpaceDN/>
        <w:bidi w:val="0"/>
        <w:adjustRightInd/>
        <w:snapToGrid/>
        <w:textAlignment w:val="auto"/>
        <w:outlineLvl w:val="9"/>
        <w:rPr>
          <w:rFonts w:hint="default"/>
          <w:color w:val="FF0000"/>
          <w:lang w:val="en-US" w:eastAsia="zh-CN"/>
        </w:rPr>
      </w:pPr>
      <w:r>
        <w:rPr>
          <w:rFonts w:hint="default"/>
          <w:color w:val="FF0000"/>
          <w:lang w:val="en-US" w:eastAsia="zh-CN"/>
        </w:rPr>
        <w:drawing>
          <wp:inline distT="0" distB="0" distL="114300" distR="114300">
            <wp:extent cx="6118860" cy="8667750"/>
            <wp:effectExtent l="0" t="0" r="15240" b="0"/>
            <wp:docPr id="84" name="图片 84" descr="06101利赛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06101利赛_02"/>
                    <pic:cNvPicPr>
                      <a:picLocks noChangeAspect="1"/>
                    </pic:cNvPicPr>
                  </pic:nvPicPr>
                  <pic:blipFill>
                    <a:blip r:embed="rId43"/>
                    <a:stretch>
                      <a:fillRect/>
                    </a:stretch>
                  </pic:blipFill>
                  <pic:spPr>
                    <a:xfrm>
                      <a:off x="0" y="0"/>
                      <a:ext cx="6118860" cy="8667750"/>
                    </a:xfrm>
                    <a:prstGeom prst="rect">
                      <a:avLst/>
                    </a:prstGeom>
                  </pic:spPr>
                </pic:pic>
              </a:graphicData>
            </a:graphic>
          </wp:inline>
        </w:drawing>
      </w:r>
      <w:r>
        <w:rPr>
          <w:rFonts w:hint="default"/>
          <w:color w:val="FF0000"/>
          <w:lang w:val="en-US" w:eastAsia="zh-CN"/>
        </w:rPr>
        <w:drawing>
          <wp:inline distT="0" distB="0" distL="114300" distR="114300">
            <wp:extent cx="6111240" cy="8721090"/>
            <wp:effectExtent l="0" t="0" r="3810" b="3810"/>
            <wp:docPr id="85" name="图片 85" descr="06101利赛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06101利赛_03"/>
                    <pic:cNvPicPr>
                      <a:picLocks noChangeAspect="1"/>
                    </pic:cNvPicPr>
                  </pic:nvPicPr>
                  <pic:blipFill>
                    <a:blip r:embed="rId44"/>
                    <a:stretch>
                      <a:fillRect/>
                    </a:stretch>
                  </pic:blipFill>
                  <pic:spPr>
                    <a:xfrm>
                      <a:off x="0" y="0"/>
                      <a:ext cx="6111240" cy="8721090"/>
                    </a:xfrm>
                    <a:prstGeom prst="rect">
                      <a:avLst/>
                    </a:prstGeom>
                  </pic:spPr>
                </pic:pic>
              </a:graphicData>
            </a:graphic>
          </wp:inline>
        </w:drawing>
      </w:r>
      <w:r>
        <w:rPr>
          <w:rFonts w:hint="default"/>
          <w:color w:val="FF0000"/>
          <w:lang w:val="en-US" w:eastAsia="zh-CN"/>
        </w:rPr>
        <w:drawing>
          <wp:inline distT="0" distB="0" distL="114300" distR="114300">
            <wp:extent cx="6111240" cy="8690610"/>
            <wp:effectExtent l="0" t="0" r="3810" b="15240"/>
            <wp:docPr id="86" name="图片 86" descr="06101利赛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06101利赛_04"/>
                    <pic:cNvPicPr>
                      <a:picLocks noChangeAspect="1"/>
                    </pic:cNvPicPr>
                  </pic:nvPicPr>
                  <pic:blipFill>
                    <a:blip r:embed="rId45"/>
                    <a:stretch>
                      <a:fillRect/>
                    </a:stretch>
                  </pic:blipFill>
                  <pic:spPr>
                    <a:xfrm>
                      <a:off x="0" y="0"/>
                      <a:ext cx="6111240" cy="8690610"/>
                    </a:xfrm>
                    <a:prstGeom prst="rect">
                      <a:avLst/>
                    </a:prstGeom>
                  </pic:spPr>
                </pic:pic>
              </a:graphicData>
            </a:graphic>
          </wp:inline>
        </w:drawing>
      </w:r>
      <w:r>
        <w:rPr>
          <w:rFonts w:hint="default"/>
          <w:color w:val="FF0000"/>
          <w:lang w:val="en-US" w:eastAsia="zh-CN"/>
        </w:rPr>
        <w:drawing>
          <wp:inline distT="0" distB="0" distL="114300" distR="114300">
            <wp:extent cx="6118860" cy="8690610"/>
            <wp:effectExtent l="0" t="0" r="15240" b="15240"/>
            <wp:docPr id="87" name="图片 87" descr="06101利赛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06101利赛_05"/>
                    <pic:cNvPicPr>
                      <a:picLocks noChangeAspect="1"/>
                    </pic:cNvPicPr>
                  </pic:nvPicPr>
                  <pic:blipFill>
                    <a:blip r:embed="rId46"/>
                    <a:stretch>
                      <a:fillRect/>
                    </a:stretch>
                  </pic:blipFill>
                  <pic:spPr>
                    <a:xfrm>
                      <a:off x="0" y="0"/>
                      <a:ext cx="6118860" cy="8690610"/>
                    </a:xfrm>
                    <a:prstGeom prst="rect">
                      <a:avLst/>
                    </a:prstGeom>
                  </pic:spPr>
                </pic:pic>
              </a:graphicData>
            </a:graphic>
          </wp:inline>
        </w:drawing>
      </w:r>
      <w:r>
        <w:rPr>
          <w:rFonts w:hint="default"/>
          <w:color w:val="FF0000"/>
          <w:lang w:val="en-US" w:eastAsia="zh-CN"/>
        </w:rPr>
        <w:drawing>
          <wp:inline distT="0" distB="0" distL="114300" distR="114300">
            <wp:extent cx="6115050" cy="8657590"/>
            <wp:effectExtent l="0" t="0" r="0" b="10160"/>
            <wp:docPr id="88" name="图片 88" descr="06101利赛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06101利赛_06"/>
                    <pic:cNvPicPr>
                      <a:picLocks noChangeAspect="1"/>
                    </pic:cNvPicPr>
                  </pic:nvPicPr>
                  <pic:blipFill>
                    <a:blip r:embed="rId47"/>
                    <a:stretch>
                      <a:fillRect/>
                    </a:stretch>
                  </pic:blipFill>
                  <pic:spPr>
                    <a:xfrm>
                      <a:off x="0" y="0"/>
                      <a:ext cx="6115050" cy="8657590"/>
                    </a:xfrm>
                    <a:prstGeom prst="rect">
                      <a:avLst/>
                    </a:prstGeom>
                  </pic:spPr>
                </pic:pic>
              </a:graphicData>
            </a:graphic>
          </wp:inline>
        </w:drawing>
      </w:r>
      <w:r>
        <w:rPr>
          <w:rFonts w:hint="default"/>
          <w:color w:val="FF0000"/>
          <w:lang w:val="en-US" w:eastAsia="zh-CN"/>
        </w:rPr>
        <w:drawing>
          <wp:inline distT="0" distB="0" distL="114300" distR="114300">
            <wp:extent cx="6118860" cy="8690610"/>
            <wp:effectExtent l="0" t="0" r="15240" b="15240"/>
            <wp:docPr id="89" name="图片 89" descr="06101利赛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06101利赛_07"/>
                    <pic:cNvPicPr>
                      <a:picLocks noChangeAspect="1"/>
                    </pic:cNvPicPr>
                  </pic:nvPicPr>
                  <pic:blipFill>
                    <a:blip r:embed="rId48"/>
                    <a:stretch>
                      <a:fillRect/>
                    </a:stretch>
                  </pic:blipFill>
                  <pic:spPr>
                    <a:xfrm>
                      <a:off x="0" y="0"/>
                      <a:ext cx="6118860" cy="8690610"/>
                    </a:xfrm>
                    <a:prstGeom prst="rect">
                      <a:avLst/>
                    </a:prstGeom>
                  </pic:spPr>
                </pic:pic>
              </a:graphicData>
            </a:graphic>
          </wp:inline>
        </w:drawing>
      </w:r>
      <w:r>
        <w:rPr>
          <w:rFonts w:hint="default"/>
          <w:color w:val="FF0000"/>
          <w:lang w:val="en-US" w:eastAsia="zh-CN"/>
        </w:rPr>
        <w:drawing>
          <wp:inline distT="0" distB="0" distL="114300" distR="114300">
            <wp:extent cx="6115050" cy="8638540"/>
            <wp:effectExtent l="0" t="0" r="0" b="10160"/>
            <wp:docPr id="90" name="图片 90" descr="06101利赛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06101利赛_08"/>
                    <pic:cNvPicPr>
                      <a:picLocks noChangeAspect="1"/>
                    </pic:cNvPicPr>
                  </pic:nvPicPr>
                  <pic:blipFill>
                    <a:blip r:embed="rId49"/>
                    <a:stretch>
                      <a:fillRect/>
                    </a:stretch>
                  </pic:blipFill>
                  <pic:spPr>
                    <a:xfrm>
                      <a:off x="0" y="0"/>
                      <a:ext cx="6115050" cy="8638540"/>
                    </a:xfrm>
                    <a:prstGeom prst="rect">
                      <a:avLst/>
                    </a:prstGeom>
                  </pic:spPr>
                </pic:pic>
              </a:graphicData>
            </a:graphic>
          </wp:inline>
        </w:drawing>
      </w:r>
      <w:r>
        <w:rPr>
          <w:rFonts w:hint="default"/>
          <w:color w:val="FF0000"/>
          <w:lang w:val="en-US" w:eastAsia="zh-CN"/>
        </w:rPr>
        <w:drawing>
          <wp:inline distT="0" distB="0" distL="114300" distR="114300">
            <wp:extent cx="6115050" cy="8669020"/>
            <wp:effectExtent l="0" t="0" r="0" b="17780"/>
            <wp:docPr id="91" name="图片 91" descr="06101利赛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06101利赛_09"/>
                    <pic:cNvPicPr>
                      <a:picLocks noChangeAspect="1"/>
                    </pic:cNvPicPr>
                  </pic:nvPicPr>
                  <pic:blipFill>
                    <a:blip r:embed="rId50"/>
                    <a:stretch>
                      <a:fillRect/>
                    </a:stretch>
                  </pic:blipFill>
                  <pic:spPr>
                    <a:xfrm>
                      <a:off x="0" y="0"/>
                      <a:ext cx="6115050" cy="8669020"/>
                    </a:xfrm>
                    <a:prstGeom prst="rect">
                      <a:avLst/>
                    </a:prstGeom>
                  </pic:spPr>
                </pic:pic>
              </a:graphicData>
            </a:graphic>
          </wp:inline>
        </w:drawing>
      </w:r>
      <w:r>
        <w:rPr>
          <w:rFonts w:hint="default"/>
          <w:color w:val="FF0000"/>
          <w:lang w:val="en-US" w:eastAsia="zh-CN"/>
        </w:rPr>
        <w:drawing>
          <wp:inline distT="0" distB="0" distL="114300" distR="114300">
            <wp:extent cx="6116955" cy="8648065"/>
            <wp:effectExtent l="0" t="0" r="17145" b="635"/>
            <wp:docPr id="92" name="图片 92" descr="06101利赛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06101利赛_10"/>
                    <pic:cNvPicPr>
                      <a:picLocks noChangeAspect="1"/>
                    </pic:cNvPicPr>
                  </pic:nvPicPr>
                  <pic:blipFill>
                    <a:blip r:embed="rId51"/>
                    <a:stretch>
                      <a:fillRect/>
                    </a:stretch>
                  </pic:blipFill>
                  <pic:spPr>
                    <a:xfrm>
                      <a:off x="0" y="0"/>
                      <a:ext cx="6116955" cy="8648065"/>
                    </a:xfrm>
                    <a:prstGeom prst="rect">
                      <a:avLst/>
                    </a:prstGeom>
                  </pic:spPr>
                </pic:pic>
              </a:graphicData>
            </a:graphic>
          </wp:inline>
        </w:drawing>
      </w:r>
      <w:r>
        <w:rPr>
          <w:rFonts w:hint="default"/>
          <w:color w:val="FF0000"/>
          <w:lang w:val="en-US" w:eastAsia="zh-CN"/>
        </w:rPr>
        <w:drawing>
          <wp:inline distT="0" distB="0" distL="114300" distR="114300">
            <wp:extent cx="6096000" cy="8604885"/>
            <wp:effectExtent l="0" t="0" r="0" b="5715"/>
            <wp:docPr id="93" name="图片 93" descr="06101利赛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06101利赛_11"/>
                    <pic:cNvPicPr>
                      <a:picLocks noChangeAspect="1"/>
                    </pic:cNvPicPr>
                  </pic:nvPicPr>
                  <pic:blipFill>
                    <a:blip r:embed="rId52"/>
                    <a:stretch>
                      <a:fillRect/>
                    </a:stretch>
                  </pic:blipFill>
                  <pic:spPr>
                    <a:xfrm>
                      <a:off x="0" y="0"/>
                      <a:ext cx="6096000" cy="8604885"/>
                    </a:xfrm>
                    <a:prstGeom prst="rect">
                      <a:avLst/>
                    </a:prstGeom>
                  </pic:spPr>
                </pic:pic>
              </a:graphicData>
            </a:graphic>
          </wp:inline>
        </w:drawing>
      </w:r>
      <w:r>
        <w:rPr>
          <w:rFonts w:hint="default"/>
          <w:color w:val="FF0000"/>
          <w:lang w:val="en-US" w:eastAsia="zh-CN"/>
        </w:rPr>
        <w:drawing>
          <wp:inline distT="0" distB="0" distL="114300" distR="114300">
            <wp:extent cx="6115050" cy="8676640"/>
            <wp:effectExtent l="0" t="0" r="0" b="10160"/>
            <wp:docPr id="94" name="图片 94" descr="06101利赛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06101利赛_12"/>
                    <pic:cNvPicPr>
                      <a:picLocks noChangeAspect="1"/>
                    </pic:cNvPicPr>
                  </pic:nvPicPr>
                  <pic:blipFill>
                    <a:blip r:embed="rId53"/>
                    <a:stretch>
                      <a:fillRect/>
                    </a:stretch>
                  </pic:blipFill>
                  <pic:spPr>
                    <a:xfrm>
                      <a:off x="0" y="0"/>
                      <a:ext cx="6115050" cy="8676640"/>
                    </a:xfrm>
                    <a:prstGeom prst="rect">
                      <a:avLst/>
                    </a:prstGeom>
                  </pic:spPr>
                </pic:pic>
              </a:graphicData>
            </a:graphic>
          </wp:inline>
        </w:drawing>
      </w:r>
    </w:p>
    <w:p w14:paraId="66A8C12F">
      <w:pPr>
        <w:keepNext w:val="0"/>
        <w:keepLines w:val="0"/>
        <w:pageBreakBefore w:val="0"/>
        <w:widowControl w:val="0"/>
        <w:numPr>
          <w:ilvl w:val="0"/>
          <w:numId w:val="0"/>
        </w:numPr>
        <w:kinsoku/>
        <w:wordWrap/>
        <w:overflowPunct/>
        <w:topLinePunct w:val="0"/>
        <w:autoSpaceDE/>
        <w:autoSpaceDN/>
        <w:bidi w:val="0"/>
        <w:adjustRightInd/>
        <w:snapToGrid/>
        <w:textAlignment w:val="auto"/>
        <w:outlineLvl w:val="9"/>
        <w:rPr>
          <w:rFonts w:hint="default"/>
          <w:color w:val="FF0000"/>
          <w:lang w:val="en-US" w:eastAsia="zh-CN"/>
        </w:rPr>
      </w:pPr>
    </w:p>
    <w:p w14:paraId="2686D501">
      <w:pPr>
        <w:keepNext w:val="0"/>
        <w:keepLines w:val="0"/>
        <w:pageBreakBefore w:val="0"/>
        <w:widowControl w:val="0"/>
        <w:numPr>
          <w:ilvl w:val="0"/>
          <w:numId w:val="0"/>
        </w:numPr>
        <w:kinsoku/>
        <w:wordWrap/>
        <w:overflowPunct/>
        <w:topLinePunct w:val="0"/>
        <w:autoSpaceDE/>
        <w:autoSpaceDN/>
        <w:bidi w:val="0"/>
        <w:adjustRightInd/>
        <w:snapToGrid/>
        <w:textAlignment w:val="auto"/>
        <w:outlineLvl w:val="9"/>
        <w:rPr>
          <w:rFonts w:hint="default"/>
          <w:color w:val="FF0000"/>
          <w:lang w:val="en-US" w:eastAsia="zh-CN"/>
        </w:rPr>
      </w:pPr>
    </w:p>
    <w:p w14:paraId="6DB5226F">
      <w:pPr>
        <w:keepNext w:val="0"/>
        <w:keepLines w:val="0"/>
        <w:pageBreakBefore w:val="0"/>
        <w:widowControl w:val="0"/>
        <w:numPr>
          <w:ilvl w:val="0"/>
          <w:numId w:val="0"/>
        </w:numPr>
        <w:kinsoku/>
        <w:wordWrap/>
        <w:overflowPunct/>
        <w:topLinePunct w:val="0"/>
        <w:autoSpaceDE/>
        <w:autoSpaceDN/>
        <w:bidi w:val="0"/>
        <w:adjustRightInd/>
        <w:snapToGrid/>
        <w:textAlignment w:val="auto"/>
        <w:outlineLvl w:val="9"/>
        <w:rPr>
          <w:rFonts w:hint="default"/>
          <w:color w:val="FF0000"/>
          <w:lang w:val="en-US" w:eastAsia="zh-CN"/>
        </w:rPr>
      </w:pPr>
      <w:r>
        <w:rPr>
          <w:rFonts w:hint="default"/>
          <w:color w:val="FF0000"/>
          <w:lang w:val="en-US" w:eastAsia="zh-CN"/>
        </w:rPr>
        <w:drawing>
          <wp:inline distT="0" distB="0" distL="114300" distR="114300">
            <wp:extent cx="6115685" cy="8785860"/>
            <wp:effectExtent l="0" t="0" r="18415" b="15240"/>
            <wp:docPr id="106" name="图片 106" descr="1293利赛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1293利赛_01"/>
                    <pic:cNvPicPr>
                      <a:picLocks noChangeAspect="1"/>
                    </pic:cNvPicPr>
                  </pic:nvPicPr>
                  <pic:blipFill>
                    <a:blip r:embed="rId54"/>
                    <a:stretch>
                      <a:fillRect/>
                    </a:stretch>
                  </pic:blipFill>
                  <pic:spPr>
                    <a:xfrm>
                      <a:off x="0" y="0"/>
                      <a:ext cx="6115685" cy="8785860"/>
                    </a:xfrm>
                    <a:prstGeom prst="rect">
                      <a:avLst/>
                    </a:prstGeom>
                  </pic:spPr>
                </pic:pic>
              </a:graphicData>
            </a:graphic>
          </wp:inline>
        </w:drawing>
      </w:r>
      <w:r>
        <w:rPr>
          <w:rFonts w:hint="default"/>
          <w:color w:val="FF0000"/>
          <w:lang w:val="en-US" w:eastAsia="zh-CN"/>
        </w:rPr>
        <w:drawing>
          <wp:inline distT="0" distB="0" distL="114300" distR="114300">
            <wp:extent cx="6116320" cy="8721725"/>
            <wp:effectExtent l="0" t="0" r="17780" b="3175"/>
            <wp:docPr id="105" name="图片 105" descr="1293利赛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1293利赛_02"/>
                    <pic:cNvPicPr>
                      <a:picLocks noChangeAspect="1"/>
                    </pic:cNvPicPr>
                  </pic:nvPicPr>
                  <pic:blipFill>
                    <a:blip r:embed="rId55"/>
                    <a:stretch>
                      <a:fillRect/>
                    </a:stretch>
                  </pic:blipFill>
                  <pic:spPr>
                    <a:xfrm>
                      <a:off x="0" y="0"/>
                      <a:ext cx="6116320" cy="8721725"/>
                    </a:xfrm>
                    <a:prstGeom prst="rect">
                      <a:avLst/>
                    </a:prstGeom>
                  </pic:spPr>
                </pic:pic>
              </a:graphicData>
            </a:graphic>
          </wp:inline>
        </w:drawing>
      </w:r>
      <w:r>
        <w:rPr>
          <w:rFonts w:hint="default"/>
          <w:color w:val="FF0000"/>
          <w:lang w:val="en-US" w:eastAsia="zh-CN"/>
        </w:rPr>
        <w:drawing>
          <wp:inline distT="0" distB="0" distL="114300" distR="114300">
            <wp:extent cx="6095365" cy="8712200"/>
            <wp:effectExtent l="0" t="0" r="635" b="12700"/>
            <wp:docPr id="104" name="图片 104" descr="1293利赛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1293利赛_03"/>
                    <pic:cNvPicPr>
                      <a:picLocks noChangeAspect="1"/>
                    </pic:cNvPicPr>
                  </pic:nvPicPr>
                  <pic:blipFill>
                    <a:blip r:embed="rId56"/>
                    <a:stretch>
                      <a:fillRect/>
                    </a:stretch>
                  </pic:blipFill>
                  <pic:spPr>
                    <a:xfrm>
                      <a:off x="0" y="0"/>
                      <a:ext cx="6095365" cy="8712200"/>
                    </a:xfrm>
                    <a:prstGeom prst="rect">
                      <a:avLst/>
                    </a:prstGeom>
                  </pic:spPr>
                </pic:pic>
              </a:graphicData>
            </a:graphic>
          </wp:inline>
        </w:drawing>
      </w:r>
      <w:r>
        <w:rPr>
          <w:rFonts w:hint="default"/>
          <w:color w:val="FF0000"/>
          <w:lang w:val="en-US" w:eastAsia="zh-CN"/>
        </w:rPr>
        <w:drawing>
          <wp:inline distT="0" distB="0" distL="114300" distR="114300">
            <wp:extent cx="6115685" cy="8755380"/>
            <wp:effectExtent l="0" t="0" r="18415" b="7620"/>
            <wp:docPr id="103" name="图片 103" descr="1293利赛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1293利赛_04"/>
                    <pic:cNvPicPr>
                      <a:picLocks noChangeAspect="1"/>
                    </pic:cNvPicPr>
                  </pic:nvPicPr>
                  <pic:blipFill>
                    <a:blip r:embed="rId57"/>
                    <a:stretch>
                      <a:fillRect/>
                    </a:stretch>
                  </pic:blipFill>
                  <pic:spPr>
                    <a:xfrm>
                      <a:off x="0" y="0"/>
                      <a:ext cx="6115685" cy="8755380"/>
                    </a:xfrm>
                    <a:prstGeom prst="rect">
                      <a:avLst/>
                    </a:prstGeom>
                  </pic:spPr>
                </pic:pic>
              </a:graphicData>
            </a:graphic>
          </wp:inline>
        </w:drawing>
      </w:r>
      <w:r>
        <w:rPr>
          <w:rFonts w:hint="default"/>
          <w:color w:val="FF0000"/>
          <w:lang w:val="en-US" w:eastAsia="zh-CN"/>
        </w:rPr>
        <w:drawing>
          <wp:inline distT="0" distB="0" distL="114300" distR="114300">
            <wp:extent cx="6104255" cy="8755380"/>
            <wp:effectExtent l="0" t="0" r="10795" b="7620"/>
            <wp:docPr id="102" name="图片 102" descr="1293利赛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1293利赛_05"/>
                    <pic:cNvPicPr>
                      <a:picLocks noChangeAspect="1"/>
                    </pic:cNvPicPr>
                  </pic:nvPicPr>
                  <pic:blipFill>
                    <a:blip r:embed="rId58"/>
                    <a:stretch>
                      <a:fillRect/>
                    </a:stretch>
                  </pic:blipFill>
                  <pic:spPr>
                    <a:xfrm>
                      <a:off x="0" y="0"/>
                      <a:ext cx="6104255" cy="8755380"/>
                    </a:xfrm>
                    <a:prstGeom prst="rect">
                      <a:avLst/>
                    </a:prstGeom>
                  </pic:spPr>
                </pic:pic>
              </a:graphicData>
            </a:graphic>
          </wp:inline>
        </w:drawing>
      </w:r>
      <w:r>
        <w:rPr>
          <w:rFonts w:hint="default"/>
          <w:color w:val="FF0000"/>
          <w:lang w:val="en-US" w:eastAsia="zh-CN"/>
        </w:rPr>
        <w:drawing>
          <wp:inline distT="0" distB="0" distL="114300" distR="114300">
            <wp:extent cx="6115685" cy="8764905"/>
            <wp:effectExtent l="0" t="0" r="18415" b="17145"/>
            <wp:docPr id="101" name="图片 101" descr="1293利赛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1293利赛_06"/>
                    <pic:cNvPicPr>
                      <a:picLocks noChangeAspect="1"/>
                    </pic:cNvPicPr>
                  </pic:nvPicPr>
                  <pic:blipFill>
                    <a:blip r:embed="rId59"/>
                    <a:stretch>
                      <a:fillRect/>
                    </a:stretch>
                  </pic:blipFill>
                  <pic:spPr>
                    <a:xfrm>
                      <a:off x="0" y="0"/>
                      <a:ext cx="6115685" cy="8764905"/>
                    </a:xfrm>
                    <a:prstGeom prst="rect">
                      <a:avLst/>
                    </a:prstGeom>
                  </pic:spPr>
                </pic:pic>
              </a:graphicData>
            </a:graphic>
          </wp:inline>
        </w:drawing>
      </w:r>
      <w:r>
        <w:rPr>
          <w:rFonts w:hint="default"/>
          <w:color w:val="FF0000"/>
          <w:lang w:val="en-US" w:eastAsia="zh-CN"/>
        </w:rPr>
        <w:drawing>
          <wp:inline distT="0" distB="0" distL="114300" distR="114300">
            <wp:extent cx="6115685" cy="8764905"/>
            <wp:effectExtent l="0" t="0" r="18415" b="17145"/>
            <wp:docPr id="100" name="图片 100" descr="1293利赛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1293利赛_07"/>
                    <pic:cNvPicPr>
                      <a:picLocks noChangeAspect="1"/>
                    </pic:cNvPicPr>
                  </pic:nvPicPr>
                  <pic:blipFill>
                    <a:blip r:embed="rId60"/>
                    <a:stretch>
                      <a:fillRect/>
                    </a:stretch>
                  </pic:blipFill>
                  <pic:spPr>
                    <a:xfrm>
                      <a:off x="0" y="0"/>
                      <a:ext cx="6115685" cy="8764905"/>
                    </a:xfrm>
                    <a:prstGeom prst="rect">
                      <a:avLst/>
                    </a:prstGeom>
                  </pic:spPr>
                </pic:pic>
              </a:graphicData>
            </a:graphic>
          </wp:inline>
        </w:drawing>
      </w:r>
      <w:r>
        <w:rPr>
          <w:rFonts w:hint="default"/>
          <w:color w:val="FF0000"/>
          <w:lang w:val="en-US" w:eastAsia="zh-CN"/>
        </w:rPr>
        <w:drawing>
          <wp:inline distT="0" distB="0" distL="114300" distR="114300">
            <wp:extent cx="6095365" cy="8712200"/>
            <wp:effectExtent l="0" t="0" r="635" b="12700"/>
            <wp:docPr id="99" name="图片 99" descr="1293利赛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1293利赛_08"/>
                    <pic:cNvPicPr>
                      <a:picLocks noChangeAspect="1"/>
                    </pic:cNvPicPr>
                  </pic:nvPicPr>
                  <pic:blipFill>
                    <a:blip r:embed="rId61"/>
                    <a:stretch>
                      <a:fillRect/>
                    </a:stretch>
                  </pic:blipFill>
                  <pic:spPr>
                    <a:xfrm>
                      <a:off x="0" y="0"/>
                      <a:ext cx="6095365" cy="8712200"/>
                    </a:xfrm>
                    <a:prstGeom prst="rect">
                      <a:avLst/>
                    </a:prstGeom>
                  </pic:spPr>
                </pic:pic>
              </a:graphicData>
            </a:graphic>
          </wp:inline>
        </w:drawing>
      </w:r>
      <w:r>
        <w:rPr>
          <w:rFonts w:hint="default"/>
          <w:color w:val="FF0000"/>
          <w:lang w:val="en-US" w:eastAsia="zh-CN"/>
        </w:rPr>
        <w:drawing>
          <wp:inline distT="0" distB="0" distL="114300" distR="114300">
            <wp:extent cx="6095365" cy="8691245"/>
            <wp:effectExtent l="0" t="0" r="635" b="14605"/>
            <wp:docPr id="98" name="图片 98" descr="1293利赛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1293利赛_09"/>
                    <pic:cNvPicPr>
                      <a:picLocks noChangeAspect="1"/>
                    </pic:cNvPicPr>
                  </pic:nvPicPr>
                  <pic:blipFill>
                    <a:blip r:embed="rId62"/>
                    <a:stretch>
                      <a:fillRect/>
                    </a:stretch>
                  </pic:blipFill>
                  <pic:spPr>
                    <a:xfrm>
                      <a:off x="0" y="0"/>
                      <a:ext cx="6095365" cy="8691245"/>
                    </a:xfrm>
                    <a:prstGeom prst="rect">
                      <a:avLst/>
                    </a:prstGeom>
                  </pic:spPr>
                </pic:pic>
              </a:graphicData>
            </a:graphic>
          </wp:inline>
        </w:drawing>
      </w:r>
      <w:r>
        <w:rPr>
          <w:rFonts w:hint="default"/>
          <w:color w:val="FF0000"/>
          <w:lang w:val="en-US" w:eastAsia="zh-CN"/>
        </w:rPr>
        <w:drawing>
          <wp:inline distT="0" distB="0" distL="114300" distR="114300">
            <wp:extent cx="6115685" cy="8764905"/>
            <wp:effectExtent l="0" t="0" r="18415" b="17145"/>
            <wp:docPr id="97" name="图片 97" descr="1293利赛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1293利赛_10"/>
                    <pic:cNvPicPr>
                      <a:picLocks noChangeAspect="1"/>
                    </pic:cNvPicPr>
                  </pic:nvPicPr>
                  <pic:blipFill>
                    <a:blip r:embed="rId63"/>
                    <a:stretch>
                      <a:fillRect/>
                    </a:stretch>
                  </pic:blipFill>
                  <pic:spPr>
                    <a:xfrm>
                      <a:off x="0" y="0"/>
                      <a:ext cx="6115685" cy="8764905"/>
                    </a:xfrm>
                    <a:prstGeom prst="rect">
                      <a:avLst/>
                    </a:prstGeom>
                  </pic:spPr>
                </pic:pic>
              </a:graphicData>
            </a:graphic>
          </wp:inline>
        </w:drawing>
      </w:r>
      <w:r>
        <w:rPr>
          <w:rFonts w:hint="default"/>
          <w:color w:val="FF0000"/>
          <w:lang w:val="en-US" w:eastAsia="zh-CN"/>
        </w:rPr>
        <w:drawing>
          <wp:inline distT="0" distB="0" distL="114300" distR="114300">
            <wp:extent cx="6115685" cy="8776335"/>
            <wp:effectExtent l="0" t="0" r="18415" b="5715"/>
            <wp:docPr id="96" name="图片 96" descr="1293利赛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1293利赛_11"/>
                    <pic:cNvPicPr>
                      <a:picLocks noChangeAspect="1"/>
                    </pic:cNvPicPr>
                  </pic:nvPicPr>
                  <pic:blipFill>
                    <a:blip r:embed="rId64"/>
                    <a:stretch>
                      <a:fillRect/>
                    </a:stretch>
                  </pic:blipFill>
                  <pic:spPr>
                    <a:xfrm>
                      <a:off x="0" y="0"/>
                      <a:ext cx="6115685" cy="8776335"/>
                    </a:xfrm>
                    <a:prstGeom prst="rect">
                      <a:avLst/>
                    </a:prstGeom>
                  </pic:spPr>
                </pic:pic>
              </a:graphicData>
            </a:graphic>
          </wp:inline>
        </w:drawing>
      </w:r>
    </w:p>
    <w:p w14:paraId="1D9AC100">
      <w:pPr>
        <w:keepNext w:val="0"/>
        <w:keepLines w:val="0"/>
        <w:pageBreakBefore w:val="0"/>
        <w:widowControl w:val="0"/>
        <w:numPr>
          <w:ilvl w:val="0"/>
          <w:numId w:val="0"/>
        </w:numPr>
        <w:kinsoku/>
        <w:wordWrap/>
        <w:overflowPunct/>
        <w:topLinePunct w:val="0"/>
        <w:autoSpaceDE/>
        <w:autoSpaceDN/>
        <w:bidi w:val="0"/>
        <w:adjustRightInd/>
        <w:snapToGrid/>
        <w:textAlignment w:val="auto"/>
        <w:outlineLvl w:val="9"/>
        <w:rPr>
          <w:rFonts w:hint="default"/>
          <w:color w:val="FF0000"/>
          <w:lang w:val="en-US" w:eastAsia="zh-CN"/>
        </w:rPr>
        <w:sectPr>
          <w:pgSz w:w="11906" w:h="16838"/>
          <w:pgMar w:top="1134" w:right="1134" w:bottom="1134" w:left="1134" w:header="851" w:footer="992" w:gutter="0"/>
          <w:cols w:space="0" w:num="1"/>
          <w:rtlGutter w:val="0"/>
          <w:docGrid w:type="lines" w:linePitch="312" w:charSpace="0"/>
        </w:sectPr>
      </w:pPr>
    </w:p>
    <w:p w14:paraId="4FDAE0EF">
      <w:pPr>
        <w:numPr>
          <w:ilvl w:val="0"/>
          <w:numId w:val="48"/>
        </w:numPr>
        <w:ind w:left="0" w:leftChars="0" w:firstLine="420" w:firstLineChars="0"/>
        <w:outlineLvl w:val="0"/>
        <w:rPr>
          <w:rFonts w:hint="eastAsia"/>
          <w:b/>
          <w:bCs/>
          <w:color w:val="auto"/>
          <w:sz w:val="24"/>
          <w:szCs w:val="24"/>
          <w:lang w:val="en-US" w:eastAsia="zh-CN"/>
        </w:rPr>
      </w:pPr>
      <w:r>
        <w:rPr>
          <w:rFonts w:hint="eastAsia"/>
          <w:b/>
          <w:bCs/>
          <w:color w:val="auto"/>
          <w:sz w:val="24"/>
          <w:szCs w:val="24"/>
          <w:lang w:val="en-US" w:eastAsia="zh-CN"/>
        </w:rPr>
        <w:t>危险废物无害化处置合同</w:t>
      </w:r>
    </w:p>
    <w:p w14:paraId="630BC461">
      <w:pPr>
        <w:keepNext w:val="0"/>
        <w:keepLines w:val="0"/>
        <w:pageBreakBefore w:val="0"/>
        <w:widowControl w:val="0"/>
        <w:numPr>
          <w:ilvl w:val="0"/>
          <w:numId w:val="0"/>
        </w:numPr>
        <w:kinsoku/>
        <w:wordWrap/>
        <w:overflowPunct/>
        <w:topLinePunct w:val="0"/>
        <w:autoSpaceDE/>
        <w:autoSpaceDN/>
        <w:bidi w:val="0"/>
        <w:adjustRightInd/>
        <w:snapToGrid/>
        <w:textAlignment w:val="auto"/>
        <w:outlineLvl w:val="9"/>
        <w:rPr>
          <w:rFonts w:hint="default"/>
          <w:color w:val="FF0000"/>
          <w:lang w:val="en-US" w:eastAsia="zh-CN"/>
        </w:rPr>
      </w:pPr>
      <w:r>
        <w:rPr>
          <w:rFonts w:hint="default"/>
          <w:color w:val="FF0000"/>
          <w:lang w:val="en-US" w:eastAsia="zh-CN"/>
        </w:rPr>
        <w:drawing>
          <wp:inline distT="0" distB="0" distL="114300" distR="114300">
            <wp:extent cx="6108065" cy="8818880"/>
            <wp:effectExtent l="0" t="0" r="6985" b="1270"/>
            <wp:docPr id="17" name="图片 1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1"/>
                    <pic:cNvPicPr>
                      <a:picLocks noChangeAspect="1"/>
                    </pic:cNvPicPr>
                  </pic:nvPicPr>
                  <pic:blipFill>
                    <a:blip r:embed="rId65"/>
                    <a:stretch>
                      <a:fillRect/>
                    </a:stretch>
                  </pic:blipFill>
                  <pic:spPr>
                    <a:xfrm>
                      <a:off x="0" y="0"/>
                      <a:ext cx="6108065" cy="8818880"/>
                    </a:xfrm>
                    <a:prstGeom prst="rect">
                      <a:avLst/>
                    </a:prstGeom>
                  </pic:spPr>
                </pic:pic>
              </a:graphicData>
            </a:graphic>
          </wp:inline>
        </w:drawing>
      </w:r>
      <w:r>
        <w:rPr>
          <w:rFonts w:hint="default"/>
          <w:color w:val="FF0000"/>
          <w:lang w:val="en-US" w:eastAsia="zh-CN"/>
        </w:rPr>
        <w:drawing>
          <wp:inline distT="0" distB="0" distL="114300" distR="114300">
            <wp:extent cx="6115685" cy="8682990"/>
            <wp:effectExtent l="0" t="0" r="18415" b="3810"/>
            <wp:docPr id="16" name="图片 1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2"/>
                    <pic:cNvPicPr>
                      <a:picLocks noChangeAspect="1"/>
                    </pic:cNvPicPr>
                  </pic:nvPicPr>
                  <pic:blipFill>
                    <a:blip r:embed="rId66"/>
                    <a:stretch>
                      <a:fillRect/>
                    </a:stretch>
                  </pic:blipFill>
                  <pic:spPr>
                    <a:xfrm>
                      <a:off x="0" y="0"/>
                      <a:ext cx="6115685" cy="8682990"/>
                    </a:xfrm>
                    <a:prstGeom prst="rect">
                      <a:avLst/>
                    </a:prstGeom>
                  </pic:spPr>
                </pic:pic>
              </a:graphicData>
            </a:graphic>
          </wp:inline>
        </w:drawing>
      </w:r>
      <w:r>
        <w:rPr>
          <w:rFonts w:hint="default"/>
          <w:color w:val="FF0000"/>
          <w:lang w:val="en-US" w:eastAsia="zh-CN"/>
        </w:rPr>
        <w:drawing>
          <wp:inline distT="0" distB="0" distL="114300" distR="114300">
            <wp:extent cx="6108065" cy="8976360"/>
            <wp:effectExtent l="0" t="0" r="6985" b="15240"/>
            <wp:docPr id="15" name="图片 1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3"/>
                    <pic:cNvPicPr>
                      <a:picLocks noChangeAspect="1"/>
                    </pic:cNvPicPr>
                  </pic:nvPicPr>
                  <pic:blipFill>
                    <a:blip r:embed="rId67"/>
                    <a:stretch>
                      <a:fillRect/>
                    </a:stretch>
                  </pic:blipFill>
                  <pic:spPr>
                    <a:xfrm>
                      <a:off x="0" y="0"/>
                      <a:ext cx="6108065" cy="8976360"/>
                    </a:xfrm>
                    <a:prstGeom prst="rect">
                      <a:avLst/>
                    </a:prstGeom>
                  </pic:spPr>
                </pic:pic>
              </a:graphicData>
            </a:graphic>
          </wp:inline>
        </w:drawing>
      </w:r>
      <w:r>
        <w:rPr>
          <w:rFonts w:hint="default"/>
          <w:color w:val="FF0000"/>
          <w:lang w:val="en-US" w:eastAsia="zh-CN"/>
        </w:rPr>
        <w:drawing>
          <wp:inline distT="0" distB="0" distL="114300" distR="114300">
            <wp:extent cx="6108065" cy="9095740"/>
            <wp:effectExtent l="0" t="0" r="6985" b="10160"/>
            <wp:docPr id="14" name="图片 1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4"/>
                    <pic:cNvPicPr>
                      <a:picLocks noChangeAspect="1"/>
                    </pic:cNvPicPr>
                  </pic:nvPicPr>
                  <pic:blipFill>
                    <a:blip r:embed="rId68"/>
                    <a:stretch>
                      <a:fillRect/>
                    </a:stretch>
                  </pic:blipFill>
                  <pic:spPr>
                    <a:xfrm>
                      <a:off x="0" y="0"/>
                      <a:ext cx="6108065" cy="9095740"/>
                    </a:xfrm>
                    <a:prstGeom prst="rect">
                      <a:avLst/>
                    </a:prstGeom>
                  </pic:spPr>
                </pic:pic>
              </a:graphicData>
            </a:graphic>
          </wp:inline>
        </w:drawing>
      </w:r>
      <w:r>
        <w:rPr>
          <w:rFonts w:hint="default"/>
          <w:color w:val="FF0000"/>
          <w:lang w:val="en-US" w:eastAsia="zh-CN"/>
        </w:rPr>
        <w:drawing>
          <wp:inline distT="0" distB="0" distL="114300" distR="114300">
            <wp:extent cx="6115685" cy="9113520"/>
            <wp:effectExtent l="0" t="0" r="18415" b="11430"/>
            <wp:docPr id="13" name="图片 1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5"/>
                    <pic:cNvPicPr>
                      <a:picLocks noChangeAspect="1"/>
                    </pic:cNvPicPr>
                  </pic:nvPicPr>
                  <pic:blipFill>
                    <a:blip r:embed="rId69"/>
                    <a:stretch>
                      <a:fillRect/>
                    </a:stretch>
                  </pic:blipFill>
                  <pic:spPr>
                    <a:xfrm>
                      <a:off x="0" y="0"/>
                      <a:ext cx="6115685" cy="9113520"/>
                    </a:xfrm>
                    <a:prstGeom prst="rect">
                      <a:avLst/>
                    </a:prstGeom>
                  </pic:spPr>
                </pic:pic>
              </a:graphicData>
            </a:graphic>
          </wp:inline>
        </w:drawing>
      </w:r>
      <w:r>
        <w:rPr>
          <w:rFonts w:hint="default"/>
          <w:color w:val="FF0000"/>
          <w:lang w:val="en-US" w:eastAsia="zh-CN"/>
        </w:rPr>
        <w:drawing>
          <wp:inline distT="0" distB="0" distL="114300" distR="114300">
            <wp:extent cx="6115685" cy="9118600"/>
            <wp:effectExtent l="0" t="0" r="18415" b="6350"/>
            <wp:docPr id="12" name="图片 12"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6"/>
                    <pic:cNvPicPr>
                      <a:picLocks noChangeAspect="1"/>
                    </pic:cNvPicPr>
                  </pic:nvPicPr>
                  <pic:blipFill>
                    <a:blip r:embed="rId70"/>
                    <a:stretch>
                      <a:fillRect/>
                    </a:stretch>
                  </pic:blipFill>
                  <pic:spPr>
                    <a:xfrm>
                      <a:off x="0" y="0"/>
                      <a:ext cx="6115685" cy="9118600"/>
                    </a:xfrm>
                    <a:prstGeom prst="rect">
                      <a:avLst/>
                    </a:prstGeom>
                  </pic:spPr>
                </pic:pic>
              </a:graphicData>
            </a:graphic>
          </wp:inline>
        </w:drawing>
      </w:r>
      <w:r>
        <w:rPr>
          <w:rFonts w:hint="default"/>
          <w:color w:val="FF0000"/>
          <w:lang w:val="en-US" w:eastAsia="zh-CN"/>
        </w:rPr>
        <w:drawing>
          <wp:inline distT="0" distB="0" distL="114300" distR="114300">
            <wp:extent cx="6108065" cy="9004935"/>
            <wp:effectExtent l="0" t="0" r="6985" b="5715"/>
            <wp:docPr id="11" name="图片 11"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7"/>
                    <pic:cNvPicPr>
                      <a:picLocks noChangeAspect="1"/>
                    </pic:cNvPicPr>
                  </pic:nvPicPr>
                  <pic:blipFill>
                    <a:blip r:embed="rId71"/>
                    <a:stretch>
                      <a:fillRect/>
                    </a:stretch>
                  </pic:blipFill>
                  <pic:spPr>
                    <a:xfrm>
                      <a:off x="0" y="0"/>
                      <a:ext cx="6108065" cy="9004935"/>
                    </a:xfrm>
                    <a:prstGeom prst="rect">
                      <a:avLst/>
                    </a:prstGeom>
                  </pic:spPr>
                </pic:pic>
              </a:graphicData>
            </a:graphic>
          </wp:inline>
        </w:drawing>
      </w:r>
      <w:r>
        <w:rPr>
          <w:rFonts w:hint="default"/>
          <w:color w:val="FF0000"/>
          <w:lang w:val="en-US" w:eastAsia="zh-CN"/>
        </w:rPr>
        <w:drawing>
          <wp:inline distT="0" distB="0" distL="114300" distR="114300">
            <wp:extent cx="6108065" cy="8861425"/>
            <wp:effectExtent l="0" t="0" r="6985" b="15875"/>
            <wp:docPr id="10" name="图片 10"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8"/>
                    <pic:cNvPicPr>
                      <a:picLocks noChangeAspect="1"/>
                    </pic:cNvPicPr>
                  </pic:nvPicPr>
                  <pic:blipFill>
                    <a:blip r:embed="rId72"/>
                    <a:stretch>
                      <a:fillRect/>
                    </a:stretch>
                  </pic:blipFill>
                  <pic:spPr>
                    <a:xfrm>
                      <a:off x="0" y="0"/>
                      <a:ext cx="6108065" cy="8861425"/>
                    </a:xfrm>
                    <a:prstGeom prst="rect">
                      <a:avLst/>
                    </a:prstGeom>
                  </pic:spPr>
                </pic:pic>
              </a:graphicData>
            </a:graphic>
          </wp:inline>
        </w:drawing>
      </w:r>
      <w:r>
        <w:rPr>
          <w:rFonts w:hint="default"/>
          <w:color w:val="FF0000"/>
          <w:lang w:val="en-US" w:eastAsia="zh-CN"/>
        </w:rPr>
        <w:drawing>
          <wp:inline distT="0" distB="0" distL="114300" distR="114300">
            <wp:extent cx="6115685" cy="8927465"/>
            <wp:effectExtent l="0" t="0" r="18415" b="6985"/>
            <wp:docPr id="9" name="图片 9"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9"/>
                    <pic:cNvPicPr>
                      <a:picLocks noChangeAspect="1"/>
                    </pic:cNvPicPr>
                  </pic:nvPicPr>
                  <pic:blipFill>
                    <a:blip r:embed="rId73"/>
                    <a:stretch>
                      <a:fillRect/>
                    </a:stretch>
                  </pic:blipFill>
                  <pic:spPr>
                    <a:xfrm>
                      <a:off x="0" y="0"/>
                      <a:ext cx="6115685" cy="8927465"/>
                    </a:xfrm>
                    <a:prstGeom prst="rect">
                      <a:avLst/>
                    </a:prstGeom>
                  </pic:spPr>
                </pic:pic>
              </a:graphicData>
            </a:graphic>
          </wp:inline>
        </w:drawing>
      </w:r>
      <w:r>
        <w:rPr>
          <w:rFonts w:hint="default"/>
          <w:color w:val="FF0000"/>
          <w:lang w:val="en-US" w:eastAsia="zh-CN"/>
        </w:rPr>
        <w:drawing>
          <wp:inline distT="0" distB="0" distL="114300" distR="114300">
            <wp:extent cx="6115685" cy="8879205"/>
            <wp:effectExtent l="0" t="0" r="18415" b="17145"/>
            <wp:docPr id="8" name="图片 8"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10"/>
                    <pic:cNvPicPr>
                      <a:picLocks noChangeAspect="1"/>
                    </pic:cNvPicPr>
                  </pic:nvPicPr>
                  <pic:blipFill>
                    <a:blip r:embed="rId74"/>
                    <a:stretch>
                      <a:fillRect/>
                    </a:stretch>
                  </pic:blipFill>
                  <pic:spPr>
                    <a:xfrm>
                      <a:off x="0" y="0"/>
                      <a:ext cx="6115685" cy="8879205"/>
                    </a:xfrm>
                    <a:prstGeom prst="rect">
                      <a:avLst/>
                    </a:prstGeom>
                  </pic:spPr>
                </pic:pic>
              </a:graphicData>
            </a:graphic>
          </wp:inline>
        </w:drawing>
      </w:r>
      <w:r>
        <w:rPr>
          <w:rFonts w:hint="default"/>
          <w:color w:val="FF0000"/>
          <w:lang w:val="en-US" w:eastAsia="zh-CN"/>
        </w:rPr>
        <w:drawing>
          <wp:inline distT="0" distB="0" distL="114300" distR="114300">
            <wp:extent cx="6115685" cy="9022715"/>
            <wp:effectExtent l="0" t="0" r="18415" b="6985"/>
            <wp:docPr id="7" name="图片 7"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11"/>
                    <pic:cNvPicPr>
                      <a:picLocks noChangeAspect="1"/>
                    </pic:cNvPicPr>
                  </pic:nvPicPr>
                  <pic:blipFill>
                    <a:blip r:embed="rId75"/>
                    <a:stretch>
                      <a:fillRect/>
                    </a:stretch>
                  </pic:blipFill>
                  <pic:spPr>
                    <a:xfrm>
                      <a:off x="0" y="0"/>
                      <a:ext cx="6115685" cy="9022715"/>
                    </a:xfrm>
                    <a:prstGeom prst="rect">
                      <a:avLst/>
                    </a:prstGeom>
                  </pic:spPr>
                </pic:pic>
              </a:graphicData>
            </a:graphic>
          </wp:inline>
        </w:drawing>
      </w:r>
      <w:r>
        <w:rPr>
          <w:rFonts w:hint="default"/>
          <w:color w:val="FF0000"/>
          <w:lang w:val="en-US" w:eastAsia="zh-CN"/>
        </w:rPr>
        <w:drawing>
          <wp:inline distT="0" distB="0" distL="114300" distR="114300">
            <wp:extent cx="6108065" cy="8904605"/>
            <wp:effectExtent l="0" t="0" r="6985" b="10795"/>
            <wp:docPr id="6" name="图片 6"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12"/>
                    <pic:cNvPicPr>
                      <a:picLocks noChangeAspect="1"/>
                    </pic:cNvPicPr>
                  </pic:nvPicPr>
                  <pic:blipFill>
                    <a:blip r:embed="rId76"/>
                    <a:stretch>
                      <a:fillRect/>
                    </a:stretch>
                  </pic:blipFill>
                  <pic:spPr>
                    <a:xfrm>
                      <a:off x="0" y="0"/>
                      <a:ext cx="6108065" cy="8904605"/>
                    </a:xfrm>
                    <a:prstGeom prst="rect">
                      <a:avLst/>
                    </a:prstGeom>
                  </pic:spPr>
                </pic:pic>
              </a:graphicData>
            </a:graphic>
          </wp:inline>
        </w:drawing>
      </w:r>
      <w:r>
        <w:rPr>
          <w:rFonts w:hint="default"/>
          <w:color w:val="FF0000"/>
          <w:lang w:val="en-US" w:eastAsia="zh-CN"/>
        </w:rPr>
        <w:drawing>
          <wp:inline distT="0" distB="0" distL="114300" distR="114300">
            <wp:extent cx="8295005" cy="6052185"/>
            <wp:effectExtent l="0" t="0" r="5715" b="10795"/>
            <wp:docPr id="18" name="图片 18" descr="青岛海湾危废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青岛海湾危废证"/>
                    <pic:cNvPicPr>
                      <a:picLocks noChangeAspect="1"/>
                    </pic:cNvPicPr>
                  </pic:nvPicPr>
                  <pic:blipFill>
                    <a:blip r:embed="rId77"/>
                    <a:stretch>
                      <a:fillRect/>
                    </a:stretch>
                  </pic:blipFill>
                  <pic:spPr>
                    <a:xfrm rot="16200000">
                      <a:off x="0" y="0"/>
                      <a:ext cx="8295005" cy="6052185"/>
                    </a:xfrm>
                    <a:prstGeom prst="rect">
                      <a:avLst/>
                    </a:prstGeom>
                  </pic:spPr>
                </pic:pic>
              </a:graphicData>
            </a:graphic>
          </wp:inline>
        </w:drawing>
      </w:r>
    </w:p>
    <w:p w14:paraId="05948B05">
      <w:pPr>
        <w:rPr>
          <w:rFonts w:hint="default"/>
          <w:color w:val="FF0000"/>
          <w:lang w:val="en-US" w:eastAsia="zh-CN"/>
        </w:rPr>
      </w:pPr>
      <w:r>
        <w:rPr>
          <w:rFonts w:hint="default"/>
          <w:color w:val="FF0000"/>
          <w:lang w:val="en-US" w:eastAsia="zh-CN"/>
        </w:rPr>
        <w:br w:type="page"/>
      </w:r>
    </w:p>
    <w:p w14:paraId="5C9476F9">
      <w:pPr>
        <w:pStyle w:val="26"/>
        <w:keepNext w:val="0"/>
        <w:keepLines w:val="0"/>
        <w:pageBreakBefore w:val="0"/>
        <w:widowControl w:val="0"/>
        <w:numPr>
          <w:ilvl w:val="0"/>
          <w:numId w:val="49"/>
        </w:numPr>
        <w:kinsoku/>
        <w:wordWrap/>
        <w:overflowPunct/>
        <w:topLinePunct w:val="0"/>
        <w:autoSpaceDE/>
        <w:autoSpaceDN/>
        <w:bidi w:val="0"/>
        <w:adjustRightInd/>
        <w:snapToGrid/>
        <w:spacing w:after="0"/>
        <w:ind w:left="0" w:leftChars="0" w:firstLine="403" w:firstLineChars="0"/>
        <w:textAlignment w:val="auto"/>
        <w:outlineLvl w:val="0"/>
        <w:rPr>
          <w:rFonts w:ascii="Times New Roman" w:hAnsi="Times New Roman" w:eastAsia="宋体"/>
          <w:b/>
          <w:bCs/>
          <w:color w:val="auto"/>
          <w:szCs w:val="24"/>
        </w:rPr>
      </w:pPr>
      <w:r>
        <w:rPr>
          <w:rFonts w:ascii="Times New Roman" w:hAnsi="Times New Roman" w:eastAsia="宋体"/>
          <w:b/>
          <w:bCs/>
          <w:color w:val="auto"/>
          <w:szCs w:val="24"/>
        </w:rPr>
        <w:t>项目地理位置图</w:t>
      </w:r>
    </w:p>
    <w:p w14:paraId="64453645">
      <w:pPr>
        <w:pStyle w:val="26"/>
        <w:ind w:left="0" w:leftChars="0" w:firstLine="0" w:firstLineChars="0"/>
        <w:jc w:val="center"/>
        <w:rPr>
          <w:rFonts w:hint="eastAsia" w:eastAsia="等线"/>
          <w:color w:val="auto"/>
          <w:lang w:eastAsia="zh-CN"/>
        </w:rPr>
        <w:sectPr>
          <w:pgSz w:w="11906" w:h="16838"/>
          <w:pgMar w:top="1440" w:right="1800" w:bottom="1440" w:left="1800" w:header="851" w:footer="992" w:gutter="0"/>
          <w:cols w:space="425" w:num="1"/>
          <w:docGrid w:type="lines" w:linePitch="312" w:charSpace="0"/>
        </w:sectPr>
      </w:pPr>
      <w:r>
        <w:rPr>
          <w:color w:val="auto"/>
        </w:rPr>
        <w:drawing>
          <wp:anchor distT="0" distB="0" distL="114300" distR="114300" simplePos="0" relativeHeight="251662336" behindDoc="0" locked="0" layoutInCell="1" allowOverlap="1">
            <wp:simplePos x="0" y="0"/>
            <wp:positionH relativeFrom="column">
              <wp:posOffset>7534910</wp:posOffset>
            </wp:positionH>
            <wp:positionV relativeFrom="paragraph">
              <wp:posOffset>76835</wp:posOffset>
            </wp:positionV>
            <wp:extent cx="834390" cy="838200"/>
            <wp:effectExtent l="0" t="0" r="3810" b="0"/>
            <wp:wrapNone/>
            <wp:docPr id="68" name="图片 68" descr="C:\Users\ADMINI~1\AppData\Local\Temp\ksohtml2840\wp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C:\Users\ADMINI~1\AppData\Local\Temp\ksohtml2840\wps1.jpg"/>
                    <pic:cNvPicPr>
                      <a:picLocks noChangeAspect="1" noChangeArrowheads="1"/>
                    </pic:cNvPicPr>
                  </pic:nvPicPr>
                  <pic:blipFill>
                    <a:blip r:embed="rId78"/>
                    <a:srcRect/>
                    <a:stretch>
                      <a:fillRect/>
                    </a:stretch>
                  </pic:blipFill>
                  <pic:spPr>
                    <a:xfrm>
                      <a:off x="0" y="0"/>
                      <a:ext cx="835222" cy="838200"/>
                    </a:xfrm>
                    <a:prstGeom prst="rect">
                      <a:avLst/>
                    </a:prstGeom>
                    <a:noFill/>
                    <a:ln>
                      <a:noFill/>
                    </a:ln>
                  </pic:spPr>
                </pic:pic>
              </a:graphicData>
            </a:graphic>
          </wp:anchor>
        </w:drawing>
      </w:r>
      <w:r>
        <w:rPr>
          <w:sz w:val="24"/>
        </w:rPr>
        <mc:AlternateContent>
          <mc:Choice Requires="wps">
            <w:drawing>
              <wp:anchor distT="0" distB="0" distL="114300" distR="114300" simplePos="0" relativeHeight="251683840" behindDoc="0" locked="0" layoutInCell="1" allowOverlap="1">
                <wp:simplePos x="0" y="0"/>
                <wp:positionH relativeFrom="column">
                  <wp:posOffset>3264535</wp:posOffset>
                </wp:positionH>
                <wp:positionV relativeFrom="paragraph">
                  <wp:posOffset>1184910</wp:posOffset>
                </wp:positionV>
                <wp:extent cx="1889125" cy="658495"/>
                <wp:effectExtent l="6350" t="6350" r="9525" b="916305"/>
                <wp:wrapNone/>
                <wp:docPr id="55" name="矩形标注 55"/>
                <wp:cNvGraphicFramePr/>
                <a:graphic xmlns:a="http://schemas.openxmlformats.org/drawingml/2006/main">
                  <a:graphicData uri="http://schemas.microsoft.com/office/word/2010/wordprocessingShape">
                    <wps:wsp>
                      <wps:cNvSpPr/>
                      <wps:spPr>
                        <a:xfrm>
                          <a:off x="4191000" y="3155315"/>
                          <a:ext cx="1889125" cy="658495"/>
                        </a:xfrm>
                        <a:prstGeom prst="wedgeRectCallout">
                          <a:avLst>
                            <a:gd name="adj1" fmla="val -9899"/>
                            <a:gd name="adj2" fmla="val 183076"/>
                          </a:avLst>
                        </a:prstGeom>
                        <a:solidFill>
                          <a:schemeClr val="bg1">
                            <a:alpha val="50000"/>
                          </a:schemeClr>
                        </a:solidFill>
                      </wps:spPr>
                      <wps:style>
                        <a:lnRef idx="2">
                          <a:schemeClr val="accent1">
                            <a:lumMod val="75000"/>
                          </a:schemeClr>
                        </a:lnRef>
                        <a:fillRef idx="1">
                          <a:schemeClr val="accent1"/>
                        </a:fillRef>
                        <a:effectRef idx="0">
                          <a:srgbClr val="FFFFFF"/>
                        </a:effectRef>
                        <a:fontRef idx="minor">
                          <a:schemeClr val="lt1"/>
                        </a:fontRef>
                      </wps:style>
                      <wps:txbx>
                        <w:txbxContent>
                          <w:p w14:paraId="5D7773A0">
                            <w:pPr>
                              <w:keepNext w:val="0"/>
                              <w:keepLines w:val="0"/>
                              <w:pageBreakBefore w:val="0"/>
                              <w:widowControl w:val="0"/>
                              <w:kinsoku/>
                              <w:wordWrap/>
                              <w:overflowPunct/>
                              <w:topLinePunct w:val="0"/>
                              <w:bidi w:val="0"/>
                              <w:adjustRightInd/>
                              <w:snapToGrid/>
                              <w:spacing w:line="240" w:lineRule="exact"/>
                              <w:jc w:val="center"/>
                              <w:textAlignment w:val="auto"/>
                              <w:rPr>
                                <w:rFonts w:hint="eastAsia"/>
                                <w:color w:val="FF0000"/>
                                <w:sz w:val="24"/>
                                <w:lang w:val="en-US" w:eastAsia="zh-CN"/>
                              </w:rPr>
                            </w:pPr>
                            <w:r>
                              <w:rPr>
                                <w:rFonts w:hint="eastAsia"/>
                                <w:color w:val="FF0000"/>
                                <w:sz w:val="24"/>
                                <w:lang w:val="en-US" w:eastAsia="zh-CN"/>
                              </w:rPr>
                              <w:t>项目所在地</w:t>
                            </w:r>
                          </w:p>
                          <w:p w14:paraId="695B181E">
                            <w:pPr>
                              <w:keepNext w:val="0"/>
                              <w:keepLines w:val="0"/>
                              <w:pageBreakBefore w:val="0"/>
                              <w:widowControl w:val="0"/>
                              <w:kinsoku/>
                              <w:wordWrap/>
                              <w:overflowPunct/>
                              <w:topLinePunct w:val="0"/>
                              <w:bidi w:val="0"/>
                              <w:adjustRightInd/>
                              <w:snapToGrid/>
                              <w:spacing w:line="240" w:lineRule="exact"/>
                              <w:jc w:val="center"/>
                              <w:textAlignment w:val="auto"/>
                              <w:rPr>
                                <w:rFonts w:hint="eastAsia"/>
                                <w:color w:val="FF0000"/>
                                <w:sz w:val="24"/>
                                <w:lang w:val="en-US" w:eastAsia="zh-CN"/>
                              </w:rPr>
                            </w:pPr>
                            <w:r>
                              <w:rPr>
                                <w:rFonts w:hint="eastAsia"/>
                                <w:color w:val="FF0000"/>
                                <w:sz w:val="24"/>
                                <w:lang w:val="en-US" w:eastAsia="zh-CN"/>
                              </w:rPr>
                              <w:t>经度118°4′29.087″</w:t>
                            </w:r>
                          </w:p>
                          <w:p w14:paraId="77207489">
                            <w:pPr>
                              <w:keepNext w:val="0"/>
                              <w:keepLines w:val="0"/>
                              <w:pageBreakBefore w:val="0"/>
                              <w:widowControl w:val="0"/>
                              <w:kinsoku/>
                              <w:wordWrap/>
                              <w:overflowPunct/>
                              <w:topLinePunct w:val="0"/>
                              <w:bidi w:val="0"/>
                              <w:adjustRightInd/>
                              <w:snapToGrid/>
                              <w:spacing w:line="240" w:lineRule="exact"/>
                              <w:jc w:val="center"/>
                              <w:textAlignment w:val="auto"/>
                              <w:rPr>
                                <w:color w:val="FF0000"/>
                              </w:rPr>
                            </w:pPr>
                            <w:r>
                              <w:rPr>
                                <w:rFonts w:hint="eastAsia"/>
                                <w:color w:val="FF0000"/>
                                <w:sz w:val="24"/>
                                <w:lang w:val="en-US" w:eastAsia="zh-CN"/>
                              </w:rPr>
                              <w:t>纬度36°42′0.222″</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57.05pt;margin-top:93.3pt;height:51.85pt;width:148.75pt;z-index:251683840;v-text-anchor:middle;mso-width-relative:page;mso-height-relative:page;" fillcolor="#FFFFFF [3212]" filled="t" stroked="t" coordsize="21600,21600" o:gfxdata="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" adj="8662,50344">
                <v:fill on="t" opacity="32768f" focussize="0,0"/>
                <v:stroke weight="1pt" color="#2E54A1 [2404]" miterlimit="8" joinstyle="miter"/>
                <v:imagedata o:title=""/>
                <o:lock v:ext="edit" aspectratio="f"/>
                <v:textbox>
                  <w:txbxContent>
                    <w:p w14:paraId="5D7773A0">
                      <w:pPr>
                        <w:keepNext w:val="0"/>
                        <w:keepLines w:val="0"/>
                        <w:pageBreakBefore w:val="0"/>
                        <w:widowControl w:val="0"/>
                        <w:kinsoku/>
                        <w:wordWrap/>
                        <w:overflowPunct/>
                        <w:topLinePunct w:val="0"/>
                        <w:bidi w:val="0"/>
                        <w:adjustRightInd/>
                        <w:snapToGrid/>
                        <w:spacing w:line="240" w:lineRule="exact"/>
                        <w:jc w:val="center"/>
                        <w:textAlignment w:val="auto"/>
                        <w:rPr>
                          <w:rFonts w:hint="eastAsia"/>
                          <w:color w:val="FF0000"/>
                          <w:sz w:val="24"/>
                          <w:lang w:val="en-US" w:eastAsia="zh-CN"/>
                        </w:rPr>
                      </w:pPr>
                      <w:r>
                        <w:rPr>
                          <w:rFonts w:hint="eastAsia"/>
                          <w:color w:val="FF0000"/>
                          <w:sz w:val="24"/>
                          <w:lang w:val="en-US" w:eastAsia="zh-CN"/>
                        </w:rPr>
                        <w:t>项目所在地</w:t>
                      </w:r>
                    </w:p>
                    <w:p w14:paraId="695B181E">
                      <w:pPr>
                        <w:keepNext w:val="0"/>
                        <w:keepLines w:val="0"/>
                        <w:pageBreakBefore w:val="0"/>
                        <w:widowControl w:val="0"/>
                        <w:kinsoku/>
                        <w:wordWrap/>
                        <w:overflowPunct/>
                        <w:topLinePunct w:val="0"/>
                        <w:bidi w:val="0"/>
                        <w:adjustRightInd/>
                        <w:snapToGrid/>
                        <w:spacing w:line="240" w:lineRule="exact"/>
                        <w:jc w:val="center"/>
                        <w:textAlignment w:val="auto"/>
                        <w:rPr>
                          <w:rFonts w:hint="eastAsia"/>
                          <w:color w:val="FF0000"/>
                          <w:sz w:val="24"/>
                          <w:lang w:val="en-US" w:eastAsia="zh-CN"/>
                        </w:rPr>
                      </w:pPr>
                      <w:r>
                        <w:rPr>
                          <w:rFonts w:hint="eastAsia"/>
                          <w:color w:val="FF0000"/>
                          <w:sz w:val="24"/>
                          <w:lang w:val="en-US" w:eastAsia="zh-CN"/>
                        </w:rPr>
                        <w:t>经度118°4′29.087″</w:t>
                      </w:r>
                    </w:p>
                    <w:p w14:paraId="77207489">
                      <w:pPr>
                        <w:keepNext w:val="0"/>
                        <w:keepLines w:val="0"/>
                        <w:pageBreakBefore w:val="0"/>
                        <w:widowControl w:val="0"/>
                        <w:kinsoku/>
                        <w:wordWrap/>
                        <w:overflowPunct/>
                        <w:topLinePunct w:val="0"/>
                        <w:bidi w:val="0"/>
                        <w:adjustRightInd/>
                        <w:snapToGrid/>
                        <w:spacing w:line="240" w:lineRule="exact"/>
                        <w:jc w:val="center"/>
                        <w:textAlignment w:val="auto"/>
                        <w:rPr>
                          <w:color w:val="FF0000"/>
                        </w:rPr>
                      </w:pPr>
                      <w:r>
                        <w:rPr>
                          <w:rFonts w:hint="eastAsia"/>
                          <w:color w:val="FF0000"/>
                          <w:sz w:val="24"/>
                          <w:lang w:val="en-US" w:eastAsia="zh-CN"/>
                        </w:rPr>
                        <w:t>纬度36°42′0.222″</w:t>
                      </w:r>
                    </w:p>
                  </w:txbxContent>
                </v:textbox>
              </v:shape>
            </w:pict>
          </mc:Fallback>
        </mc:AlternateContent>
      </w:r>
      <w:r>
        <w:rPr>
          <w:rFonts w:hint="eastAsia" w:eastAsia="等线"/>
          <w:color w:val="auto"/>
          <w:lang w:eastAsia="zh-CN"/>
        </w:rPr>
        <w:drawing>
          <wp:inline distT="0" distB="0" distL="114300" distR="114300">
            <wp:extent cx="7900670" cy="5344160"/>
            <wp:effectExtent l="0" t="0" r="5080" b="8890"/>
            <wp:docPr id="31" name="图片 31" descr="屏幕截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屏幕截图"/>
                    <pic:cNvPicPr>
                      <a:picLocks noChangeAspect="1"/>
                    </pic:cNvPicPr>
                  </pic:nvPicPr>
                  <pic:blipFill>
                    <a:blip r:embed="rId79"/>
                    <a:stretch>
                      <a:fillRect/>
                    </a:stretch>
                  </pic:blipFill>
                  <pic:spPr>
                    <a:xfrm>
                      <a:off x="0" y="0"/>
                      <a:ext cx="7900670" cy="5344160"/>
                    </a:xfrm>
                    <a:prstGeom prst="rect">
                      <a:avLst/>
                    </a:prstGeom>
                  </pic:spPr>
                </pic:pic>
              </a:graphicData>
            </a:graphic>
          </wp:inline>
        </w:drawing>
      </w:r>
    </w:p>
    <w:p w14:paraId="5DD3F3E5">
      <w:pPr>
        <w:pStyle w:val="26"/>
        <w:keepNext w:val="0"/>
        <w:keepLines w:val="0"/>
        <w:pageBreakBefore w:val="0"/>
        <w:widowControl w:val="0"/>
        <w:numPr>
          <w:ilvl w:val="0"/>
          <w:numId w:val="49"/>
        </w:numPr>
        <w:kinsoku/>
        <w:wordWrap/>
        <w:overflowPunct/>
        <w:topLinePunct w:val="0"/>
        <w:autoSpaceDE/>
        <w:autoSpaceDN/>
        <w:bidi w:val="0"/>
        <w:adjustRightInd/>
        <w:snapToGrid/>
        <w:ind w:left="0" w:leftChars="0" w:firstLine="403" w:firstLineChars="0"/>
        <w:textAlignment w:val="auto"/>
        <w:outlineLvl w:val="0"/>
        <w:rPr>
          <w:rFonts w:ascii="Times New Roman" w:hAnsi="Times New Roman" w:eastAsia="宋体" w:cs="Times New Roman"/>
          <w:b/>
          <w:bCs/>
          <w:color w:val="auto"/>
          <w:szCs w:val="24"/>
        </w:rPr>
      </w:pPr>
      <w:r>
        <w:rPr>
          <w:rFonts w:hint="eastAsia" w:ascii="Times New Roman" w:hAnsi="Times New Roman" w:eastAsia="宋体" w:cs="Times New Roman"/>
          <w:b/>
          <w:bCs/>
          <w:color w:val="auto"/>
          <w:szCs w:val="24"/>
          <w:lang w:val="en-US" w:eastAsia="zh-CN"/>
        </w:rPr>
        <w:t>项目周边敏感目标分布图</w:t>
      </w:r>
    </w:p>
    <w:p w14:paraId="07F5952C">
      <w:pPr>
        <w:pStyle w:val="26"/>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color w:val="auto"/>
        </w:rPr>
      </w:pPr>
      <w:r>
        <w:rPr>
          <w:color w:val="auto"/>
        </w:rPr>
        <w:drawing>
          <wp:anchor distT="0" distB="0" distL="114300" distR="114300" simplePos="0" relativeHeight="251703296" behindDoc="0" locked="0" layoutInCell="1" allowOverlap="1">
            <wp:simplePos x="0" y="0"/>
            <wp:positionH relativeFrom="column">
              <wp:posOffset>7592695</wp:posOffset>
            </wp:positionH>
            <wp:positionV relativeFrom="paragraph">
              <wp:posOffset>66675</wp:posOffset>
            </wp:positionV>
            <wp:extent cx="834390" cy="838200"/>
            <wp:effectExtent l="0" t="0" r="3810" b="0"/>
            <wp:wrapNone/>
            <wp:docPr id="71" name="图片 71" descr="C:\Users\ADMINI~1\AppData\Local\Temp\ksohtml2840\wp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C:\Users\ADMINI~1\AppData\Local\Temp\ksohtml2840\wps1.jpg"/>
                    <pic:cNvPicPr>
                      <a:picLocks noChangeAspect="1" noChangeArrowheads="1"/>
                    </pic:cNvPicPr>
                  </pic:nvPicPr>
                  <pic:blipFill>
                    <a:blip r:embed="rId78"/>
                    <a:srcRect/>
                    <a:stretch>
                      <a:fillRect/>
                    </a:stretch>
                  </pic:blipFill>
                  <pic:spPr>
                    <a:xfrm>
                      <a:off x="0" y="0"/>
                      <a:ext cx="834390" cy="838200"/>
                    </a:xfrm>
                    <a:prstGeom prst="rect">
                      <a:avLst/>
                    </a:prstGeom>
                    <a:noFill/>
                    <a:ln>
                      <a:noFill/>
                    </a:ln>
                  </pic:spPr>
                </pic:pic>
              </a:graphicData>
            </a:graphic>
          </wp:anchor>
        </w:drawing>
      </w:r>
      <w:r>
        <w:rPr>
          <w:rFonts w:hint="eastAsia" w:eastAsia="等线"/>
          <w:b/>
          <w:bCs/>
          <w:color w:val="auto"/>
          <w:lang w:eastAsia="zh-CN"/>
        </w:rPr>
        <w:drawing>
          <wp:anchor distT="0" distB="0" distL="114300" distR="114300" simplePos="0" relativeHeight="251702272" behindDoc="1" locked="0" layoutInCell="1" allowOverlap="1">
            <wp:simplePos x="0" y="0"/>
            <wp:positionH relativeFrom="column">
              <wp:posOffset>436245</wp:posOffset>
            </wp:positionH>
            <wp:positionV relativeFrom="paragraph">
              <wp:posOffset>57785</wp:posOffset>
            </wp:positionV>
            <wp:extent cx="8013065" cy="5335905"/>
            <wp:effectExtent l="0" t="0" r="6985" b="17145"/>
            <wp:wrapNone/>
            <wp:docPr id="70" name="图片 70" descr="屏幕截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屏幕截图"/>
                    <pic:cNvPicPr>
                      <a:picLocks noChangeAspect="1"/>
                    </pic:cNvPicPr>
                  </pic:nvPicPr>
                  <pic:blipFill>
                    <a:blip r:embed="rId80"/>
                    <a:srcRect t="4729" b="2706"/>
                    <a:stretch>
                      <a:fillRect/>
                    </a:stretch>
                  </pic:blipFill>
                  <pic:spPr>
                    <a:xfrm>
                      <a:off x="0" y="0"/>
                      <a:ext cx="8013065" cy="5335905"/>
                    </a:xfrm>
                    <a:prstGeom prst="rect">
                      <a:avLst/>
                    </a:prstGeom>
                  </pic:spPr>
                </pic:pic>
              </a:graphicData>
            </a:graphic>
          </wp:anchor>
        </w:drawing>
      </w:r>
    </w:p>
    <w:p w14:paraId="64785214">
      <w:pPr>
        <w:pStyle w:val="26"/>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color w:val="auto"/>
        </w:rPr>
      </w:pPr>
    </w:p>
    <w:p w14:paraId="2BBCC62A">
      <w:pPr>
        <w:pStyle w:val="26"/>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color w:val="auto"/>
        </w:rPr>
      </w:pPr>
    </w:p>
    <w:p w14:paraId="62C47B0F">
      <w:pPr>
        <w:pStyle w:val="26"/>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color w:val="auto"/>
        </w:rPr>
      </w:pPr>
      <w:r>
        <w:rPr>
          <w:sz w:val="24"/>
        </w:rPr>
        <mc:AlternateContent>
          <mc:Choice Requires="wps">
            <w:drawing>
              <wp:anchor distT="0" distB="0" distL="114300" distR="114300" simplePos="0" relativeHeight="251701248" behindDoc="0" locked="0" layoutInCell="1" allowOverlap="1">
                <wp:simplePos x="0" y="0"/>
                <wp:positionH relativeFrom="column">
                  <wp:posOffset>2343785</wp:posOffset>
                </wp:positionH>
                <wp:positionV relativeFrom="paragraph">
                  <wp:posOffset>134620</wp:posOffset>
                </wp:positionV>
                <wp:extent cx="3585845" cy="3373755"/>
                <wp:effectExtent l="6350" t="6350" r="8255" b="10795"/>
                <wp:wrapNone/>
                <wp:docPr id="67" name="椭圆 67"/>
                <wp:cNvGraphicFramePr/>
                <a:graphic xmlns:a="http://schemas.openxmlformats.org/drawingml/2006/main">
                  <a:graphicData uri="http://schemas.microsoft.com/office/word/2010/wordprocessingShape">
                    <wps:wsp>
                      <wps:cNvSpPr/>
                      <wps:spPr>
                        <a:xfrm>
                          <a:off x="2638425" y="3568065"/>
                          <a:ext cx="3585845" cy="3373755"/>
                        </a:xfrm>
                        <a:prstGeom prst="ellipse">
                          <a:avLst/>
                        </a:pr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84.55pt;margin-top:10.6pt;height:265.65pt;width:282.35pt;z-index:251701248;v-text-anchor:middle;mso-width-relative:page;mso-height-relative:page;" filled="f" stroked="t" coordsize="21600,21600" o:gfxdata="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MPihiXZAAAACgEAAA8AAAAAAAAAAQAgAAAA&#10;IgAAAGRycy9kb3ducmV2LnhtbFBLAQIUABQAAAAIAIdO4kCE+3hgfAIAAN0EAAAOAAAAAAAAAAEA&#10;IAAAACgBAABkcnMvZTJvRG9jLnhtbFBLBQYAAAAABgAGAFkBAAAWBgAAAAA=&#10;">
                <v:fill on="f" focussize="0,0"/>
                <v:stroke weight="1pt" color="#FFFF00 [2404]" miterlimit="8" joinstyle="miter"/>
                <v:imagedata o:title=""/>
                <o:lock v:ext="edit" aspectratio="f"/>
              </v:shape>
            </w:pict>
          </mc:Fallback>
        </mc:AlternateContent>
      </w:r>
    </w:p>
    <w:p w14:paraId="3886B629">
      <w:pPr>
        <w:pStyle w:val="26"/>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color w:val="auto"/>
        </w:rPr>
      </w:pPr>
    </w:p>
    <w:p w14:paraId="1DC30FFD">
      <w:pPr>
        <w:rPr>
          <w:rFonts w:hint="eastAsia"/>
          <w:color w:val="auto"/>
          <w:lang w:eastAsia="zh-CN"/>
        </w:rPr>
        <w:sectPr>
          <w:pgSz w:w="16838" w:h="11906" w:orient="landscape"/>
          <w:pgMar w:top="1417" w:right="1417" w:bottom="1417" w:left="1417" w:header="850" w:footer="992" w:gutter="0"/>
          <w:cols w:space="720" w:num="1"/>
          <w:docGrid w:type="lines" w:linePitch="319" w:charSpace="0"/>
        </w:sectPr>
      </w:pPr>
      <w:r>
        <w:rPr>
          <w:color w:val="auto"/>
          <w:sz w:val="24"/>
        </w:rPr>
        <mc:AlternateContent>
          <mc:Choice Requires="wps">
            <w:drawing>
              <wp:anchor distT="0" distB="0" distL="114300" distR="114300" simplePos="0" relativeHeight="251695104" behindDoc="0" locked="0" layoutInCell="1" allowOverlap="1">
                <wp:simplePos x="0" y="0"/>
                <wp:positionH relativeFrom="column">
                  <wp:posOffset>5490845</wp:posOffset>
                </wp:positionH>
                <wp:positionV relativeFrom="paragraph">
                  <wp:posOffset>878205</wp:posOffset>
                </wp:positionV>
                <wp:extent cx="914400" cy="440055"/>
                <wp:effectExtent l="0" t="0" r="0" b="0"/>
                <wp:wrapNone/>
                <wp:docPr id="41" name="矩形 41"/>
                <wp:cNvGraphicFramePr/>
                <a:graphic xmlns:a="http://schemas.openxmlformats.org/drawingml/2006/main">
                  <a:graphicData uri="http://schemas.microsoft.com/office/word/2010/wordprocessingShape">
                    <wps:wsp>
                      <wps:cNvSpPr/>
                      <wps:spPr>
                        <a:xfrm>
                          <a:off x="0" y="0"/>
                          <a:ext cx="914400" cy="440055"/>
                        </a:xfrm>
                        <a:prstGeom prst="rect">
                          <a:avLst/>
                        </a:prstGeom>
                        <a:ln>
                          <a:noFill/>
                        </a:ln>
                      </wps:spPr>
                      <wps:style>
                        <a:lnRef idx="2">
                          <a:schemeClr val="accent1"/>
                        </a:lnRef>
                        <a:fillRef idx="0">
                          <a:srgbClr val="FFFFFF"/>
                        </a:fillRef>
                        <a:effectRef idx="0">
                          <a:srgbClr val="FFFFFF"/>
                        </a:effectRef>
                        <a:fontRef idx="minor">
                          <a:schemeClr val="dk1"/>
                        </a:fontRef>
                      </wps:style>
                      <wps:txbx>
                        <w:txbxContent>
                          <w:p w14:paraId="629BF047">
                            <w:pPr>
                              <w:jc w:val="center"/>
                              <w:rPr>
                                <w:rFonts w:hint="default" w:eastAsia="等线"/>
                                <w:b/>
                                <w:bCs/>
                                <w:color w:val="FFFF00"/>
                                <w:lang w:val="en-US" w:eastAsia="zh-CN"/>
                              </w:rPr>
                            </w:pPr>
                            <w:r>
                              <w:rPr>
                                <w:rFonts w:hint="eastAsia"/>
                                <w:b/>
                                <w:bCs/>
                                <w:color w:val="FFFF00"/>
                                <w:lang w:val="en-US" w:eastAsia="zh-CN"/>
                              </w:rPr>
                              <w:t>北韩村</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32.35pt;margin-top:69.15pt;height:34.65pt;width:72pt;z-index:251695104;v-text-anchor:middle;mso-width-relative:page;mso-height-relative:page;" filled="f" stroked="f" coordsize="21600,21600" o:gfxdata="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zRdq&#10;f9kAAAAMAQAADwAAAAAAAAABACAAAAAiAAAAZHJzL2Rvd25yZXYueG1sUEsBAhQAFAAAAAgAh07i&#10;QPIX959aAgAArgQAAA4AAAAAAAAAAQAgAAAAKAEAAGRycy9lMm9Eb2MueG1sUEsFBgAAAAAGAAYA&#10;WQEAAPQFAAAAAA==&#10;">
                <v:fill on="f" focussize="0,0"/>
                <v:stroke on="f" weight="1pt" miterlimit="8" joinstyle="miter"/>
                <v:imagedata o:title=""/>
                <o:lock v:ext="edit" aspectratio="f"/>
                <v:textbox>
                  <w:txbxContent>
                    <w:p w14:paraId="629BF047">
                      <w:pPr>
                        <w:jc w:val="center"/>
                        <w:rPr>
                          <w:rFonts w:hint="default" w:eastAsia="等线"/>
                          <w:b/>
                          <w:bCs/>
                          <w:color w:val="FFFF00"/>
                          <w:lang w:val="en-US" w:eastAsia="zh-CN"/>
                        </w:rPr>
                      </w:pPr>
                      <w:r>
                        <w:rPr>
                          <w:rFonts w:hint="eastAsia"/>
                          <w:b/>
                          <w:bCs/>
                          <w:color w:val="FFFF00"/>
                          <w:lang w:val="en-US" w:eastAsia="zh-CN"/>
                        </w:rPr>
                        <w:t>北韩村</w:t>
                      </w:r>
                    </w:p>
                  </w:txbxContent>
                </v:textbox>
              </v:rect>
            </w:pict>
          </mc:Fallback>
        </mc:AlternateContent>
      </w:r>
      <w:r>
        <w:rPr>
          <w:color w:val="auto"/>
          <w:sz w:val="24"/>
        </w:rPr>
        <mc:AlternateContent>
          <mc:Choice Requires="wps">
            <w:drawing>
              <wp:anchor distT="0" distB="0" distL="114300" distR="114300" simplePos="0" relativeHeight="251694080" behindDoc="0" locked="0" layoutInCell="1" allowOverlap="1">
                <wp:simplePos x="0" y="0"/>
                <wp:positionH relativeFrom="column">
                  <wp:posOffset>4264660</wp:posOffset>
                </wp:positionH>
                <wp:positionV relativeFrom="paragraph">
                  <wp:posOffset>1010920</wp:posOffset>
                </wp:positionV>
                <wp:extent cx="914400" cy="440055"/>
                <wp:effectExtent l="0" t="0" r="0" b="0"/>
                <wp:wrapNone/>
                <wp:docPr id="35" name="矩形 35"/>
                <wp:cNvGraphicFramePr/>
                <a:graphic xmlns:a="http://schemas.openxmlformats.org/drawingml/2006/main">
                  <a:graphicData uri="http://schemas.microsoft.com/office/word/2010/wordprocessingShape">
                    <wps:wsp>
                      <wps:cNvSpPr/>
                      <wps:spPr>
                        <a:xfrm>
                          <a:off x="0" y="0"/>
                          <a:ext cx="914400" cy="440055"/>
                        </a:xfrm>
                        <a:prstGeom prst="rect">
                          <a:avLst/>
                        </a:prstGeom>
                        <a:ln>
                          <a:noFill/>
                        </a:ln>
                      </wps:spPr>
                      <wps:style>
                        <a:lnRef idx="2">
                          <a:schemeClr val="accent1"/>
                        </a:lnRef>
                        <a:fillRef idx="0">
                          <a:srgbClr val="FFFFFF"/>
                        </a:fillRef>
                        <a:effectRef idx="0">
                          <a:srgbClr val="FFFFFF"/>
                        </a:effectRef>
                        <a:fontRef idx="minor">
                          <a:schemeClr val="dk1"/>
                        </a:fontRef>
                      </wps:style>
                      <wps:txbx>
                        <w:txbxContent>
                          <w:p w14:paraId="40CEEAFE">
                            <w:pPr>
                              <w:jc w:val="center"/>
                              <w:rPr>
                                <w:rFonts w:hint="default" w:eastAsia="等线"/>
                                <w:b/>
                                <w:bCs/>
                                <w:color w:val="FFFF00"/>
                                <w:lang w:val="en-US" w:eastAsia="zh-CN"/>
                              </w:rPr>
                            </w:pPr>
                            <w:r>
                              <w:rPr>
                                <w:rFonts w:hint="eastAsia"/>
                                <w:b/>
                                <w:bCs/>
                                <w:color w:val="FFFF00"/>
                                <w:lang w:val="en-US" w:eastAsia="zh-CN"/>
                              </w:rPr>
                              <w:t>320m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35.8pt;margin-top:79.6pt;height:34.65pt;width:72pt;z-index:251694080;v-text-anchor:middle;mso-width-relative:page;mso-height-relative:page;" filled="f" stroked="f" coordsize="21600,21600" o:gfxdata="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Qkqf&#10;bdgAAAALAQAADwAAAAAAAAABACAAAAAiAAAAZHJzL2Rvd25yZXYueG1sUEsBAhQAFAAAAAgAh07i&#10;QFXYye5bAgAArgQAAA4AAAAAAAAAAQAgAAAAJwEAAGRycy9lMm9Eb2MueG1sUEsFBgAAAAAGAAYA&#10;WQEAAPQFAAAAAA==&#10;">
                <v:fill on="f" focussize="0,0"/>
                <v:stroke on="f" weight="1pt" miterlimit="8" joinstyle="miter"/>
                <v:imagedata o:title=""/>
                <o:lock v:ext="edit" aspectratio="f"/>
                <v:textbox>
                  <w:txbxContent>
                    <w:p w14:paraId="40CEEAFE">
                      <w:pPr>
                        <w:jc w:val="center"/>
                        <w:rPr>
                          <w:rFonts w:hint="default" w:eastAsia="等线"/>
                          <w:b/>
                          <w:bCs/>
                          <w:color w:val="FFFF00"/>
                          <w:lang w:val="en-US" w:eastAsia="zh-CN"/>
                        </w:rPr>
                      </w:pPr>
                      <w:r>
                        <w:rPr>
                          <w:rFonts w:hint="eastAsia"/>
                          <w:b/>
                          <w:bCs/>
                          <w:color w:val="FFFF00"/>
                          <w:lang w:val="en-US" w:eastAsia="zh-CN"/>
                        </w:rPr>
                        <w:t>320m</w:t>
                      </w:r>
                    </w:p>
                  </w:txbxContent>
                </v:textbox>
              </v:rect>
            </w:pict>
          </mc:Fallback>
        </mc:AlternateContent>
      </w:r>
      <w:r>
        <w:rPr>
          <w:color w:val="auto"/>
          <w:sz w:val="24"/>
        </w:rPr>
        <mc:AlternateContent>
          <mc:Choice Requires="wps">
            <w:drawing>
              <wp:anchor distT="0" distB="0" distL="114300" distR="114300" simplePos="0" relativeHeight="251698176" behindDoc="0" locked="0" layoutInCell="1" allowOverlap="1">
                <wp:simplePos x="0" y="0"/>
                <wp:positionH relativeFrom="column">
                  <wp:posOffset>5952490</wp:posOffset>
                </wp:positionH>
                <wp:positionV relativeFrom="paragraph">
                  <wp:posOffset>2108200</wp:posOffset>
                </wp:positionV>
                <wp:extent cx="914400" cy="440055"/>
                <wp:effectExtent l="0" t="0" r="0" b="0"/>
                <wp:wrapNone/>
                <wp:docPr id="53" name="矩形 53"/>
                <wp:cNvGraphicFramePr/>
                <a:graphic xmlns:a="http://schemas.openxmlformats.org/drawingml/2006/main">
                  <a:graphicData uri="http://schemas.microsoft.com/office/word/2010/wordprocessingShape">
                    <wps:wsp>
                      <wps:cNvSpPr/>
                      <wps:spPr>
                        <a:xfrm>
                          <a:off x="0" y="0"/>
                          <a:ext cx="914400" cy="440055"/>
                        </a:xfrm>
                        <a:prstGeom prst="rect">
                          <a:avLst/>
                        </a:prstGeom>
                        <a:ln>
                          <a:noFill/>
                        </a:ln>
                      </wps:spPr>
                      <wps:style>
                        <a:lnRef idx="2">
                          <a:schemeClr val="accent1"/>
                        </a:lnRef>
                        <a:fillRef idx="0">
                          <a:srgbClr val="FFFFFF"/>
                        </a:fillRef>
                        <a:effectRef idx="0">
                          <a:srgbClr val="FFFFFF"/>
                        </a:effectRef>
                        <a:fontRef idx="minor">
                          <a:schemeClr val="dk1"/>
                        </a:fontRef>
                      </wps:style>
                      <wps:txbx>
                        <w:txbxContent>
                          <w:p w14:paraId="436B9471">
                            <w:pPr>
                              <w:jc w:val="center"/>
                              <w:rPr>
                                <w:rFonts w:hint="default" w:eastAsia="等线"/>
                                <w:b/>
                                <w:bCs/>
                                <w:color w:val="FFFF00"/>
                                <w:lang w:val="en-US" w:eastAsia="zh-CN"/>
                              </w:rPr>
                            </w:pPr>
                            <w:r>
                              <w:rPr>
                                <w:rFonts w:hint="eastAsia"/>
                                <w:b/>
                                <w:bCs/>
                                <w:color w:val="FFFF00"/>
                                <w:lang w:val="en-US" w:eastAsia="zh-CN"/>
                              </w:rPr>
                              <w:t>南韩村</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68.7pt;margin-top:166pt;height:34.65pt;width:72pt;z-index:251698176;v-text-anchor:middle;mso-width-relative:page;mso-height-relative:page;" filled="f" stroked="f" coordsize="21600,21600" o:gfxdata="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JmX&#10;/STZAAAADAEAAA8AAAAAAAAAAQAgAAAAIgAAAGRycy9kb3ducmV2LnhtbFBLAQIUABQAAAAIAIdO&#10;4kBEnt5jWwIAAK4EAAAOAAAAAAAAAAEAIAAAACgBAABkcnMvZTJvRG9jLnhtbFBLBQYAAAAABgAG&#10;AFkBAAD1BQAAAAA=&#10;">
                <v:fill on="f" focussize="0,0"/>
                <v:stroke on="f" weight="1pt" miterlimit="8" joinstyle="miter"/>
                <v:imagedata o:title=""/>
                <o:lock v:ext="edit" aspectratio="f"/>
                <v:textbox>
                  <w:txbxContent>
                    <w:p w14:paraId="436B9471">
                      <w:pPr>
                        <w:jc w:val="center"/>
                        <w:rPr>
                          <w:rFonts w:hint="default" w:eastAsia="等线"/>
                          <w:b/>
                          <w:bCs/>
                          <w:color w:val="FFFF00"/>
                          <w:lang w:val="en-US" w:eastAsia="zh-CN"/>
                        </w:rPr>
                      </w:pPr>
                      <w:r>
                        <w:rPr>
                          <w:rFonts w:hint="eastAsia"/>
                          <w:b/>
                          <w:bCs/>
                          <w:color w:val="FFFF00"/>
                          <w:lang w:val="en-US" w:eastAsia="zh-CN"/>
                        </w:rPr>
                        <w:t>南韩村</w:t>
                      </w:r>
                    </w:p>
                  </w:txbxContent>
                </v:textbox>
              </v:rect>
            </w:pict>
          </mc:Fallback>
        </mc:AlternateContent>
      </w:r>
      <w:r>
        <w:rPr>
          <w:color w:val="auto"/>
          <w:sz w:val="24"/>
        </w:rPr>
        <mc:AlternateContent>
          <mc:Choice Requires="wps">
            <w:drawing>
              <wp:anchor distT="0" distB="0" distL="114300" distR="114300" simplePos="0" relativeHeight="251696128" behindDoc="0" locked="0" layoutInCell="1" allowOverlap="1">
                <wp:simplePos x="0" y="0"/>
                <wp:positionH relativeFrom="column">
                  <wp:posOffset>5062220</wp:posOffset>
                </wp:positionH>
                <wp:positionV relativeFrom="paragraph">
                  <wp:posOffset>1779905</wp:posOffset>
                </wp:positionV>
                <wp:extent cx="914400" cy="440055"/>
                <wp:effectExtent l="0" t="0" r="0" b="0"/>
                <wp:wrapNone/>
                <wp:docPr id="32" name="矩形 32"/>
                <wp:cNvGraphicFramePr/>
                <a:graphic xmlns:a="http://schemas.openxmlformats.org/drawingml/2006/main">
                  <a:graphicData uri="http://schemas.microsoft.com/office/word/2010/wordprocessingShape">
                    <wps:wsp>
                      <wps:cNvSpPr/>
                      <wps:spPr>
                        <a:xfrm>
                          <a:off x="0" y="0"/>
                          <a:ext cx="914400" cy="440055"/>
                        </a:xfrm>
                        <a:prstGeom prst="rect">
                          <a:avLst/>
                        </a:prstGeom>
                        <a:ln>
                          <a:noFill/>
                        </a:ln>
                      </wps:spPr>
                      <wps:style>
                        <a:lnRef idx="2">
                          <a:schemeClr val="accent1"/>
                        </a:lnRef>
                        <a:fillRef idx="0">
                          <a:srgbClr val="FFFFFF"/>
                        </a:fillRef>
                        <a:effectRef idx="0">
                          <a:srgbClr val="FFFFFF"/>
                        </a:effectRef>
                        <a:fontRef idx="minor">
                          <a:schemeClr val="dk1"/>
                        </a:fontRef>
                      </wps:style>
                      <wps:txbx>
                        <w:txbxContent>
                          <w:p w14:paraId="6CABB332">
                            <w:pPr>
                              <w:jc w:val="center"/>
                              <w:rPr>
                                <w:rFonts w:hint="default" w:eastAsia="等线"/>
                                <w:b/>
                                <w:bCs/>
                                <w:color w:val="FFFF00"/>
                                <w:lang w:val="en-US" w:eastAsia="zh-CN"/>
                              </w:rPr>
                            </w:pPr>
                            <w:r>
                              <w:rPr>
                                <w:rFonts w:hint="eastAsia"/>
                                <w:b/>
                                <w:bCs/>
                                <w:color w:val="FFFF00"/>
                                <w:lang w:val="en-US" w:eastAsia="zh-CN"/>
                              </w:rPr>
                              <w:t>南韩学校</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98.6pt;margin-top:140.15pt;height:34.65pt;width:72pt;z-index:251696128;v-text-anchor:middle;mso-width-relative:page;mso-height-relative:page;" filled="f" stroked="f" coordsize="21600,21600" o:gfxdata="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C7&#10;I5ZC2gAAAAsBAAAPAAAAAAAAAAEAIAAAACIAAABkcnMvZG93bnJldi54bWxQSwECFAAUAAAACACH&#10;TuJA0tV0dlsCAACuBAAADgAAAAAAAAABACAAAAApAQAAZHJzL2Uyb0RvYy54bWxQSwUGAAAAAAYA&#10;BgBZAQAA9gUAAAAA&#10;">
                <v:fill on="f" focussize="0,0"/>
                <v:stroke on="f" weight="1pt" miterlimit="8" joinstyle="miter"/>
                <v:imagedata o:title=""/>
                <o:lock v:ext="edit" aspectratio="f"/>
                <v:textbox>
                  <w:txbxContent>
                    <w:p w14:paraId="6CABB332">
                      <w:pPr>
                        <w:jc w:val="center"/>
                        <w:rPr>
                          <w:rFonts w:hint="default" w:eastAsia="等线"/>
                          <w:b/>
                          <w:bCs/>
                          <w:color w:val="FFFF00"/>
                          <w:lang w:val="en-US" w:eastAsia="zh-CN"/>
                        </w:rPr>
                      </w:pPr>
                      <w:r>
                        <w:rPr>
                          <w:rFonts w:hint="eastAsia"/>
                          <w:b/>
                          <w:bCs/>
                          <w:color w:val="FFFF00"/>
                          <w:lang w:val="en-US" w:eastAsia="zh-CN"/>
                        </w:rPr>
                        <w:t>南韩学校</w:t>
                      </w:r>
                    </w:p>
                  </w:txbxContent>
                </v:textbox>
              </v:rect>
            </w:pict>
          </mc:Fallback>
        </mc:AlternateContent>
      </w:r>
      <w:r>
        <w:rPr>
          <w:color w:val="auto"/>
          <w:sz w:val="24"/>
        </w:rPr>
        <mc:AlternateContent>
          <mc:Choice Requires="wps">
            <w:drawing>
              <wp:anchor distT="0" distB="0" distL="114300" distR="114300" simplePos="0" relativeHeight="251699200" behindDoc="0" locked="0" layoutInCell="1" allowOverlap="1">
                <wp:simplePos x="0" y="0"/>
                <wp:positionH relativeFrom="column">
                  <wp:posOffset>4355465</wp:posOffset>
                </wp:positionH>
                <wp:positionV relativeFrom="paragraph">
                  <wp:posOffset>1311275</wp:posOffset>
                </wp:positionV>
                <wp:extent cx="914400" cy="440055"/>
                <wp:effectExtent l="0" t="0" r="0" b="0"/>
                <wp:wrapNone/>
                <wp:docPr id="63" name="矩形 63"/>
                <wp:cNvGraphicFramePr/>
                <a:graphic xmlns:a="http://schemas.openxmlformats.org/drawingml/2006/main">
                  <a:graphicData uri="http://schemas.microsoft.com/office/word/2010/wordprocessingShape">
                    <wps:wsp>
                      <wps:cNvSpPr/>
                      <wps:spPr>
                        <a:xfrm>
                          <a:off x="0" y="0"/>
                          <a:ext cx="914400" cy="440055"/>
                        </a:xfrm>
                        <a:prstGeom prst="rect">
                          <a:avLst/>
                        </a:prstGeom>
                        <a:ln>
                          <a:noFill/>
                        </a:ln>
                      </wps:spPr>
                      <wps:style>
                        <a:lnRef idx="2">
                          <a:schemeClr val="accent1"/>
                        </a:lnRef>
                        <a:fillRef idx="0">
                          <a:srgbClr val="FFFFFF"/>
                        </a:fillRef>
                        <a:effectRef idx="0">
                          <a:srgbClr val="FFFFFF"/>
                        </a:effectRef>
                        <a:fontRef idx="minor">
                          <a:schemeClr val="dk1"/>
                        </a:fontRef>
                      </wps:style>
                      <wps:txbx>
                        <w:txbxContent>
                          <w:p w14:paraId="60F0F8C9">
                            <w:pPr>
                              <w:jc w:val="center"/>
                              <w:rPr>
                                <w:rFonts w:hint="default" w:eastAsia="等线"/>
                                <w:b/>
                                <w:bCs/>
                                <w:color w:val="FFFF00"/>
                                <w:lang w:val="en-US" w:eastAsia="zh-CN"/>
                              </w:rPr>
                            </w:pPr>
                            <w:r>
                              <w:rPr>
                                <w:rFonts w:hint="eastAsia"/>
                                <w:b/>
                                <w:bCs/>
                                <w:color w:val="FFFF00"/>
                                <w:lang w:val="en-US" w:eastAsia="zh-CN"/>
                              </w:rPr>
                              <w:t>310m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42.95pt;margin-top:103.25pt;height:34.65pt;width:72pt;z-index:251699200;v-text-anchor:middle;mso-width-relative:page;mso-height-relative:page;" filled="f" stroked="f" coordsize="21600,21600" o:gfxdata="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RubF&#10;0dgAAAALAQAADwAAAAAAAAABACAAAAAiAAAAZHJzL2Rvd25yZXYueG1sUEsBAhQAFAAAAAgAh07i&#10;QMLXKlJbAgAArgQAAA4AAAAAAAAAAQAgAAAAJwEAAGRycy9lMm9Eb2MueG1sUEsFBgAAAAAGAAYA&#10;WQEAAPQFAAAAAA==&#10;">
                <v:fill on="f" focussize="0,0"/>
                <v:stroke on="f" weight="1pt" miterlimit="8" joinstyle="miter"/>
                <v:imagedata o:title=""/>
                <o:lock v:ext="edit" aspectratio="f"/>
                <v:textbox>
                  <w:txbxContent>
                    <w:p w14:paraId="60F0F8C9">
                      <w:pPr>
                        <w:jc w:val="center"/>
                        <w:rPr>
                          <w:rFonts w:hint="default" w:eastAsia="等线"/>
                          <w:b/>
                          <w:bCs/>
                          <w:color w:val="FFFF00"/>
                          <w:lang w:val="en-US" w:eastAsia="zh-CN"/>
                        </w:rPr>
                      </w:pPr>
                      <w:r>
                        <w:rPr>
                          <w:rFonts w:hint="eastAsia"/>
                          <w:b/>
                          <w:bCs/>
                          <w:color w:val="FFFF00"/>
                          <w:lang w:val="en-US" w:eastAsia="zh-CN"/>
                        </w:rPr>
                        <w:t>310m</w:t>
                      </w:r>
                    </w:p>
                  </w:txbxContent>
                </v:textbox>
              </v:rect>
            </w:pict>
          </mc:Fallback>
        </mc:AlternateContent>
      </w:r>
      <w:r>
        <w:rPr>
          <w:color w:val="auto"/>
          <w:sz w:val="24"/>
        </w:rPr>
        <mc:AlternateContent>
          <mc:Choice Requires="wps">
            <w:drawing>
              <wp:anchor distT="0" distB="0" distL="114300" distR="114300" simplePos="0" relativeHeight="251676672" behindDoc="0" locked="0" layoutInCell="1" allowOverlap="1">
                <wp:simplePos x="0" y="0"/>
                <wp:positionH relativeFrom="column">
                  <wp:posOffset>4177030</wp:posOffset>
                </wp:positionH>
                <wp:positionV relativeFrom="paragraph">
                  <wp:posOffset>1461770</wp:posOffset>
                </wp:positionV>
                <wp:extent cx="1085850" cy="294005"/>
                <wp:effectExtent l="0" t="26035" r="0" b="41910"/>
                <wp:wrapNone/>
                <wp:docPr id="33" name="直接箭头连接符 33"/>
                <wp:cNvGraphicFramePr/>
                <a:graphic xmlns:a="http://schemas.openxmlformats.org/drawingml/2006/main">
                  <a:graphicData uri="http://schemas.microsoft.com/office/word/2010/wordprocessingShape">
                    <wps:wsp>
                      <wps:cNvCnPr/>
                      <wps:spPr>
                        <a:xfrm flipH="1" flipV="1">
                          <a:off x="0" y="0"/>
                          <a:ext cx="1085850" cy="294005"/>
                        </a:xfrm>
                        <a:prstGeom prst="straightConnector1">
                          <a:avLst/>
                        </a:prstGeom>
                        <a:ln>
                          <a:solidFill>
                            <a:srgbClr val="FFFF00"/>
                          </a:solidFill>
                          <a:headEnd type="arrow"/>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328.9pt;margin-top:115.1pt;height:23.15pt;width:85.5pt;z-index:251676672;mso-width-relative:page;mso-height-relative:page;" filled="f" stroked="t" coordsize="21600,21600" o:gfxdata="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CLKpBZ2AAA&#10;AAsBAAAPAAAAAAAAAAEAIAAAACIAAABkcnMvZG93bnJldi54bWxQSwECFAAUAAAACACHTuJAPeEh&#10;UB4CAAATBAAADgAAAAAAAAABACAAAAAnAQAAZHJzL2Uyb0RvYy54bWxQSwUGAAAAAAYABgBZAQAA&#10;twUAAAAA&#10;">
                <v:fill on="f" focussize="0,0"/>
                <v:stroke weight="1pt" color="#FFFF00 [3204]" miterlimit="8" joinstyle="miter" startarrow="open" endarrow="open"/>
                <v:imagedata o:title=""/>
                <o:lock v:ext="edit" aspectratio="f"/>
              </v:shape>
            </w:pict>
          </mc:Fallback>
        </mc:AlternateContent>
      </w:r>
      <w:r>
        <w:rPr>
          <w:color w:val="auto"/>
          <w:sz w:val="24"/>
        </w:rPr>
        <mc:AlternateContent>
          <mc:Choice Requires="wps">
            <w:drawing>
              <wp:anchor distT="0" distB="0" distL="114300" distR="114300" simplePos="0" relativeHeight="251700224" behindDoc="0" locked="0" layoutInCell="1" allowOverlap="1">
                <wp:simplePos x="0" y="0"/>
                <wp:positionH relativeFrom="column">
                  <wp:posOffset>4228465</wp:posOffset>
                </wp:positionH>
                <wp:positionV relativeFrom="paragraph">
                  <wp:posOffset>1788795</wp:posOffset>
                </wp:positionV>
                <wp:extent cx="914400" cy="440055"/>
                <wp:effectExtent l="0" t="0" r="0" b="0"/>
                <wp:wrapNone/>
                <wp:docPr id="64" name="矩形 64"/>
                <wp:cNvGraphicFramePr/>
                <a:graphic xmlns:a="http://schemas.openxmlformats.org/drawingml/2006/main">
                  <a:graphicData uri="http://schemas.microsoft.com/office/word/2010/wordprocessingShape">
                    <wps:wsp>
                      <wps:cNvSpPr/>
                      <wps:spPr>
                        <a:xfrm>
                          <a:off x="0" y="0"/>
                          <a:ext cx="914400" cy="440055"/>
                        </a:xfrm>
                        <a:prstGeom prst="rect">
                          <a:avLst/>
                        </a:prstGeom>
                        <a:ln>
                          <a:noFill/>
                        </a:ln>
                      </wps:spPr>
                      <wps:style>
                        <a:lnRef idx="2">
                          <a:schemeClr val="accent1"/>
                        </a:lnRef>
                        <a:fillRef idx="0">
                          <a:srgbClr val="FFFFFF"/>
                        </a:fillRef>
                        <a:effectRef idx="0">
                          <a:srgbClr val="FFFFFF"/>
                        </a:effectRef>
                        <a:fontRef idx="minor">
                          <a:schemeClr val="dk1"/>
                        </a:fontRef>
                      </wps:style>
                      <wps:txbx>
                        <w:txbxContent>
                          <w:p w14:paraId="6E666245">
                            <w:pPr>
                              <w:jc w:val="center"/>
                              <w:rPr>
                                <w:rFonts w:hint="default" w:eastAsia="等线"/>
                                <w:b/>
                                <w:bCs/>
                                <w:color w:val="FFFF00"/>
                                <w:lang w:val="en-US" w:eastAsia="zh-CN"/>
                              </w:rPr>
                            </w:pPr>
                            <w:r>
                              <w:rPr>
                                <w:rFonts w:hint="eastAsia"/>
                                <w:b/>
                                <w:bCs/>
                                <w:color w:val="FFFF00"/>
                                <w:lang w:val="en-US" w:eastAsia="zh-CN"/>
                              </w:rPr>
                              <w:t>460m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32.95pt;margin-top:140.85pt;height:34.65pt;width:72pt;z-index:251700224;v-text-anchor:middle;mso-width-relative:page;mso-height-relative:page;" filled="f" stroked="f" coordsize="21600,21600" o:gfxdata="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IY7&#10;7HPZAAAACwEAAA8AAAAAAAAAAQAgAAAAIgAAAGRycy9kb3ducmV2LnhtbFBLAQIUABQAAAAIAIdO&#10;4kBF2pfKWwIAAK4EAAAOAAAAAAAAAAEAIAAAACgBAABkcnMvZTJvRG9jLnhtbFBLBQYAAAAABgAG&#10;AFkBAAD1BQAAAAA=&#10;">
                <v:fill on="f" focussize="0,0"/>
                <v:stroke on="f" weight="1pt" miterlimit="8" joinstyle="miter"/>
                <v:imagedata o:title=""/>
                <o:lock v:ext="edit" aspectratio="f"/>
                <v:textbox>
                  <w:txbxContent>
                    <w:p w14:paraId="6E666245">
                      <w:pPr>
                        <w:jc w:val="center"/>
                        <w:rPr>
                          <w:rFonts w:hint="default" w:eastAsia="等线"/>
                          <w:b/>
                          <w:bCs/>
                          <w:color w:val="FFFF00"/>
                          <w:lang w:val="en-US" w:eastAsia="zh-CN"/>
                        </w:rPr>
                      </w:pPr>
                      <w:r>
                        <w:rPr>
                          <w:rFonts w:hint="eastAsia"/>
                          <w:b/>
                          <w:bCs/>
                          <w:color w:val="FFFF00"/>
                          <w:lang w:val="en-US" w:eastAsia="zh-CN"/>
                        </w:rPr>
                        <w:t>460m</w:t>
                      </w:r>
                    </w:p>
                  </w:txbxContent>
                </v:textbox>
              </v:rect>
            </w:pict>
          </mc:Fallback>
        </mc:AlternateContent>
      </w:r>
      <w:r>
        <w:rPr>
          <w:color w:val="auto"/>
          <w:sz w:val="24"/>
        </w:rPr>
        <mc:AlternateContent>
          <mc:Choice Requires="wps">
            <w:drawing>
              <wp:anchor distT="0" distB="0" distL="114300" distR="114300" simplePos="0" relativeHeight="251697152" behindDoc="0" locked="0" layoutInCell="1" allowOverlap="1">
                <wp:simplePos x="0" y="0"/>
                <wp:positionH relativeFrom="column">
                  <wp:posOffset>4162425</wp:posOffset>
                </wp:positionH>
                <wp:positionV relativeFrom="paragraph">
                  <wp:posOffset>1466215</wp:posOffset>
                </wp:positionV>
                <wp:extent cx="1167130" cy="812800"/>
                <wp:effectExtent l="0" t="0" r="13970" b="6350"/>
                <wp:wrapNone/>
                <wp:docPr id="34" name="直接箭头连接符 34"/>
                <wp:cNvGraphicFramePr/>
                <a:graphic xmlns:a="http://schemas.openxmlformats.org/drawingml/2006/main">
                  <a:graphicData uri="http://schemas.microsoft.com/office/word/2010/wordprocessingShape">
                    <wps:wsp>
                      <wps:cNvCnPr/>
                      <wps:spPr>
                        <a:xfrm flipH="1" flipV="1">
                          <a:off x="0" y="0"/>
                          <a:ext cx="1167130" cy="812800"/>
                        </a:xfrm>
                        <a:prstGeom prst="straightConnector1">
                          <a:avLst/>
                        </a:prstGeom>
                        <a:ln>
                          <a:solidFill>
                            <a:srgbClr val="FFFF00"/>
                          </a:solidFill>
                          <a:headEnd type="arrow"/>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327.75pt;margin-top:115.45pt;height:64pt;width:91.9pt;z-index:251697152;mso-width-relative:page;mso-height-relative:page;" filled="f" stroked="t" coordsize="21600,21600" o:gfxdata="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IVmXkTZAAAA&#10;CwEAAA8AAAAAAAAAAQAgAAAAIgAAAGRycy9kb3ducmV2LnhtbFBLAQIUABQAAAAIAIdO4kA0YeMA&#10;HAIAABMEAAAOAAAAAAAAAAEAIAAAACgBAABkcnMvZTJvRG9jLnhtbFBLBQYAAAAABgAGAFkBAAC2&#10;BQAAAAA=&#10;">
                <v:fill on="f" focussize="0,0"/>
                <v:stroke weight="1pt" color="#FFFF00 [3204]" miterlimit="8" joinstyle="miter" startarrow="open" endarrow="open"/>
                <v:imagedata o:title=""/>
                <o:lock v:ext="edit" aspectratio="f"/>
              </v:shape>
            </w:pict>
          </mc:Fallback>
        </mc:AlternateContent>
      </w:r>
      <w:r>
        <w:rPr>
          <w:color w:val="auto"/>
          <w:sz w:val="24"/>
        </w:rPr>
        <mc:AlternateContent>
          <mc:Choice Requires="wps">
            <w:drawing>
              <wp:anchor distT="0" distB="0" distL="114300" distR="114300" simplePos="0" relativeHeight="251670528" behindDoc="0" locked="0" layoutInCell="1" allowOverlap="1">
                <wp:simplePos x="0" y="0"/>
                <wp:positionH relativeFrom="column">
                  <wp:posOffset>3034665</wp:posOffset>
                </wp:positionH>
                <wp:positionV relativeFrom="paragraph">
                  <wp:posOffset>815975</wp:posOffset>
                </wp:positionV>
                <wp:extent cx="914400" cy="440055"/>
                <wp:effectExtent l="0" t="0" r="0" b="0"/>
                <wp:wrapNone/>
                <wp:docPr id="38" name="矩形 38"/>
                <wp:cNvGraphicFramePr/>
                <a:graphic xmlns:a="http://schemas.openxmlformats.org/drawingml/2006/main">
                  <a:graphicData uri="http://schemas.microsoft.com/office/word/2010/wordprocessingShape">
                    <wps:wsp>
                      <wps:cNvSpPr/>
                      <wps:spPr>
                        <a:xfrm>
                          <a:off x="0" y="0"/>
                          <a:ext cx="914400" cy="440055"/>
                        </a:xfrm>
                        <a:prstGeom prst="rect">
                          <a:avLst/>
                        </a:prstGeom>
                        <a:ln>
                          <a:noFill/>
                        </a:ln>
                      </wps:spPr>
                      <wps:style>
                        <a:lnRef idx="2">
                          <a:schemeClr val="accent1"/>
                        </a:lnRef>
                        <a:fillRef idx="0">
                          <a:srgbClr val="FFFFFF"/>
                        </a:fillRef>
                        <a:effectRef idx="0">
                          <a:srgbClr val="FFFFFF"/>
                        </a:effectRef>
                        <a:fontRef idx="minor">
                          <a:schemeClr val="dk1"/>
                        </a:fontRef>
                      </wps:style>
                      <wps:txbx>
                        <w:txbxContent>
                          <w:p w14:paraId="494C008A">
                            <w:pPr>
                              <w:jc w:val="center"/>
                              <w:rPr>
                                <w:rFonts w:hint="default" w:eastAsia="等线"/>
                                <w:b/>
                                <w:bCs/>
                                <w:color w:val="FFFF00"/>
                                <w:lang w:val="en-US" w:eastAsia="zh-CN"/>
                              </w:rPr>
                            </w:pPr>
                            <w:r>
                              <w:rPr>
                                <w:rFonts w:hint="eastAsia"/>
                                <w:b/>
                                <w:bCs/>
                                <w:color w:val="FFFF00"/>
                                <w:lang w:val="en-US" w:eastAsia="zh-CN"/>
                              </w:rPr>
                              <w:t>320m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38.95pt;margin-top:64.25pt;height:34.65pt;width:72pt;z-index:251670528;v-text-anchor:middle;mso-width-relative:page;mso-height-relative:page;" filled="f" stroked="f" coordsize="21600,21600" o:gfxdata="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BsNcgE&#10;2AAAAAsBAAAPAAAAAAAAAAEAIAAAACIAAABkcnMvZG93bnJldi54bWxQSwECFAAUAAAACACHTuJA&#10;tKwFnloCAACuBAAADgAAAAAAAAABACAAAAAnAQAAZHJzL2Uyb0RvYy54bWxQSwUGAAAAAAYABgBZ&#10;AQAA8wUAAAAA&#10;">
                <v:fill on="f" focussize="0,0"/>
                <v:stroke on="f" weight="1pt" miterlimit="8" joinstyle="miter"/>
                <v:imagedata o:title=""/>
                <o:lock v:ext="edit" aspectratio="f"/>
                <v:textbox>
                  <w:txbxContent>
                    <w:p w14:paraId="494C008A">
                      <w:pPr>
                        <w:jc w:val="center"/>
                        <w:rPr>
                          <w:rFonts w:hint="default" w:eastAsia="等线"/>
                          <w:b/>
                          <w:bCs/>
                          <w:color w:val="FFFF00"/>
                          <w:lang w:val="en-US" w:eastAsia="zh-CN"/>
                        </w:rPr>
                      </w:pPr>
                      <w:r>
                        <w:rPr>
                          <w:rFonts w:hint="eastAsia"/>
                          <w:b/>
                          <w:bCs/>
                          <w:color w:val="FFFF00"/>
                          <w:lang w:val="en-US" w:eastAsia="zh-CN"/>
                        </w:rPr>
                        <w:t>320m</w:t>
                      </w:r>
                    </w:p>
                  </w:txbxContent>
                </v:textbox>
              </v:rect>
            </w:pict>
          </mc:Fallback>
        </mc:AlternateContent>
      </w:r>
      <w:r>
        <w:rPr>
          <w:color w:val="auto"/>
          <w:sz w:val="24"/>
        </w:rPr>
        <mc:AlternateContent>
          <mc:Choice Requires="wps">
            <w:drawing>
              <wp:anchor distT="0" distB="0" distL="114300" distR="114300" simplePos="0" relativeHeight="251674624" behindDoc="0" locked="0" layoutInCell="1" allowOverlap="1">
                <wp:simplePos x="0" y="0"/>
                <wp:positionH relativeFrom="column">
                  <wp:posOffset>3001010</wp:posOffset>
                </wp:positionH>
                <wp:positionV relativeFrom="paragraph">
                  <wp:posOffset>976630</wp:posOffset>
                </wp:positionV>
                <wp:extent cx="1056005" cy="382905"/>
                <wp:effectExtent l="0" t="17780" r="10795" b="18415"/>
                <wp:wrapNone/>
                <wp:docPr id="83" name="直接箭头连接符 83"/>
                <wp:cNvGraphicFramePr/>
                <a:graphic xmlns:a="http://schemas.openxmlformats.org/drawingml/2006/main">
                  <a:graphicData uri="http://schemas.microsoft.com/office/word/2010/wordprocessingShape">
                    <wps:wsp>
                      <wps:cNvCnPr/>
                      <wps:spPr>
                        <a:xfrm flipH="1" flipV="1">
                          <a:off x="0" y="0"/>
                          <a:ext cx="1056005" cy="382905"/>
                        </a:xfrm>
                        <a:prstGeom prst="straightConnector1">
                          <a:avLst/>
                        </a:prstGeom>
                        <a:ln>
                          <a:solidFill>
                            <a:srgbClr val="FFFF00"/>
                          </a:solidFill>
                          <a:headEnd type="arrow"/>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236.3pt;margin-top:76.9pt;height:30.15pt;width:83.15pt;z-index:251674624;mso-width-relative:page;mso-height-relative:page;" filled="f" stroked="t" coordsize="21600,21600" o:gfxdata="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BfWrHH2AAA&#10;AAsBAAAPAAAAAAAAAAEAIAAAACIAAABkcnMvZG93bnJldi54bWxQSwECFAAUAAAACACHTuJAQbNc&#10;Xx4CAAATBAAADgAAAAAAAAABACAAAAAnAQAAZHJzL2Uyb0RvYy54bWxQSwUGAAAAAAYABgBZAQAA&#10;twUAAAAA&#10;">
                <v:fill on="f" focussize="0,0"/>
                <v:stroke weight="1pt" color="#FFFF00 [3204]" miterlimit="8" joinstyle="miter" startarrow="open" endarrow="open"/>
                <v:imagedata o:title=""/>
                <o:lock v:ext="edit" aspectratio="f"/>
              </v:shape>
            </w:pict>
          </mc:Fallback>
        </mc:AlternateContent>
      </w:r>
      <w:r>
        <w:rPr>
          <w:color w:val="auto"/>
          <w:sz w:val="24"/>
        </w:rPr>
        <mc:AlternateContent>
          <mc:Choice Requires="wps">
            <w:drawing>
              <wp:anchor distT="0" distB="0" distL="114300" distR="114300" simplePos="0" relativeHeight="251665408" behindDoc="0" locked="0" layoutInCell="1" allowOverlap="1">
                <wp:simplePos x="0" y="0"/>
                <wp:positionH relativeFrom="column">
                  <wp:posOffset>2774950</wp:posOffset>
                </wp:positionH>
                <wp:positionV relativeFrom="paragraph">
                  <wp:posOffset>1666875</wp:posOffset>
                </wp:positionV>
                <wp:extent cx="914400" cy="440055"/>
                <wp:effectExtent l="0" t="0" r="0" b="0"/>
                <wp:wrapNone/>
                <wp:docPr id="36" name="矩形 36"/>
                <wp:cNvGraphicFramePr/>
                <a:graphic xmlns:a="http://schemas.openxmlformats.org/drawingml/2006/main">
                  <a:graphicData uri="http://schemas.microsoft.com/office/word/2010/wordprocessingShape">
                    <wps:wsp>
                      <wps:cNvSpPr/>
                      <wps:spPr>
                        <a:xfrm>
                          <a:off x="5998210" y="2823210"/>
                          <a:ext cx="914400" cy="440055"/>
                        </a:xfrm>
                        <a:prstGeom prst="rect">
                          <a:avLst/>
                        </a:prstGeom>
                        <a:ln>
                          <a:noFill/>
                        </a:ln>
                      </wps:spPr>
                      <wps:style>
                        <a:lnRef idx="2">
                          <a:schemeClr val="accent1"/>
                        </a:lnRef>
                        <a:fillRef idx="0">
                          <a:srgbClr val="FFFFFF"/>
                        </a:fillRef>
                        <a:effectRef idx="0">
                          <a:srgbClr val="FFFFFF"/>
                        </a:effectRef>
                        <a:fontRef idx="minor">
                          <a:schemeClr val="dk1"/>
                        </a:fontRef>
                      </wps:style>
                      <wps:txbx>
                        <w:txbxContent>
                          <w:p w14:paraId="69D59328">
                            <w:pPr>
                              <w:jc w:val="center"/>
                              <w:rPr>
                                <w:rFonts w:hint="default" w:eastAsia="等线"/>
                                <w:b/>
                                <w:bCs/>
                                <w:color w:val="FF0000"/>
                                <w:lang w:val="en-US" w:eastAsia="zh-CN"/>
                              </w:rPr>
                            </w:pPr>
                            <w:r>
                              <w:rPr>
                                <w:rFonts w:hint="eastAsia"/>
                                <w:b/>
                                <w:bCs/>
                                <w:color w:val="FF0000"/>
                                <w:lang w:val="en-US" w:eastAsia="zh-CN"/>
                              </w:rPr>
                              <w:t>500m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8.5pt;margin-top:131.25pt;height:34.65pt;width:72pt;z-index:251665408;v-text-anchor:middle;mso-width-relative:page;mso-height-relative:page;" filled="f" stroked="f" coordsize="21600,21600" o:gfxdata="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CL6QE3aAAAACwEAAA8AAAAAAAAAAQAgAAAAIgAAAGRycy9kb3ducmV2LnhtbFBL&#10;AQIUABQAAAAIAIdO4kC/m9JWZgIAALoEAAAOAAAAAAAAAAEAIAAAACkBAABkcnMvZTJvRG9jLnht&#10;bFBLBQYAAAAABgAGAFkBAAABBgAAAAA=&#10;">
                <v:fill on="f" focussize="0,0"/>
                <v:stroke on="f" weight="1pt" miterlimit="8" joinstyle="miter"/>
                <v:imagedata o:title=""/>
                <o:lock v:ext="edit" aspectratio="f"/>
                <v:textbox>
                  <w:txbxContent>
                    <w:p w14:paraId="69D59328">
                      <w:pPr>
                        <w:jc w:val="center"/>
                        <w:rPr>
                          <w:rFonts w:hint="default" w:eastAsia="等线"/>
                          <w:b/>
                          <w:bCs/>
                          <w:color w:val="FF0000"/>
                          <w:lang w:val="en-US" w:eastAsia="zh-CN"/>
                        </w:rPr>
                      </w:pPr>
                      <w:r>
                        <w:rPr>
                          <w:rFonts w:hint="eastAsia"/>
                          <w:b/>
                          <w:bCs/>
                          <w:color w:val="FF0000"/>
                          <w:lang w:val="en-US" w:eastAsia="zh-CN"/>
                        </w:rPr>
                        <w:t>500m</w:t>
                      </w:r>
                    </w:p>
                  </w:txbxContent>
                </v:textbox>
              </v:rect>
            </w:pict>
          </mc:Fallback>
        </mc:AlternateContent>
      </w:r>
      <w:r>
        <w:rPr>
          <w:color w:val="auto"/>
          <w:sz w:val="24"/>
        </w:rPr>
        <mc:AlternateContent>
          <mc:Choice Requires="wps">
            <w:drawing>
              <wp:anchor distT="0" distB="0" distL="114300" distR="114300" simplePos="0" relativeHeight="251666432" behindDoc="0" locked="0" layoutInCell="1" allowOverlap="1">
                <wp:simplePos x="0" y="0"/>
                <wp:positionH relativeFrom="column">
                  <wp:posOffset>2677160</wp:posOffset>
                </wp:positionH>
                <wp:positionV relativeFrom="paragraph">
                  <wp:posOffset>1446530</wp:posOffset>
                </wp:positionV>
                <wp:extent cx="1399540" cy="980440"/>
                <wp:effectExtent l="0" t="0" r="10160" b="10160"/>
                <wp:wrapNone/>
                <wp:docPr id="37" name="直接箭头连接符 37"/>
                <wp:cNvGraphicFramePr/>
                <a:graphic xmlns:a="http://schemas.openxmlformats.org/drawingml/2006/main">
                  <a:graphicData uri="http://schemas.microsoft.com/office/word/2010/wordprocessingShape">
                    <wps:wsp>
                      <wps:cNvCnPr/>
                      <wps:spPr>
                        <a:xfrm flipV="1">
                          <a:off x="0" y="0"/>
                          <a:ext cx="1399540" cy="980440"/>
                        </a:xfrm>
                        <a:prstGeom prst="straightConnector1">
                          <a:avLst/>
                        </a:prstGeom>
                        <a:ln>
                          <a:solidFill>
                            <a:srgbClr val="FF0000"/>
                          </a:solidFill>
                          <a:headEnd type="arrow"/>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210.8pt;margin-top:113.9pt;height:77.2pt;width:110.2pt;z-index:251666432;mso-width-relative:page;mso-height-relative:page;" filled="f" stroked="t" coordsize="21600,21600" o:gfxdata="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k4+9cNkAAAAL&#10;AQAADwAAAAAAAAABACAAAAAiAAAAZHJzL2Rvd25yZXYueG1sUEsBAhQAFAAAAAgAh07iQPlZWEkb&#10;AgAACQQAAA4AAAAAAAAAAQAgAAAAKAEAAGRycy9lMm9Eb2MueG1sUEsFBgAAAAAGAAYAWQEAALUF&#10;AAAAAA==&#10;">
                <v:fill on="f" focussize="0,0"/>
                <v:stroke weight="1pt" color="#FF0000 [3204]" miterlimit="8" joinstyle="miter" startarrow="open" endarrow="open"/>
                <v:imagedata o:title=""/>
                <o:lock v:ext="edit" aspectratio="f"/>
              </v:shape>
            </w:pict>
          </mc:Fallback>
        </mc:AlternateContent>
      </w:r>
      <w:r>
        <w:rPr>
          <w:color w:val="auto"/>
          <w:sz w:val="24"/>
        </w:rPr>
        <mc:AlternateContent>
          <mc:Choice Requires="wps">
            <w:drawing>
              <wp:anchor distT="0" distB="0" distL="114300" distR="114300" simplePos="0" relativeHeight="251675648" behindDoc="0" locked="0" layoutInCell="1" allowOverlap="1">
                <wp:simplePos x="0" y="0"/>
                <wp:positionH relativeFrom="column">
                  <wp:posOffset>2498725</wp:posOffset>
                </wp:positionH>
                <wp:positionV relativeFrom="paragraph">
                  <wp:posOffset>18415</wp:posOffset>
                </wp:positionV>
                <wp:extent cx="914400" cy="440055"/>
                <wp:effectExtent l="0" t="0" r="0" b="0"/>
                <wp:wrapNone/>
                <wp:docPr id="39" name="矩形 39"/>
                <wp:cNvGraphicFramePr/>
                <a:graphic xmlns:a="http://schemas.openxmlformats.org/drawingml/2006/main">
                  <a:graphicData uri="http://schemas.microsoft.com/office/word/2010/wordprocessingShape">
                    <wps:wsp>
                      <wps:cNvSpPr/>
                      <wps:spPr>
                        <a:xfrm>
                          <a:off x="0" y="0"/>
                          <a:ext cx="914400" cy="440055"/>
                        </a:xfrm>
                        <a:prstGeom prst="rect">
                          <a:avLst/>
                        </a:prstGeom>
                        <a:ln>
                          <a:noFill/>
                        </a:ln>
                      </wps:spPr>
                      <wps:style>
                        <a:lnRef idx="2">
                          <a:schemeClr val="accent1"/>
                        </a:lnRef>
                        <a:fillRef idx="0">
                          <a:srgbClr val="FFFFFF"/>
                        </a:fillRef>
                        <a:effectRef idx="0">
                          <a:srgbClr val="FFFFFF"/>
                        </a:effectRef>
                        <a:fontRef idx="minor">
                          <a:schemeClr val="dk1"/>
                        </a:fontRef>
                      </wps:style>
                      <wps:txbx>
                        <w:txbxContent>
                          <w:p w14:paraId="040B1B0E">
                            <w:pPr>
                              <w:jc w:val="center"/>
                              <w:rPr>
                                <w:rFonts w:hint="default" w:eastAsia="等线"/>
                                <w:b/>
                                <w:bCs/>
                                <w:color w:val="FFFF00"/>
                                <w:lang w:val="en-US" w:eastAsia="zh-CN"/>
                              </w:rPr>
                            </w:pPr>
                            <w:r>
                              <w:rPr>
                                <w:rFonts w:hint="eastAsia"/>
                                <w:b/>
                                <w:bCs/>
                                <w:color w:val="FFFF00"/>
                                <w:lang w:val="en-US" w:eastAsia="zh-CN"/>
                              </w:rPr>
                              <w:t>东官村</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96.75pt;margin-top:1.45pt;height:34.65pt;width:72pt;z-index:251675648;v-text-anchor:middle;mso-width-relative:page;mso-height-relative:page;" filled="f" stroked="f" coordsize="21600,21600" o:gfxdata="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D1DKGM&#10;1wAAAAgBAAAPAAAAAAAAAAEAIAAAACIAAABkcnMvZG93bnJldi54bWxQSwECFAAUAAAACACHTuJA&#10;LnRH6FsCAACuBAAADgAAAAAAAAABACAAAAAmAQAAZHJzL2Uyb0RvYy54bWxQSwUGAAAAAAYABgBZ&#10;AQAA8wUAAAAA&#10;">
                <v:fill on="f" focussize="0,0"/>
                <v:stroke on="f" weight="1pt" miterlimit="8" joinstyle="miter"/>
                <v:imagedata o:title=""/>
                <o:lock v:ext="edit" aspectratio="f"/>
                <v:textbox>
                  <w:txbxContent>
                    <w:p w14:paraId="040B1B0E">
                      <w:pPr>
                        <w:jc w:val="center"/>
                        <w:rPr>
                          <w:rFonts w:hint="default" w:eastAsia="等线"/>
                          <w:b/>
                          <w:bCs/>
                          <w:color w:val="FFFF00"/>
                          <w:lang w:val="en-US" w:eastAsia="zh-CN"/>
                        </w:rPr>
                      </w:pPr>
                      <w:r>
                        <w:rPr>
                          <w:rFonts w:hint="eastAsia"/>
                          <w:b/>
                          <w:bCs/>
                          <w:color w:val="FFFF00"/>
                          <w:lang w:val="en-US" w:eastAsia="zh-CN"/>
                        </w:rPr>
                        <w:t>东官村</w:t>
                      </w:r>
                    </w:p>
                  </w:txbxContent>
                </v:textbox>
              </v:rect>
            </w:pict>
          </mc:Fallback>
        </mc:AlternateContent>
      </w:r>
      <w:r>
        <w:rPr>
          <w:color w:val="auto"/>
          <w:sz w:val="24"/>
        </w:rPr>
        <mc:AlternateContent>
          <mc:Choice Requires="wps">
            <w:drawing>
              <wp:anchor distT="0" distB="0" distL="114300" distR="114300" simplePos="0" relativeHeight="251669504" behindDoc="0" locked="0" layoutInCell="1" allowOverlap="1">
                <wp:simplePos x="0" y="0"/>
                <wp:positionH relativeFrom="column">
                  <wp:posOffset>4170045</wp:posOffset>
                </wp:positionH>
                <wp:positionV relativeFrom="paragraph">
                  <wp:posOffset>1305560</wp:posOffset>
                </wp:positionV>
                <wp:extent cx="1177925" cy="64135"/>
                <wp:effectExtent l="0" t="45720" r="3175" b="61595"/>
                <wp:wrapNone/>
                <wp:docPr id="40" name="直接箭头连接符 40"/>
                <wp:cNvGraphicFramePr/>
                <a:graphic xmlns:a="http://schemas.openxmlformats.org/drawingml/2006/main">
                  <a:graphicData uri="http://schemas.microsoft.com/office/word/2010/wordprocessingShape">
                    <wps:wsp>
                      <wps:cNvCnPr/>
                      <wps:spPr>
                        <a:xfrm flipV="1">
                          <a:off x="0" y="0"/>
                          <a:ext cx="1177925" cy="64135"/>
                        </a:xfrm>
                        <a:prstGeom prst="straightConnector1">
                          <a:avLst/>
                        </a:prstGeom>
                        <a:ln>
                          <a:solidFill>
                            <a:srgbClr val="FFFF00"/>
                          </a:solidFill>
                          <a:headEnd type="arrow"/>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328.35pt;margin-top:102.8pt;height:5.05pt;width:92.75pt;z-index:251669504;mso-width-relative:page;mso-height-relative:page;" filled="f" stroked="t" coordsize="21600,21600" o:gfxdata="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AHcjmi2QAAAAsB&#10;AAAPAAAAAAAAAAEAIAAAACIAAABkcnMvZG93bnJldi54bWxQSwECFAAUAAAACACHTuJAr9H+6BoC&#10;AAAIBAAADgAAAAAAAAABACAAAAAoAQAAZHJzL2Uyb0RvYy54bWxQSwUGAAAAAAYABgBZAQAAtAUA&#10;AAAA&#10;">
                <v:fill on="f" focussize="0,0"/>
                <v:stroke weight="1pt" color="#FFFF00 [3204]" miterlimit="8" joinstyle="miter" startarrow="open" endarrow="open"/>
                <v:imagedata o:title=""/>
                <o:lock v:ext="edit" aspectratio="f"/>
              </v:shape>
            </w:pict>
          </mc:Fallback>
        </mc:AlternateContent>
      </w:r>
    </w:p>
    <w:p w14:paraId="477B6F6E">
      <w:pPr>
        <w:pStyle w:val="26"/>
        <w:keepNext w:val="0"/>
        <w:keepLines w:val="0"/>
        <w:pageBreakBefore w:val="0"/>
        <w:widowControl w:val="0"/>
        <w:numPr>
          <w:ilvl w:val="0"/>
          <w:numId w:val="49"/>
        </w:numPr>
        <w:kinsoku/>
        <w:wordWrap/>
        <w:overflowPunct/>
        <w:topLinePunct w:val="0"/>
        <w:autoSpaceDE/>
        <w:autoSpaceDN/>
        <w:bidi w:val="0"/>
        <w:adjustRightInd/>
        <w:snapToGrid/>
        <w:ind w:left="0" w:leftChars="0" w:firstLine="403" w:firstLineChars="0"/>
        <w:textAlignment w:val="auto"/>
        <w:outlineLvl w:val="0"/>
        <w:rPr>
          <w:rFonts w:ascii="Times New Roman" w:hAnsi="Times New Roman" w:eastAsia="宋体" w:cs="Times New Roman"/>
          <w:b/>
          <w:bCs/>
          <w:color w:val="auto"/>
          <w:szCs w:val="24"/>
        </w:rPr>
      </w:pPr>
      <w:r>
        <w:rPr>
          <w:rFonts w:hint="eastAsia" w:ascii="Times New Roman" w:hAnsi="Times New Roman" w:eastAsia="宋体" w:cs="Times New Roman"/>
          <w:b/>
          <w:bCs/>
          <w:color w:val="auto"/>
          <w:szCs w:val="24"/>
          <w:lang w:val="en-US" w:eastAsia="zh-CN"/>
        </w:rPr>
        <w:t>项目周边情况示意图</w:t>
      </w:r>
    </w:p>
    <w:p w14:paraId="59BAC455">
      <w:pPr>
        <w:pStyle w:val="26"/>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eastAsia"/>
          <w:color w:val="auto"/>
          <w:lang w:eastAsia="zh-CN"/>
        </w:rPr>
        <w:sectPr>
          <w:pgSz w:w="16838" w:h="11906" w:orient="landscape"/>
          <w:pgMar w:top="1417" w:right="1417" w:bottom="1417" w:left="1417" w:header="850" w:footer="992" w:gutter="0"/>
          <w:cols w:space="720" w:num="1"/>
          <w:docGrid w:type="lines" w:linePitch="319" w:charSpace="0"/>
        </w:sectPr>
      </w:pPr>
      <w:r>
        <w:rPr>
          <w:color w:val="auto"/>
        </w:rPr>
        <w:drawing>
          <wp:anchor distT="0" distB="0" distL="114300" distR="114300" simplePos="0" relativeHeight="251668480" behindDoc="0" locked="0" layoutInCell="1" allowOverlap="1">
            <wp:simplePos x="0" y="0"/>
            <wp:positionH relativeFrom="column">
              <wp:posOffset>7365365</wp:posOffset>
            </wp:positionH>
            <wp:positionV relativeFrom="paragraph">
              <wp:posOffset>102870</wp:posOffset>
            </wp:positionV>
            <wp:extent cx="834390" cy="838200"/>
            <wp:effectExtent l="9525" t="9525" r="13335" b="9525"/>
            <wp:wrapNone/>
            <wp:docPr id="42" name="图片 42" descr="C:\Users\ADMINI~1\AppData\Local\Temp\ksohtml2840\wp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C:\Users\ADMINI~1\AppData\Local\Temp\ksohtml2840\wps1.jpg"/>
                    <pic:cNvPicPr>
                      <a:picLocks noChangeAspect="1" noChangeArrowheads="1"/>
                    </pic:cNvPicPr>
                  </pic:nvPicPr>
                  <pic:blipFill>
                    <a:blip r:embed="rId78"/>
                    <a:srcRect/>
                    <a:stretch>
                      <a:fillRect/>
                    </a:stretch>
                  </pic:blipFill>
                  <pic:spPr>
                    <a:xfrm>
                      <a:off x="0" y="0"/>
                      <a:ext cx="834390" cy="838200"/>
                    </a:xfrm>
                    <a:prstGeom prst="rect">
                      <a:avLst/>
                    </a:prstGeom>
                    <a:noFill/>
                    <a:ln>
                      <a:solidFill>
                        <a:schemeClr val="tx1"/>
                      </a:solidFill>
                    </a:ln>
                  </pic:spPr>
                </pic:pic>
              </a:graphicData>
            </a:graphic>
          </wp:anchor>
        </w:drawing>
      </w:r>
      <w:r>
        <w:rPr>
          <w:color w:val="auto"/>
          <w:sz w:val="24"/>
        </w:rPr>
        <mc:AlternateContent>
          <mc:Choice Requires="wps">
            <w:drawing>
              <wp:anchor distT="0" distB="0" distL="114300" distR="114300" simplePos="0" relativeHeight="251691008" behindDoc="0" locked="0" layoutInCell="1" allowOverlap="1">
                <wp:simplePos x="0" y="0"/>
                <wp:positionH relativeFrom="column">
                  <wp:posOffset>4091940</wp:posOffset>
                </wp:positionH>
                <wp:positionV relativeFrom="paragraph">
                  <wp:posOffset>2118995</wp:posOffset>
                </wp:positionV>
                <wp:extent cx="1537970" cy="952500"/>
                <wp:effectExtent l="0" t="0" r="0" b="0"/>
                <wp:wrapNone/>
                <wp:docPr id="43" name="矩形 43"/>
                <wp:cNvGraphicFramePr/>
                <a:graphic xmlns:a="http://schemas.openxmlformats.org/drawingml/2006/main">
                  <a:graphicData uri="http://schemas.microsoft.com/office/word/2010/wordprocessingShape">
                    <wps:wsp>
                      <wps:cNvSpPr/>
                      <wps:spPr>
                        <a:xfrm>
                          <a:off x="0" y="0"/>
                          <a:ext cx="1537970" cy="952500"/>
                        </a:xfrm>
                        <a:prstGeom prst="rect">
                          <a:avLst/>
                        </a:prstGeom>
                        <a:ln>
                          <a:noFill/>
                        </a:ln>
                      </wps:spPr>
                      <wps:style>
                        <a:lnRef idx="2">
                          <a:schemeClr val="accent1"/>
                        </a:lnRef>
                        <a:fillRef idx="0">
                          <a:srgbClr val="FFFFFF"/>
                        </a:fillRef>
                        <a:effectRef idx="0">
                          <a:srgbClr val="FFFFFF"/>
                        </a:effectRef>
                        <a:fontRef idx="minor">
                          <a:schemeClr val="dk1"/>
                        </a:fontRef>
                      </wps:style>
                      <wps:txbx>
                        <w:txbxContent>
                          <w:p w14:paraId="237B638D">
                            <w:pPr>
                              <w:keepNext w:val="0"/>
                              <w:keepLines w:val="0"/>
                              <w:pageBreakBefore w:val="0"/>
                              <w:widowControl w:val="0"/>
                              <w:kinsoku/>
                              <w:wordWrap/>
                              <w:overflowPunct/>
                              <w:topLinePunct w:val="0"/>
                              <w:bidi w:val="0"/>
                              <w:adjustRightInd/>
                              <w:snapToGrid/>
                              <w:spacing w:line="240" w:lineRule="exact"/>
                              <w:jc w:val="center"/>
                              <w:textAlignment w:val="auto"/>
                              <w:rPr>
                                <w:rFonts w:hint="eastAsia" w:cs="Times New Roman"/>
                                <w:color w:val="FFFF00"/>
                                <w:kern w:val="0"/>
                                <w:sz w:val="24"/>
                                <w:lang w:val="en-US" w:eastAsia="zh-CN"/>
                              </w:rPr>
                            </w:pPr>
                            <w:r>
                              <w:rPr>
                                <w:rFonts w:hint="eastAsia" w:cs="Times New Roman"/>
                                <w:color w:val="FFFF00"/>
                                <w:kern w:val="0"/>
                                <w:sz w:val="24"/>
                                <w:lang w:val="en-US" w:eastAsia="zh-CN"/>
                              </w:rPr>
                              <w:t>山东千川自动化</w:t>
                            </w:r>
                          </w:p>
                          <w:p w14:paraId="182BD6A5">
                            <w:pPr>
                              <w:keepNext w:val="0"/>
                              <w:keepLines w:val="0"/>
                              <w:pageBreakBefore w:val="0"/>
                              <w:widowControl w:val="0"/>
                              <w:kinsoku/>
                              <w:wordWrap/>
                              <w:overflowPunct/>
                              <w:topLinePunct w:val="0"/>
                              <w:bidi w:val="0"/>
                              <w:adjustRightInd/>
                              <w:snapToGrid/>
                              <w:spacing w:line="240" w:lineRule="exact"/>
                              <w:jc w:val="center"/>
                              <w:textAlignment w:val="auto"/>
                              <w:rPr>
                                <w:rFonts w:hint="default" w:cs="Times New Roman"/>
                                <w:color w:val="FFFF00"/>
                                <w:kern w:val="0"/>
                                <w:sz w:val="24"/>
                                <w:lang w:val="en-US" w:eastAsia="zh-CN"/>
                              </w:rPr>
                            </w:pPr>
                            <w:r>
                              <w:rPr>
                                <w:rFonts w:hint="eastAsia" w:cs="Times New Roman"/>
                                <w:color w:val="FFFF00"/>
                                <w:kern w:val="0"/>
                                <w:sz w:val="24"/>
                                <w:lang w:val="en-US" w:eastAsia="zh-CN"/>
                              </w:rPr>
                              <w:t>有限公司</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22.2pt;margin-top:166.85pt;height:75pt;width:121.1pt;z-index:251691008;v-text-anchor:middle;mso-width-relative:page;mso-height-relative:page;" filled="f" stroked="f" coordsize="21600,21600" o:gfxdata="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HGow99gAAAALAQAADwAAAAAAAAABACAAAAAiAAAAZHJzL2Rvd25yZXYueG1sUEsBAhQAFAAA&#10;AAgAh07iQOQNajZhAgAArwQAAA4AAAAAAAAAAQAgAAAAJwEAAGRycy9lMm9Eb2MueG1sUEsFBgAA&#10;AAAGAAYAWQEAAPoFAAAAAA==&#10;">
                <v:fill on="f" focussize="0,0"/>
                <v:stroke on="f" weight="1pt" miterlimit="8" joinstyle="miter"/>
                <v:imagedata o:title=""/>
                <o:lock v:ext="edit" aspectratio="f"/>
                <v:textbox>
                  <w:txbxContent>
                    <w:p w14:paraId="237B638D">
                      <w:pPr>
                        <w:keepNext w:val="0"/>
                        <w:keepLines w:val="0"/>
                        <w:pageBreakBefore w:val="0"/>
                        <w:widowControl w:val="0"/>
                        <w:kinsoku/>
                        <w:wordWrap/>
                        <w:overflowPunct/>
                        <w:topLinePunct w:val="0"/>
                        <w:bidi w:val="0"/>
                        <w:adjustRightInd/>
                        <w:snapToGrid/>
                        <w:spacing w:line="240" w:lineRule="exact"/>
                        <w:jc w:val="center"/>
                        <w:textAlignment w:val="auto"/>
                        <w:rPr>
                          <w:rFonts w:hint="eastAsia" w:cs="Times New Roman"/>
                          <w:color w:val="FFFF00"/>
                          <w:kern w:val="0"/>
                          <w:sz w:val="24"/>
                          <w:lang w:val="en-US" w:eastAsia="zh-CN"/>
                        </w:rPr>
                      </w:pPr>
                      <w:r>
                        <w:rPr>
                          <w:rFonts w:hint="eastAsia" w:cs="Times New Roman"/>
                          <w:color w:val="FFFF00"/>
                          <w:kern w:val="0"/>
                          <w:sz w:val="24"/>
                          <w:lang w:val="en-US" w:eastAsia="zh-CN"/>
                        </w:rPr>
                        <w:t>山东千川自动化</w:t>
                      </w:r>
                    </w:p>
                    <w:p w14:paraId="182BD6A5">
                      <w:pPr>
                        <w:keepNext w:val="0"/>
                        <w:keepLines w:val="0"/>
                        <w:pageBreakBefore w:val="0"/>
                        <w:widowControl w:val="0"/>
                        <w:kinsoku/>
                        <w:wordWrap/>
                        <w:overflowPunct/>
                        <w:topLinePunct w:val="0"/>
                        <w:bidi w:val="0"/>
                        <w:adjustRightInd/>
                        <w:snapToGrid/>
                        <w:spacing w:line="240" w:lineRule="exact"/>
                        <w:jc w:val="center"/>
                        <w:textAlignment w:val="auto"/>
                        <w:rPr>
                          <w:rFonts w:hint="default" w:cs="Times New Roman"/>
                          <w:color w:val="FFFF00"/>
                          <w:kern w:val="0"/>
                          <w:sz w:val="24"/>
                          <w:lang w:val="en-US" w:eastAsia="zh-CN"/>
                        </w:rPr>
                      </w:pPr>
                      <w:r>
                        <w:rPr>
                          <w:rFonts w:hint="eastAsia" w:cs="Times New Roman"/>
                          <w:color w:val="FFFF00"/>
                          <w:kern w:val="0"/>
                          <w:sz w:val="24"/>
                          <w:lang w:val="en-US" w:eastAsia="zh-CN"/>
                        </w:rPr>
                        <w:t>有限公司</w:t>
                      </w:r>
                    </w:p>
                  </w:txbxContent>
                </v:textbox>
              </v:rect>
            </w:pict>
          </mc:Fallback>
        </mc:AlternateContent>
      </w:r>
      <w:r>
        <w:rPr>
          <w:sz w:val="24"/>
        </w:rPr>
        <mc:AlternateContent>
          <mc:Choice Requires="wps">
            <w:drawing>
              <wp:anchor distT="0" distB="0" distL="114300" distR="114300" simplePos="0" relativeHeight="251689984" behindDoc="0" locked="0" layoutInCell="1" allowOverlap="1">
                <wp:simplePos x="0" y="0"/>
                <wp:positionH relativeFrom="column">
                  <wp:posOffset>3874135</wp:posOffset>
                </wp:positionH>
                <wp:positionV relativeFrom="paragraph">
                  <wp:posOffset>1178560</wp:posOffset>
                </wp:positionV>
                <wp:extent cx="1326515" cy="1859280"/>
                <wp:effectExtent l="6350" t="19050" r="19685" b="7620"/>
                <wp:wrapNone/>
                <wp:docPr id="47" name="任意多边形 47"/>
                <wp:cNvGraphicFramePr/>
                <a:graphic xmlns:a="http://schemas.openxmlformats.org/drawingml/2006/main">
                  <a:graphicData uri="http://schemas.microsoft.com/office/word/2010/wordprocessingShape">
                    <wps:wsp>
                      <wps:cNvSpPr/>
                      <wps:spPr>
                        <a:xfrm>
                          <a:off x="4773930" y="2357120"/>
                          <a:ext cx="1326515" cy="1859280"/>
                        </a:xfrm>
                        <a:custGeom>
                          <a:avLst/>
                          <a:gdLst>
                            <a:gd name="connisteX0" fmla="*/ 10795 w 1326515"/>
                            <a:gd name="connsiteY0" fmla="*/ 1570355 h 1859280"/>
                            <a:gd name="connisteX1" fmla="*/ 0 w 1326515"/>
                            <a:gd name="connsiteY1" fmla="*/ 1853565 h 1859280"/>
                            <a:gd name="connisteX2" fmla="*/ 1184910 w 1326515"/>
                            <a:gd name="connsiteY2" fmla="*/ 1859280 h 1859280"/>
                            <a:gd name="connisteX3" fmla="*/ 1326515 w 1326515"/>
                            <a:gd name="connsiteY3" fmla="*/ 776605 h 1859280"/>
                            <a:gd name="connisteX4" fmla="*/ 861695 w 1326515"/>
                            <a:gd name="connsiteY4" fmla="*/ 623570 h 1859280"/>
                            <a:gd name="connisteX5" fmla="*/ 374015 w 1326515"/>
                            <a:gd name="connsiteY5" fmla="*/ 0 h 1859280"/>
                            <a:gd name="connisteX6" fmla="*/ 396875 w 1326515"/>
                            <a:gd name="connsiteY6" fmla="*/ 1587500 h 1859280"/>
                            <a:gd name="connisteX7" fmla="*/ 10795 w 1326515"/>
                            <a:gd name="connsiteY7" fmla="*/ 1570355 h 185928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Lst>
                          <a:rect l="l" t="t" r="r" b="b"/>
                          <a:pathLst>
                            <a:path w="1326515" h="1859280">
                              <a:moveTo>
                                <a:pt x="10795" y="1570355"/>
                              </a:moveTo>
                              <a:lnTo>
                                <a:pt x="0" y="1853565"/>
                              </a:lnTo>
                              <a:lnTo>
                                <a:pt x="1184910" y="1859280"/>
                              </a:lnTo>
                              <a:lnTo>
                                <a:pt x="1326515" y="776605"/>
                              </a:lnTo>
                              <a:lnTo>
                                <a:pt x="861695" y="623570"/>
                              </a:lnTo>
                              <a:lnTo>
                                <a:pt x="374015" y="0"/>
                              </a:lnTo>
                              <a:lnTo>
                                <a:pt x="396875" y="1587500"/>
                              </a:lnTo>
                              <a:lnTo>
                                <a:pt x="10795" y="1570355"/>
                              </a:lnTo>
                              <a:close/>
                            </a:path>
                          </a:pathLst>
                        </a:custGeom>
                        <a:noFill/>
                        <a:ln>
                          <a:solidFill>
                            <a:srgbClr val="00B0F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305.05pt;margin-top:92.8pt;height:146.4pt;width:104.45pt;z-index:251689984;mso-width-relative:page;mso-height-relative:page;" filled="f" stroked="t" coordsize="1326515,1859280" o:gfxdata="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" path="m10795,1570355l0,1853565,1184910,1859280,1326515,776605,861695,623570,374015,0,396875,1587500,10795,1570355xe">
                <v:path o:connectlocs="10795,1570355;0,1853565;1184910,1859280;1326515,776605;861695,623570;374015,0;396875,1587500;10795,1570355" o:connectangles="0,0,0,0,0,0,0,0"/>
                <v:fill on="f" focussize="0,0"/>
                <v:stroke weight="1pt" color="#00B0F0 [2404]" miterlimit="8" joinstyle="miter"/>
                <v:imagedata o:title=""/>
                <o:lock v:ext="edit" aspectratio="f"/>
              </v:shape>
            </w:pict>
          </mc:Fallback>
        </mc:AlternateContent>
      </w:r>
      <w:r>
        <w:rPr>
          <w:color w:val="auto"/>
          <w:sz w:val="24"/>
        </w:rPr>
        <w:drawing>
          <wp:inline distT="0" distB="0" distL="114300" distR="114300">
            <wp:extent cx="5709285" cy="5082540"/>
            <wp:effectExtent l="0" t="0" r="5715" b="3810"/>
            <wp:docPr id="52" name="图片 52" descr="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111"/>
                    <pic:cNvPicPr>
                      <a:picLocks noChangeAspect="1"/>
                    </pic:cNvPicPr>
                  </pic:nvPicPr>
                  <pic:blipFill>
                    <a:blip r:embed="rId81"/>
                    <a:srcRect r="35769"/>
                    <a:stretch>
                      <a:fillRect/>
                    </a:stretch>
                  </pic:blipFill>
                  <pic:spPr>
                    <a:xfrm>
                      <a:off x="0" y="0"/>
                      <a:ext cx="5709285" cy="5082540"/>
                    </a:xfrm>
                    <a:prstGeom prst="rect">
                      <a:avLst/>
                    </a:prstGeom>
                  </pic:spPr>
                </pic:pic>
              </a:graphicData>
            </a:graphic>
          </wp:inline>
        </w:drawing>
      </w:r>
      <w:r>
        <w:rPr>
          <w:color w:val="auto"/>
          <w:sz w:val="24"/>
        </w:rPr>
        <mc:AlternateContent>
          <mc:Choice Requires="wps">
            <w:drawing>
              <wp:anchor distT="0" distB="0" distL="114300" distR="114300" simplePos="0" relativeHeight="251688960" behindDoc="0" locked="0" layoutInCell="1" allowOverlap="1">
                <wp:simplePos x="0" y="0"/>
                <wp:positionH relativeFrom="column">
                  <wp:posOffset>2861310</wp:posOffset>
                </wp:positionH>
                <wp:positionV relativeFrom="paragraph">
                  <wp:posOffset>2034540</wp:posOffset>
                </wp:positionV>
                <wp:extent cx="1537970" cy="595630"/>
                <wp:effectExtent l="0" t="0" r="0" b="0"/>
                <wp:wrapNone/>
                <wp:docPr id="54" name="矩形 54"/>
                <wp:cNvGraphicFramePr/>
                <a:graphic xmlns:a="http://schemas.openxmlformats.org/drawingml/2006/main">
                  <a:graphicData uri="http://schemas.microsoft.com/office/word/2010/wordprocessingShape">
                    <wps:wsp>
                      <wps:cNvSpPr/>
                      <wps:spPr>
                        <a:xfrm>
                          <a:off x="0" y="0"/>
                          <a:ext cx="1537970" cy="595630"/>
                        </a:xfrm>
                        <a:prstGeom prst="rect">
                          <a:avLst/>
                        </a:prstGeom>
                        <a:ln>
                          <a:noFill/>
                        </a:ln>
                      </wps:spPr>
                      <wps:style>
                        <a:lnRef idx="2">
                          <a:schemeClr val="accent1"/>
                        </a:lnRef>
                        <a:fillRef idx="0">
                          <a:srgbClr val="FFFFFF"/>
                        </a:fillRef>
                        <a:effectRef idx="0">
                          <a:srgbClr val="FFFFFF"/>
                        </a:effectRef>
                        <a:fontRef idx="minor">
                          <a:schemeClr val="dk1"/>
                        </a:fontRef>
                      </wps:style>
                      <wps:txbx>
                        <w:txbxContent>
                          <w:p w14:paraId="5363E119">
                            <w:pPr>
                              <w:keepNext w:val="0"/>
                              <w:keepLines w:val="0"/>
                              <w:pageBreakBefore w:val="0"/>
                              <w:widowControl w:val="0"/>
                              <w:kinsoku/>
                              <w:wordWrap/>
                              <w:overflowPunct/>
                              <w:topLinePunct w:val="0"/>
                              <w:bidi w:val="0"/>
                              <w:adjustRightInd/>
                              <w:snapToGrid/>
                              <w:spacing w:line="240" w:lineRule="exact"/>
                              <w:jc w:val="center"/>
                              <w:textAlignment w:val="auto"/>
                              <w:rPr>
                                <w:rFonts w:hint="eastAsia"/>
                                <w:color w:val="FFFF00"/>
                                <w:kern w:val="0"/>
                                <w:sz w:val="24"/>
                                <w:lang w:val="en-US" w:eastAsia="zh-CN"/>
                              </w:rPr>
                            </w:pPr>
                            <w:r>
                              <w:rPr>
                                <w:rFonts w:hint="eastAsia"/>
                                <w:color w:val="FFFF00"/>
                                <w:kern w:val="0"/>
                                <w:sz w:val="24"/>
                                <w:lang w:val="en-US" w:eastAsia="zh-CN"/>
                              </w:rPr>
                              <w:t>步步领鲜（淄博）</w:t>
                            </w:r>
                          </w:p>
                          <w:p w14:paraId="14593C8E">
                            <w:pPr>
                              <w:keepNext w:val="0"/>
                              <w:keepLines w:val="0"/>
                              <w:pageBreakBefore w:val="0"/>
                              <w:widowControl w:val="0"/>
                              <w:kinsoku/>
                              <w:wordWrap/>
                              <w:overflowPunct/>
                              <w:topLinePunct w:val="0"/>
                              <w:bidi w:val="0"/>
                              <w:adjustRightInd/>
                              <w:snapToGrid/>
                              <w:spacing w:line="240" w:lineRule="exact"/>
                              <w:jc w:val="center"/>
                              <w:textAlignment w:val="auto"/>
                              <w:rPr>
                                <w:rFonts w:hint="default" w:ascii="Times New Roman" w:cs="Times New Roman"/>
                                <w:b/>
                                <w:color w:val="FFFF00"/>
                                <w:sz w:val="24"/>
                                <w:szCs w:val="24"/>
                                <w:vertAlign w:val="baseline"/>
                                <w:lang w:val="en-US" w:eastAsia="zh-CN"/>
                              </w:rPr>
                            </w:pPr>
                            <w:r>
                              <w:rPr>
                                <w:rFonts w:hint="eastAsia"/>
                                <w:color w:val="FFFF00"/>
                                <w:kern w:val="0"/>
                                <w:sz w:val="24"/>
                                <w:lang w:val="en-US" w:eastAsia="zh-CN"/>
                              </w:rPr>
                              <w:t>食品有限公司</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5.3pt;margin-top:160.2pt;height:46.9pt;width:121.1pt;z-index:251688960;v-text-anchor:middle;mso-width-relative:page;mso-height-relative:page;" filled="f" stroked="f" coordsize="21600,21600" o:gfxdata="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CoE0oDYAAAACwEAAA8AAAAAAAAAAQAgAAAAIgAAAGRycy9kb3ducmV2LnhtbFBLAQIUABQA&#10;AAAIAIdO4kCwy0NCYgIAAK8EAAAOAAAAAAAAAAEAIAAAACcBAABkcnMvZTJvRG9jLnhtbFBLBQYA&#10;AAAABgAGAFkBAAD7BQAAAAA=&#10;">
                <v:fill on="f" focussize="0,0"/>
                <v:stroke on="f" weight="1pt" miterlimit="8" joinstyle="miter"/>
                <v:imagedata o:title=""/>
                <o:lock v:ext="edit" aspectratio="f"/>
                <v:textbox>
                  <w:txbxContent>
                    <w:p w14:paraId="5363E119">
                      <w:pPr>
                        <w:keepNext w:val="0"/>
                        <w:keepLines w:val="0"/>
                        <w:pageBreakBefore w:val="0"/>
                        <w:widowControl w:val="0"/>
                        <w:kinsoku/>
                        <w:wordWrap/>
                        <w:overflowPunct/>
                        <w:topLinePunct w:val="0"/>
                        <w:bidi w:val="0"/>
                        <w:adjustRightInd/>
                        <w:snapToGrid/>
                        <w:spacing w:line="240" w:lineRule="exact"/>
                        <w:jc w:val="center"/>
                        <w:textAlignment w:val="auto"/>
                        <w:rPr>
                          <w:rFonts w:hint="eastAsia"/>
                          <w:color w:val="FFFF00"/>
                          <w:kern w:val="0"/>
                          <w:sz w:val="24"/>
                          <w:lang w:val="en-US" w:eastAsia="zh-CN"/>
                        </w:rPr>
                      </w:pPr>
                      <w:r>
                        <w:rPr>
                          <w:rFonts w:hint="eastAsia"/>
                          <w:color w:val="FFFF00"/>
                          <w:kern w:val="0"/>
                          <w:sz w:val="24"/>
                          <w:lang w:val="en-US" w:eastAsia="zh-CN"/>
                        </w:rPr>
                        <w:t>步步领鲜（淄博）</w:t>
                      </w:r>
                    </w:p>
                    <w:p w14:paraId="14593C8E">
                      <w:pPr>
                        <w:keepNext w:val="0"/>
                        <w:keepLines w:val="0"/>
                        <w:pageBreakBefore w:val="0"/>
                        <w:widowControl w:val="0"/>
                        <w:kinsoku/>
                        <w:wordWrap/>
                        <w:overflowPunct/>
                        <w:topLinePunct w:val="0"/>
                        <w:bidi w:val="0"/>
                        <w:adjustRightInd/>
                        <w:snapToGrid/>
                        <w:spacing w:line="240" w:lineRule="exact"/>
                        <w:jc w:val="center"/>
                        <w:textAlignment w:val="auto"/>
                        <w:rPr>
                          <w:rFonts w:hint="default" w:ascii="Times New Roman" w:cs="Times New Roman"/>
                          <w:b/>
                          <w:color w:val="FFFF00"/>
                          <w:sz w:val="24"/>
                          <w:szCs w:val="24"/>
                          <w:vertAlign w:val="baseline"/>
                          <w:lang w:val="en-US" w:eastAsia="zh-CN"/>
                        </w:rPr>
                      </w:pPr>
                      <w:r>
                        <w:rPr>
                          <w:rFonts w:hint="eastAsia"/>
                          <w:color w:val="FFFF00"/>
                          <w:kern w:val="0"/>
                          <w:sz w:val="24"/>
                          <w:lang w:val="en-US" w:eastAsia="zh-CN"/>
                        </w:rPr>
                        <w:t>食品有限公司</w:t>
                      </w:r>
                    </w:p>
                  </w:txbxContent>
                </v:textbox>
              </v:rect>
            </w:pict>
          </mc:Fallback>
        </mc:AlternateContent>
      </w:r>
      <w:r>
        <w:rPr>
          <w:color w:val="auto"/>
          <w:sz w:val="24"/>
        </w:rPr>
        <mc:AlternateContent>
          <mc:Choice Requires="wps">
            <w:drawing>
              <wp:anchor distT="0" distB="0" distL="114300" distR="114300" simplePos="0" relativeHeight="251678720" behindDoc="0" locked="0" layoutInCell="1" allowOverlap="1">
                <wp:simplePos x="0" y="0"/>
                <wp:positionH relativeFrom="column">
                  <wp:posOffset>2385695</wp:posOffset>
                </wp:positionH>
                <wp:positionV relativeFrom="paragraph">
                  <wp:posOffset>1297940</wp:posOffset>
                </wp:positionV>
                <wp:extent cx="1537970" cy="515620"/>
                <wp:effectExtent l="0" t="0" r="0" b="0"/>
                <wp:wrapNone/>
                <wp:docPr id="56" name="矩形 56"/>
                <wp:cNvGraphicFramePr/>
                <a:graphic xmlns:a="http://schemas.openxmlformats.org/drawingml/2006/main">
                  <a:graphicData uri="http://schemas.microsoft.com/office/word/2010/wordprocessingShape">
                    <wps:wsp>
                      <wps:cNvSpPr/>
                      <wps:spPr>
                        <a:xfrm>
                          <a:off x="0" y="0"/>
                          <a:ext cx="1537970" cy="515620"/>
                        </a:xfrm>
                        <a:prstGeom prst="rect">
                          <a:avLst/>
                        </a:prstGeom>
                        <a:ln>
                          <a:noFill/>
                        </a:ln>
                      </wps:spPr>
                      <wps:style>
                        <a:lnRef idx="2">
                          <a:schemeClr val="accent1"/>
                        </a:lnRef>
                        <a:fillRef idx="0">
                          <a:srgbClr val="FFFFFF"/>
                        </a:fillRef>
                        <a:effectRef idx="0">
                          <a:srgbClr val="FFFFFF"/>
                        </a:effectRef>
                        <a:fontRef idx="minor">
                          <a:schemeClr val="dk1"/>
                        </a:fontRef>
                      </wps:style>
                      <wps:txbx>
                        <w:txbxContent>
                          <w:p w14:paraId="00938204">
                            <w:pPr>
                              <w:jc w:val="center"/>
                              <w:rPr>
                                <w:rFonts w:hint="default" w:ascii="Times New Roman" w:cs="Times New Roman"/>
                                <w:b/>
                                <w:color w:val="FFFF00"/>
                                <w:sz w:val="24"/>
                                <w:szCs w:val="24"/>
                                <w:vertAlign w:val="baseline"/>
                                <w:lang w:val="en-US" w:eastAsia="zh-CN"/>
                              </w:rPr>
                            </w:pPr>
                            <w:r>
                              <w:rPr>
                                <w:rFonts w:hint="eastAsia" w:ascii="Times New Roman" w:cs="Times New Roman"/>
                                <w:b/>
                                <w:color w:val="FFFF00"/>
                                <w:sz w:val="24"/>
                                <w:szCs w:val="24"/>
                                <w:vertAlign w:val="baseline"/>
                                <w:lang w:val="en-US" w:eastAsia="zh-CN"/>
                              </w:rPr>
                              <w:t>空地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87.85pt;margin-top:102.2pt;height:40.6pt;width:121.1pt;z-index:251678720;v-text-anchor:middle;mso-width-relative:page;mso-height-relative:page;" filled="f" stroked="f" coordsize="21600,21600" o:gfxdata="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AxYWSp2gAAAAsBAAAPAAAAAAAAAAEAIAAAACIAAABkcnMvZG93bnJldi54bWxQSwECFAAU&#10;AAAACACHTuJAxHU5oGECAACvBAAADgAAAAAAAAABACAAAAApAQAAZHJzL2Uyb0RvYy54bWxQSwUG&#10;AAAAAAYABgBZAQAA/AUAAAAA&#10;">
                <v:fill on="f" focussize="0,0"/>
                <v:stroke on="f" weight="1pt" miterlimit="8" joinstyle="miter"/>
                <v:imagedata o:title=""/>
                <o:lock v:ext="edit" aspectratio="f"/>
                <v:textbox>
                  <w:txbxContent>
                    <w:p w14:paraId="00938204">
                      <w:pPr>
                        <w:jc w:val="center"/>
                        <w:rPr>
                          <w:rFonts w:hint="default" w:ascii="Times New Roman" w:cs="Times New Roman"/>
                          <w:b/>
                          <w:color w:val="FFFF00"/>
                          <w:sz w:val="24"/>
                          <w:szCs w:val="24"/>
                          <w:vertAlign w:val="baseline"/>
                          <w:lang w:val="en-US" w:eastAsia="zh-CN"/>
                        </w:rPr>
                      </w:pPr>
                      <w:r>
                        <w:rPr>
                          <w:rFonts w:hint="eastAsia" w:ascii="Times New Roman" w:cs="Times New Roman"/>
                          <w:b/>
                          <w:color w:val="FFFF00"/>
                          <w:sz w:val="24"/>
                          <w:szCs w:val="24"/>
                          <w:vertAlign w:val="baseline"/>
                          <w:lang w:val="en-US" w:eastAsia="zh-CN"/>
                        </w:rPr>
                        <w:t>空地</w:t>
                      </w:r>
                    </w:p>
                  </w:txbxContent>
                </v:textbox>
              </v:rect>
            </w:pict>
          </mc:Fallback>
        </mc:AlternateContent>
      </w:r>
      <w:r>
        <w:rPr>
          <w:color w:val="auto"/>
          <w:sz w:val="24"/>
        </w:rPr>
        <mc:AlternateContent>
          <mc:Choice Requires="wps">
            <w:drawing>
              <wp:anchor distT="0" distB="0" distL="114300" distR="114300" simplePos="0" relativeHeight="251677696" behindDoc="0" locked="0" layoutInCell="1" allowOverlap="1">
                <wp:simplePos x="0" y="0"/>
                <wp:positionH relativeFrom="column">
                  <wp:posOffset>3039110</wp:posOffset>
                </wp:positionH>
                <wp:positionV relativeFrom="paragraph">
                  <wp:posOffset>601345</wp:posOffset>
                </wp:positionV>
                <wp:extent cx="1537970" cy="515620"/>
                <wp:effectExtent l="0" t="0" r="0" b="0"/>
                <wp:wrapNone/>
                <wp:docPr id="57" name="矩形 57"/>
                <wp:cNvGraphicFramePr/>
                <a:graphic xmlns:a="http://schemas.openxmlformats.org/drawingml/2006/main">
                  <a:graphicData uri="http://schemas.microsoft.com/office/word/2010/wordprocessingShape">
                    <wps:wsp>
                      <wps:cNvSpPr/>
                      <wps:spPr>
                        <a:xfrm>
                          <a:off x="0" y="0"/>
                          <a:ext cx="1537970" cy="515620"/>
                        </a:xfrm>
                        <a:prstGeom prst="rect">
                          <a:avLst/>
                        </a:prstGeom>
                        <a:ln>
                          <a:noFill/>
                        </a:ln>
                      </wps:spPr>
                      <wps:style>
                        <a:lnRef idx="2">
                          <a:schemeClr val="accent1"/>
                        </a:lnRef>
                        <a:fillRef idx="0">
                          <a:srgbClr val="FFFFFF"/>
                        </a:fillRef>
                        <a:effectRef idx="0">
                          <a:srgbClr val="FFFFFF"/>
                        </a:effectRef>
                        <a:fontRef idx="minor">
                          <a:schemeClr val="dk1"/>
                        </a:fontRef>
                      </wps:style>
                      <wps:txbx>
                        <w:txbxContent>
                          <w:p w14:paraId="176547C1">
                            <w:pPr>
                              <w:jc w:val="center"/>
                              <w:rPr>
                                <w:rFonts w:hint="default" w:ascii="Times New Roman" w:cs="Times New Roman"/>
                                <w:b/>
                                <w:color w:val="FFFF00"/>
                                <w:sz w:val="24"/>
                                <w:szCs w:val="24"/>
                                <w:vertAlign w:val="baseline"/>
                                <w:lang w:val="en-US" w:eastAsia="zh-CN"/>
                              </w:rPr>
                            </w:pPr>
                            <w:r>
                              <w:rPr>
                                <w:rFonts w:hint="eastAsia" w:ascii="Times New Roman" w:cs="Times New Roman"/>
                                <w:b/>
                                <w:color w:val="FFFF00"/>
                                <w:sz w:val="24"/>
                                <w:szCs w:val="24"/>
                                <w:vertAlign w:val="baseline"/>
                                <w:lang w:val="en-US" w:eastAsia="zh-CN"/>
                              </w:rPr>
                              <w:t>空地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39.3pt;margin-top:47.35pt;height:40.6pt;width:121.1pt;z-index:251677696;v-text-anchor:middle;mso-width-relative:page;mso-height-relative:page;" filled="f" stroked="f" coordsize="21600,21600" o:gfxdata="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7/wPz9gAAAAKAQAADwAAAAAAAAABACAAAAAiAAAAZHJzL2Rvd25yZXYueG1sUEsBAhQAFAAA&#10;AAgAh07iQEZNlbBhAgAArwQAAA4AAAAAAAAAAQAgAAAAJwEAAGRycy9lMm9Eb2MueG1sUEsFBgAA&#10;AAAGAAYAWQEAAPoFAAAAAA==&#10;">
                <v:fill on="f" focussize="0,0"/>
                <v:stroke on="f" weight="1pt" miterlimit="8" joinstyle="miter"/>
                <v:imagedata o:title=""/>
                <o:lock v:ext="edit" aspectratio="f"/>
                <v:textbox>
                  <w:txbxContent>
                    <w:p w14:paraId="176547C1">
                      <w:pPr>
                        <w:jc w:val="center"/>
                        <w:rPr>
                          <w:rFonts w:hint="default" w:ascii="Times New Roman" w:cs="Times New Roman"/>
                          <w:b/>
                          <w:color w:val="FFFF00"/>
                          <w:sz w:val="24"/>
                          <w:szCs w:val="24"/>
                          <w:vertAlign w:val="baseline"/>
                          <w:lang w:val="en-US" w:eastAsia="zh-CN"/>
                        </w:rPr>
                      </w:pPr>
                      <w:r>
                        <w:rPr>
                          <w:rFonts w:hint="eastAsia" w:ascii="Times New Roman" w:cs="Times New Roman"/>
                          <w:b/>
                          <w:color w:val="FFFF00"/>
                          <w:sz w:val="24"/>
                          <w:szCs w:val="24"/>
                          <w:vertAlign w:val="baseline"/>
                          <w:lang w:val="en-US" w:eastAsia="zh-CN"/>
                        </w:rPr>
                        <w:t>空地</w:t>
                      </w:r>
                    </w:p>
                  </w:txbxContent>
                </v:textbox>
              </v:rect>
            </w:pict>
          </mc:Fallback>
        </mc:AlternateContent>
      </w:r>
      <w:r>
        <w:rPr>
          <w:sz w:val="24"/>
        </w:rPr>
        <mc:AlternateContent>
          <mc:Choice Requires="wps">
            <w:drawing>
              <wp:anchor distT="0" distB="0" distL="114300" distR="114300" simplePos="0" relativeHeight="251687936" behindDoc="0" locked="0" layoutInCell="1" allowOverlap="1">
                <wp:simplePos x="0" y="0"/>
                <wp:positionH relativeFrom="column">
                  <wp:posOffset>3397250</wp:posOffset>
                </wp:positionH>
                <wp:positionV relativeFrom="paragraph">
                  <wp:posOffset>1178560</wp:posOffset>
                </wp:positionV>
                <wp:extent cx="799465" cy="759460"/>
                <wp:effectExtent l="6985" t="6350" r="12700" b="15240"/>
                <wp:wrapNone/>
                <wp:docPr id="58" name="任意多边形 58"/>
                <wp:cNvGraphicFramePr/>
                <a:graphic xmlns:a="http://schemas.openxmlformats.org/drawingml/2006/main">
                  <a:graphicData uri="http://schemas.microsoft.com/office/word/2010/wordprocessingShape">
                    <wps:wsp>
                      <wps:cNvSpPr/>
                      <wps:spPr>
                        <a:xfrm>
                          <a:off x="4297045" y="2357120"/>
                          <a:ext cx="799465" cy="759460"/>
                        </a:xfrm>
                        <a:custGeom>
                          <a:avLst/>
                          <a:gdLst>
                            <a:gd name="connisteX0" fmla="*/ 0 w 799465"/>
                            <a:gd name="connsiteY0" fmla="*/ 10795 h 759460"/>
                            <a:gd name="connisteX1" fmla="*/ 776605 w 799465"/>
                            <a:gd name="connsiteY1" fmla="*/ 0 h 759460"/>
                            <a:gd name="connisteX2" fmla="*/ 799465 w 799465"/>
                            <a:gd name="connsiteY2" fmla="*/ 759460 h 759460"/>
                            <a:gd name="connisteX3" fmla="*/ 85090 w 799465"/>
                            <a:gd name="connsiteY3" fmla="*/ 742315 h 759460"/>
                            <a:gd name="connisteX4" fmla="*/ 0 w 799465"/>
                            <a:gd name="connsiteY4" fmla="*/ 10795 h 75946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799465" h="759460">
                              <a:moveTo>
                                <a:pt x="0" y="10795"/>
                              </a:moveTo>
                              <a:lnTo>
                                <a:pt x="776605" y="0"/>
                              </a:lnTo>
                              <a:lnTo>
                                <a:pt x="799465" y="759460"/>
                              </a:lnTo>
                              <a:lnTo>
                                <a:pt x="85090" y="742315"/>
                              </a:lnTo>
                              <a:lnTo>
                                <a:pt x="0" y="10795"/>
                              </a:lnTo>
                              <a:close/>
                            </a:path>
                          </a:pathLst>
                        </a:cu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67.5pt;margin-top:92.8pt;height:59.8pt;width:62.95pt;z-index:251687936;mso-width-relative:page;mso-height-relative:page;" filled="f" stroked="t" coordsize="799465,759460" o:gfxdata="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" path="m0,10795l776605,0,799465,759460,85090,742315,0,10795xe">
                <v:path o:connectlocs="0,10795;776605,0;799465,759460;85090,742315;0,10795" o:connectangles="0,0,0,0,0"/>
                <v:fill on="f" focussize="0,0"/>
                <v:stroke weight="1pt" color="#FF0000 [2404]" miterlimit="8" joinstyle="miter"/>
                <v:imagedata o:title=""/>
                <o:lock v:ext="edit" aspectratio="f"/>
              </v:shape>
            </w:pict>
          </mc:Fallback>
        </mc:AlternateContent>
      </w:r>
    </w:p>
    <w:p w14:paraId="621B6046">
      <w:pPr>
        <w:pStyle w:val="26"/>
        <w:keepNext w:val="0"/>
        <w:keepLines w:val="0"/>
        <w:pageBreakBefore w:val="0"/>
        <w:widowControl w:val="0"/>
        <w:numPr>
          <w:ilvl w:val="0"/>
          <w:numId w:val="49"/>
        </w:numPr>
        <w:kinsoku/>
        <w:wordWrap/>
        <w:overflowPunct/>
        <w:topLinePunct w:val="0"/>
        <w:autoSpaceDE/>
        <w:autoSpaceDN/>
        <w:bidi w:val="0"/>
        <w:adjustRightInd/>
        <w:snapToGrid/>
        <w:ind w:left="0" w:leftChars="0" w:firstLine="403" w:firstLineChars="0"/>
        <w:textAlignment w:val="auto"/>
        <w:outlineLvl w:val="0"/>
        <w:rPr>
          <w:rFonts w:hint="eastAsia" w:ascii="Times New Roman" w:hAnsi="Times New Roman" w:eastAsia="宋体" w:cs="Times New Roman"/>
          <w:b/>
          <w:bCs/>
          <w:color w:val="auto"/>
          <w:szCs w:val="24"/>
          <w:lang w:val="en-US" w:eastAsia="zh-CN"/>
        </w:rPr>
      </w:pPr>
      <w:r>
        <w:rPr>
          <w:rFonts w:hint="eastAsia" w:ascii="Times New Roman" w:hAnsi="Times New Roman" w:eastAsia="宋体" w:cs="Times New Roman"/>
          <w:b/>
          <w:bCs/>
          <w:color w:val="auto"/>
          <w:szCs w:val="24"/>
          <w:lang w:val="en-US" w:eastAsia="zh-CN"/>
        </w:rPr>
        <w:t>厂区总体平面布置图</w:t>
      </w:r>
    </w:p>
    <w:p w14:paraId="0B10F385">
      <w:pPr>
        <w:keepNext w:val="0"/>
        <w:keepLines w:val="0"/>
        <w:pageBreakBefore w:val="0"/>
        <w:widowControl w:val="0"/>
        <w:kinsoku/>
        <w:wordWrap/>
        <w:overflowPunct/>
        <w:topLinePunct w:val="0"/>
        <w:autoSpaceDE/>
        <w:autoSpaceDN/>
        <w:bidi w:val="0"/>
        <w:adjustRightInd/>
        <w:snapToGrid/>
        <w:ind w:firstLine="0" w:firstLineChars="0"/>
        <w:jc w:val="left"/>
        <w:textAlignment w:val="auto"/>
        <w:rPr>
          <w:rFonts w:hint="eastAsia" w:eastAsia="等线"/>
          <w:color w:val="auto"/>
          <w:lang w:val="en-US" w:eastAsia="zh-CN"/>
        </w:rPr>
      </w:pPr>
    </w:p>
    <w:p w14:paraId="3FBF7E43">
      <w:pPr>
        <w:pStyle w:val="26"/>
        <w:keepNext w:val="0"/>
        <w:keepLines w:val="0"/>
        <w:pageBreakBefore w:val="0"/>
        <w:widowControl w:val="0"/>
        <w:kinsoku/>
        <w:wordWrap/>
        <w:overflowPunct/>
        <w:topLinePunct w:val="0"/>
        <w:autoSpaceDE/>
        <w:autoSpaceDN/>
        <w:bidi w:val="0"/>
        <w:adjustRightInd/>
        <w:snapToGrid/>
        <w:spacing w:after="0"/>
        <w:ind w:left="0" w:leftChars="0" w:firstLine="0" w:firstLineChars="0"/>
        <w:textAlignment w:val="auto"/>
        <w:rPr>
          <w:rFonts w:hint="default"/>
          <w:color w:val="auto"/>
          <w:lang w:val="en-US" w:eastAsia="zh-CN"/>
        </w:rPr>
        <w:sectPr>
          <w:pgSz w:w="11906" w:h="16838"/>
          <w:pgMar w:top="1417" w:right="1417" w:bottom="1417" w:left="1417" w:header="850" w:footer="992" w:gutter="0"/>
          <w:cols w:space="720" w:num="1"/>
          <w:docGrid w:type="lines" w:linePitch="319" w:charSpace="0"/>
        </w:sectPr>
      </w:pPr>
      <w:r>
        <w:rPr>
          <w:sz w:val="21"/>
        </w:rPr>
        <mc:AlternateContent>
          <mc:Choice Requires="wps">
            <w:drawing>
              <wp:anchor distT="0" distB="0" distL="114300" distR="114300" simplePos="0" relativeHeight="251716608" behindDoc="0" locked="0" layoutInCell="1" allowOverlap="1">
                <wp:simplePos x="0" y="0"/>
                <wp:positionH relativeFrom="column">
                  <wp:posOffset>3662680</wp:posOffset>
                </wp:positionH>
                <wp:positionV relativeFrom="paragraph">
                  <wp:posOffset>4370070</wp:posOffset>
                </wp:positionV>
                <wp:extent cx="662305" cy="351790"/>
                <wp:effectExtent l="512445" t="415290" r="6350" b="13970"/>
                <wp:wrapNone/>
                <wp:docPr id="59" name="线形标注 2 59"/>
                <wp:cNvGraphicFramePr/>
                <a:graphic xmlns:a="http://schemas.openxmlformats.org/drawingml/2006/main">
                  <a:graphicData uri="http://schemas.microsoft.com/office/word/2010/wordprocessingShape">
                    <wps:wsp>
                      <wps:cNvSpPr/>
                      <wps:spPr>
                        <a:xfrm>
                          <a:off x="0" y="0"/>
                          <a:ext cx="662305" cy="351790"/>
                        </a:xfrm>
                        <a:prstGeom prst="borderCallout2">
                          <a:avLst>
                            <a:gd name="adj1" fmla="val -541"/>
                            <a:gd name="adj2" fmla="val -2588"/>
                            <a:gd name="adj3" fmla="val -16245"/>
                            <a:gd name="adj4" fmla="val -31447"/>
                            <a:gd name="adj5" fmla="val -116967"/>
                            <a:gd name="adj6" fmla="val -76605"/>
                          </a:avLst>
                        </a:pr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6D3C4376">
                            <w:pPr>
                              <w:jc w:val="center"/>
                              <w:rPr>
                                <w:rFonts w:hint="default" w:eastAsia="等线"/>
                                <w:b/>
                                <w:bCs/>
                                <w:color w:val="FFFF00"/>
                                <w:lang w:val="en-US" w:eastAsia="zh-CN"/>
                              </w:rPr>
                            </w:pPr>
                            <w:r>
                              <w:rPr>
                                <w:rFonts w:hint="eastAsia"/>
                                <w:b/>
                                <w:bCs/>
                                <w:color w:val="FFFF00"/>
                                <w:lang w:val="en-US" w:eastAsia="zh-CN"/>
                              </w:rPr>
                              <w:t>收集池</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48" type="#_x0000_t48" style="position:absolute;left:0pt;margin-left:288.4pt;margin-top:344.1pt;height:27.7pt;width:52.15pt;z-index:251716608;v-text-anchor:middle;mso-width-relative:page;mso-height-relative:page;" filled="f" stroked="t" coordsize="21600,21600" o:gfxdata="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" adj="-16547,-25265,-6793,-3509,-559,-117">
                <v:fill on="f" focussize="0,0"/>
                <v:stroke weight="1pt" color="#FFFF00 [2404]" miterlimit="8" joinstyle="miter"/>
                <v:imagedata o:title=""/>
                <o:lock v:ext="edit" aspectratio="f"/>
                <v:textbox>
                  <w:txbxContent>
                    <w:p w14:paraId="6D3C4376">
                      <w:pPr>
                        <w:jc w:val="center"/>
                        <w:rPr>
                          <w:rFonts w:hint="default" w:eastAsia="等线"/>
                          <w:b/>
                          <w:bCs/>
                          <w:color w:val="FFFF00"/>
                          <w:lang w:val="en-US" w:eastAsia="zh-CN"/>
                        </w:rPr>
                      </w:pPr>
                      <w:r>
                        <w:rPr>
                          <w:rFonts w:hint="eastAsia"/>
                          <w:b/>
                          <w:bCs/>
                          <w:color w:val="FFFF00"/>
                          <w:lang w:val="en-US" w:eastAsia="zh-CN"/>
                        </w:rPr>
                        <w:t>收集池</w:t>
                      </w:r>
                    </w:p>
                  </w:txbxContent>
                </v:textbox>
              </v:shape>
            </w:pict>
          </mc:Fallback>
        </mc:AlternateContent>
      </w:r>
      <w:r>
        <w:rPr>
          <w:sz w:val="21"/>
        </w:rPr>
        <mc:AlternateContent>
          <mc:Choice Requires="wps">
            <w:drawing>
              <wp:anchor distT="0" distB="0" distL="114300" distR="114300" simplePos="0" relativeHeight="251715584" behindDoc="0" locked="0" layoutInCell="1" allowOverlap="1">
                <wp:simplePos x="0" y="0"/>
                <wp:positionH relativeFrom="column">
                  <wp:posOffset>3107690</wp:posOffset>
                </wp:positionH>
                <wp:positionV relativeFrom="paragraph">
                  <wp:posOffset>3904615</wp:posOffset>
                </wp:positionV>
                <wp:extent cx="76200" cy="79375"/>
                <wp:effectExtent l="6350" t="6350" r="12700" b="9525"/>
                <wp:wrapNone/>
                <wp:docPr id="60" name="椭圆 60"/>
                <wp:cNvGraphicFramePr/>
                <a:graphic xmlns:a="http://schemas.openxmlformats.org/drawingml/2006/main">
                  <a:graphicData uri="http://schemas.microsoft.com/office/word/2010/wordprocessingShape">
                    <wps:wsp>
                      <wps:cNvSpPr/>
                      <wps:spPr>
                        <a:xfrm>
                          <a:off x="4007485" y="5285740"/>
                          <a:ext cx="76200" cy="79375"/>
                        </a:xfrm>
                        <a:prstGeom prst="ellipse">
                          <a:avLst/>
                        </a:prstGeom>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44.7pt;margin-top:307.45pt;height:6.25pt;width:6pt;z-index:251715584;v-text-anchor:middle;mso-width-relative:page;mso-height-relative:page;" fillcolor="#4874CB [3204]" filled="t" stroked="t" coordsize="21600,21600" o:gfxdata="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">
                <v:fill on="t" focussize="0,0"/>
                <v:stroke weight="1pt" color="#FFFF00 [2404]" miterlimit="8" joinstyle="miter"/>
                <v:imagedata o:title=""/>
                <o:lock v:ext="edit" aspectratio="f"/>
              </v:shape>
            </w:pict>
          </mc:Fallback>
        </mc:AlternateContent>
      </w:r>
      <w:r>
        <w:rPr>
          <w:sz w:val="21"/>
        </w:rPr>
        <mc:AlternateContent>
          <mc:Choice Requires="wps">
            <w:drawing>
              <wp:anchor distT="0" distB="0" distL="114300" distR="114300" simplePos="0" relativeHeight="251714560" behindDoc="0" locked="0" layoutInCell="1" allowOverlap="1">
                <wp:simplePos x="0" y="0"/>
                <wp:positionH relativeFrom="column">
                  <wp:posOffset>501015</wp:posOffset>
                </wp:positionH>
                <wp:positionV relativeFrom="paragraph">
                  <wp:posOffset>1672590</wp:posOffset>
                </wp:positionV>
                <wp:extent cx="874395" cy="351790"/>
                <wp:effectExtent l="6350" t="6350" r="452755" b="156210"/>
                <wp:wrapNone/>
                <wp:docPr id="61" name="线形标注 2 61"/>
                <wp:cNvGraphicFramePr/>
                <a:graphic xmlns:a="http://schemas.openxmlformats.org/drawingml/2006/main">
                  <a:graphicData uri="http://schemas.microsoft.com/office/word/2010/wordprocessingShape">
                    <wps:wsp>
                      <wps:cNvSpPr/>
                      <wps:spPr>
                        <a:xfrm>
                          <a:off x="0" y="0"/>
                          <a:ext cx="874395" cy="351790"/>
                        </a:xfrm>
                        <a:prstGeom prst="borderCallout2">
                          <a:avLst>
                            <a:gd name="adj1" fmla="val 101444"/>
                            <a:gd name="adj2" fmla="val 98561"/>
                            <a:gd name="adj3" fmla="val 140613"/>
                            <a:gd name="adj4" fmla="val 115532"/>
                            <a:gd name="adj5" fmla="val 141696"/>
                            <a:gd name="adj6" fmla="val 150907"/>
                          </a:avLst>
                        </a:prstGeom>
                        <a:noFill/>
                        <a:ln>
                          <a:solidFill>
                            <a:srgbClr val="00B0F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672C4D83">
                            <w:pPr>
                              <w:jc w:val="center"/>
                              <w:rPr>
                                <w:rFonts w:hint="default" w:eastAsia="等线"/>
                                <w:b/>
                                <w:bCs/>
                                <w:color w:val="00B0F0"/>
                                <w:lang w:val="en-US" w:eastAsia="zh-CN"/>
                              </w:rPr>
                            </w:pPr>
                            <w:r>
                              <w:rPr>
                                <w:rFonts w:hint="eastAsia"/>
                                <w:b/>
                                <w:bCs/>
                                <w:color w:val="00B0F0"/>
                                <w:lang w:val="en-US" w:eastAsia="zh-CN"/>
                              </w:rPr>
                              <w:t>非本项目区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48" type="#_x0000_t48" style="position:absolute;left:0pt;margin-left:39.45pt;margin-top:131.7pt;height:27.7pt;width:68.85pt;z-index:251714560;v-text-anchor:middle;mso-width-relative:page;mso-height-relative:page;" filled="f" stroked="t" coordsize="21600,21600" o:gfxdata="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" adj="32596,30606,24955,30372,21289,21912">
                <v:fill on="f" focussize="0,0"/>
                <v:stroke weight="1pt" color="#00B0F0 [2404]" miterlimit="8" joinstyle="miter"/>
                <v:imagedata o:title=""/>
                <o:lock v:ext="edit" aspectratio="f"/>
                <v:textbox>
                  <w:txbxContent>
                    <w:p w14:paraId="672C4D83">
                      <w:pPr>
                        <w:jc w:val="center"/>
                        <w:rPr>
                          <w:rFonts w:hint="default" w:eastAsia="等线"/>
                          <w:b/>
                          <w:bCs/>
                          <w:color w:val="00B0F0"/>
                          <w:lang w:val="en-US" w:eastAsia="zh-CN"/>
                        </w:rPr>
                      </w:pPr>
                      <w:r>
                        <w:rPr>
                          <w:rFonts w:hint="eastAsia"/>
                          <w:b/>
                          <w:bCs/>
                          <w:color w:val="00B0F0"/>
                          <w:lang w:val="en-US" w:eastAsia="zh-CN"/>
                        </w:rPr>
                        <w:t>非本项目区</w:t>
                      </w:r>
                    </w:p>
                  </w:txbxContent>
                </v:textbox>
              </v:shape>
            </w:pict>
          </mc:Fallback>
        </mc:AlternateContent>
      </w:r>
      <w:r>
        <w:rPr>
          <w:sz w:val="21"/>
        </w:rPr>
        <mc:AlternateContent>
          <mc:Choice Requires="wps">
            <w:drawing>
              <wp:anchor distT="0" distB="0" distL="114300" distR="114300" simplePos="0" relativeHeight="251711488" behindDoc="0" locked="0" layoutInCell="1" allowOverlap="1">
                <wp:simplePos x="0" y="0"/>
                <wp:positionH relativeFrom="column">
                  <wp:posOffset>3844290</wp:posOffset>
                </wp:positionH>
                <wp:positionV relativeFrom="paragraph">
                  <wp:posOffset>2600325</wp:posOffset>
                </wp:positionV>
                <wp:extent cx="521970" cy="29845"/>
                <wp:effectExtent l="635" t="6350" r="10795" b="20955"/>
                <wp:wrapNone/>
                <wp:docPr id="62" name="直接连接符 62"/>
                <wp:cNvGraphicFramePr/>
                <a:graphic xmlns:a="http://schemas.openxmlformats.org/drawingml/2006/main">
                  <a:graphicData uri="http://schemas.microsoft.com/office/word/2010/wordprocessingShape">
                    <wps:wsp>
                      <wps:cNvCnPr/>
                      <wps:spPr>
                        <a:xfrm flipV="1">
                          <a:off x="0" y="0"/>
                          <a:ext cx="521970" cy="29845"/>
                        </a:xfrm>
                        <a:prstGeom prst="line">
                          <a:avLst/>
                        </a:prstGeom>
                        <a:ln>
                          <a:solidFill>
                            <a:schemeClr val="bg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y;margin-left:302.7pt;margin-top:204.75pt;height:2.35pt;width:41.1pt;z-index:251711488;mso-width-relative:page;mso-height-relative:page;" filled="f" stroked="t" coordsize="21600,21600" o:gfxdata="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5wDuH2wAAAAsBAAAPAAAAAAAAAAEAIAAAACIAAABkcnMvZG93bnJldi54bWxQSwEC&#10;FAAUAAAACACHTuJANoliMvEBAADBAwAADgAAAAAAAAABACAAAAAqAQAAZHJzL2Uyb0RvYy54bWxQ&#10;SwUGAAAAAAYABgBZAQAAjQUAAAAA&#10;">
                <v:fill on="f" focussize="0,0"/>
                <v:stroke weight="1pt" color="#FFFFFF [3212]" miterlimit="8" joinstyle="miter"/>
                <v:imagedata o:title=""/>
                <o:lock v:ext="edit" aspectratio="f"/>
              </v:line>
            </w:pict>
          </mc:Fallback>
        </mc:AlternateContent>
      </w:r>
      <w:r>
        <w:rPr>
          <w:sz w:val="21"/>
        </w:rPr>
        <mc:AlternateContent>
          <mc:Choice Requires="wps">
            <w:drawing>
              <wp:anchor distT="0" distB="0" distL="114300" distR="114300" simplePos="0" relativeHeight="251712512" behindDoc="0" locked="0" layoutInCell="1" allowOverlap="1">
                <wp:simplePos x="0" y="0"/>
                <wp:positionH relativeFrom="column">
                  <wp:posOffset>3859530</wp:posOffset>
                </wp:positionH>
                <wp:positionV relativeFrom="paragraph">
                  <wp:posOffset>3088640</wp:posOffset>
                </wp:positionV>
                <wp:extent cx="521970" cy="29845"/>
                <wp:effectExtent l="635" t="6350" r="10795" b="20955"/>
                <wp:wrapNone/>
                <wp:docPr id="65" name="直接连接符 65"/>
                <wp:cNvGraphicFramePr/>
                <a:graphic xmlns:a="http://schemas.openxmlformats.org/drawingml/2006/main">
                  <a:graphicData uri="http://schemas.microsoft.com/office/word/2010/wordprocessingShape">
                    <wps:wsp>
                      <wps:cNvCnPr/>
                      <wps:spPr>
                        <a:xfrm flipV="1">
                          <a:off x="0" y="0"/>
                          <a:ext cx="521970" cy="29845"/>
                        </a:xfrm>
                        <a:prstGeom prst="line">
                          <a:avLst/>
                        </a:prstGeom>
                        <a:ln>
                          <a:solidFill>
                            <a:schemeClr val="bg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y;margin-left:303.9pt;margin-top:243.2pt;height:2.35pt;width:41.1pt;z-index:251712512;mso-width-relative:page;mso-height-relative:page;" filled="f" stroked="t" coordsize="21600,21600" o:gfxdata="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HGStmfZAAAACwEAAA8AAAAAAAAAAQAgAAAAIgAAAGRycy9kb3ducmV2LnhtbFBLAQIU&#10;ABQAAAAIAIdO4kDZKvwE8gEAAMEDAAAOAAAAAAAAAAEAIAAAACgBAABkcnMvZTJvRG9jLnhtbFBL&#10;BQYAAAAABgAGAFkBAACMBQAAAAA=&#10;">
                <v:fill on="f" focussize="0,0"/>
                <v:stroke weight="1pt" color="#FFFFFF [3212]" miterlimit="8" joinstyle="miter"/>
                <v:imagedata o:title=""/>
                <o:lock v:ext="edit" aspectratio="f"/>
              </v:line>
            </w:pict>
          </mc:Fallback>
        </mc:AlternateContent>
      </w:r>
      <w:r>
        <w:rPr>
          <w:sz w:val="21"/>
        </w:rPr>
        <mc:AlternateContent>
          <mc:Choice Requires="wps">
            <w:drawing>
              <wp:anchor distT="0" distB="0" distL="114300" distR="114300" simplePos="0" relativeHeight="251713536" behindDoc="0" locked="0" layoutInCell="1" allowOverlap="1">
                <wp:simplePos x="0" y="0"/>
                <wp:positionH relativeFrom="column">
                  <wp:posOffset>3869690</wp:posOffset>
                </wp:positionH>
                <wp:positionV relativeFrom="paragraph">
                  <wp:posOffset>3533140</wp:posOffset>
                </wp:positionV>
                <wp:extent cx="521970" cy="29845"/>
                <wp:effectExtent l="635" t="6350" r="10795" b="20955"/>
                <wp:wrapNone/>
                <wp:docPr id="66" name="直接连接符 66"/>
                <wp:cNvGraphicFramePr/>
                <a:graphic xmlns:a="http://schemas.openxmlformats.org/drawingml/2006/main">
                  <a:graphicData uri="http://schemas.microsoft.com/office/word/2010/wordprocessingShape">
                    <wps:wsp>
                      <wps:cNvCnPr/>
                      <wps:spPr>
                        <a:xfrm flipV="1">
                          <a:off x="0" y="0"/>
                          <a:ext cx="521970" cy="29845"/>
                        </a:xfrm>
                        <a:prstGeom prst="line">
                          <a:avLst/>
                        </a:prstGeom>
                        <a:ln>
                          <a:solidFill>
                            <a:schemeClr val="bg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y;margin-left:304.7pt;margin-top:278.2pt;height:2.35pt;width:41.1pt;z-index:251713536;mso-width-relative:page;mso-height-relative:page;" filled="f" stroked="t" coordsize="21600,21600" o:gfxdata="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15rHftkAAAALAQAADwAAAAAAAAABACAAAAAiAAAAZHJzL2Rvd25yZXYueG1sUEsBAhQA&#10;FAAAAAgAh07iQNJmqhrxAQAAwQMAAA4AAAAAAAAAAQAgAAAAKAEAAGRycy9lMm9Eb2MueG1sUEsF&#10;BgAAAAAGAAYAWQEAAIsFAAAAAA==&#10;">
                <v:fill on="f" focussize="0,0"/>
                <v:stroke weight="1pt" color="#FFFFFF [3212]" miterlimit="8" joinstyle="miter"/>
                <v:imagedata o:title=""/>
                <o:lock v:ext="edit" aspectratio="f"/>
              </v:line>
            </w:pict>
          </mc:Fallback>
        </mc:AlternateContent>
      </w:r>
      <w:r>
        <w:rPr>
          <w:sz w:val="21"/>
        </w:rPr>
        <mc:AlternateContent>
          <mc:Choice Requires="wps">
            <w:drawing>
              <wp:anchor distT="0" distB="0" distL="114300" distR="114300" simplePos="0" relativeHeight="251710464" behindDoc="0" locked="0" layoutInCell="1" allowOverlap="1">
                <wp:simplePos x="0" y="0"/>
                <wp:positionH relativeFrom="column">
                  <wp:posOffset>3798570</wp:posOffset>
                </wp:positionH>
                <wp:positionV relativeFrom="paragraph">
                  <wp:posOffset>2151380</wp:posOffset>
                </wp:positionV>
                <wp:extent cx="521970" cy="29845"/>
                <wp:effectExtent l="635" t="6350" r="10795" b="20955"/>
                <wp:wrapNone/>
                <wp:docPr id="69" name="直接连接符 69"/>
                <wp:cNvGraphicFramePr/>
                <a:graphic xmlns:a="http://schemas.openxmlformats.org/drawingml/2006/main">
                  <a:graphicData uri="http://schemas.microsoft.com/office/word/2010/wordprocessingShape">
                    <wps:wsp>
                      <wps:cNvCnPr/>
                      <wps:spPr>
                        <a:xfrm flipV="1">
                          <a:off x="4944110" y="3066415"/>
                          <a:ext cx="521970" cy="29845"/>
                        </a:xfrm>
                        <a:prstGeom prst="line">
                          <a:avLst/>
                        </a:prstGeom>
                        <a:ln>
                          <a:solidFill>
                            <a:schemeClr val="bg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y;margin-left:299.1pt;margin-top:169.4pt;height:2.35pt;width:41.1pt;z-index:251710464;mso-width-relative:page;mso-height-relative:page;" filled="f" stroked="t" coordsize="21600,21600" o:gfxdata="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CuKSdPaAAAACwEAAA8AAAAAAAAAAQAgAAAAIgAAAGRycy9k&#10;b3ducmV2LnhtbFBLAQIUABQAAAAIAIdO4kBnkC85AAIAAM0DAAAOAAAAAAAAAAEAIAAAACkBAABk&#10;cnMvZTJvRG9jLnhtbFBLBQYAAAAABgAGAFkBAACbBQAAAAA=&#10;">
                <v:fill on="f" focussize="0,0"/>
                <v:stroke weight="1pt" color="#FFFFFF [3212]" miterlimit="8" joinstyle="miter"/>
                <v:imagedata o:title=""/>
                <o:lock v:ext="edit" aspectratio="f"/>
              </v:line>
            </w:pict>
          </mc:Fallback>
        </mc:AlternateContent>
      </w:r>
      <w:r>
        <w:rPr>
          <w:sz w:val="21"/>
        </w:rPr>
        <mc:AlternateContent>
          <mc:Choice Requires="wps">
            <w:drawing>
              <wp:anchor distT="0" distB="0" distL="114300" distR="114300" simplePos="0" relativeHeight="251709440" behindDoc="0" locked="0" layoutInCell="1" allowOverlap="1">
                <wp:simplePos x="0" y="0"/>
                <wp:positionH relativeFrom="column">
                  <wp:posOffset>909320</wp:posOffset>
                </wp:positionH>
                <wp:positionV relativeFrom="paragraph">
                  <wp:posOffset>3425825</wp:posOffset>
                </wp:positionV>
                <wp:extent cx="662305" cy="351790"/>
                <wp:effectExtent l="6350" t="58420" r="398145" b="8890"/>
                <wp:wrapNone/>
                <wp:docPr id="72" name="线形标注 2 72"/>
                <wp:cNvGraphicFramePr/>
                <a:graphic xmlns:a="http://schemas.openxmlformats.org/drawingml/2006/main">
                  <a:graphicData uri="http://schemas.microsoft.com/office/word/2010/wordprocessingShape">
                    <wps:wsp>
                      <wps:cNvSpPr/>
                      <wps:spPr>
                        <a:xfrm>
                          <a:off x="0" y="0"/>
                          <a:ext cx="662305" cy="351790"/>
                        </a:xfrm>
                        <a:prstGeom prst="borderCallout2">
                          <a:avLst>
                            <a:gd name="adj1" fmla="val 50180"/>
                            <a:gd name="adj2" fmla="val 102492"/>
                            <a:gd name="adj3" fmla="val 30866"/>
                            <a:gd name="adj4" fmla="val 123394"/>
                            <a:gd name="adj5" fmla="val -15162"/>
                            <a:gd name="adj6" fmla="val 158581"/>
                          </a:avLst>
                        </a:prstGeom>
                        <a:noFill/>
                        <a:ln>
                          <a:solidFill>
                            <a:schemeClr val="bg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3D08EF45">
                            <w:pPr>
                              <w:jc w:val="center"/>
                              <w:rPr>
                                <w:rFonts w:hint="default" w:eastAsia="等线"/>
                                <w:b/>
                                <w:bCs/>
                                <w:color w:val="FFFFFF" w:themeColor="background1"/>
                                <w:lang w:val="en-US" w:eastAsia="zh-CN"/>
                                <w14:textFill>
                                  <w14:solidFill>
                                    <w14:schemeClr w14:val="bg1"/>
                                  </w14:solidFill>
                                </w14:textFill>
                              </w:rPr>
                            </w:pPr>
                            <w:r>
                              <w:rPr>
                                <w:rFonts w:hint="eastAsia"/>
                                <w:b/>
                                <w:bCs/>
                                <w:color w:val="FFFFFF" w:themeColor="background1"/>
                                <w:lang w:val="en-US" w:eastAsia="zh-CN"/>
                                <w14:textFill>
                                  <w14:solidFill>
                                    <w14:schemeClr w14:val="bg1"/>
                                  </w14:solidFill>
                                </w14:textFill>
                              </w:rPr>
                              <w:t>办公室</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48" type="#_x0000_t48" style="position:absolute;left:0pt;margin-left:71.6pt;margin-top:269.75pt;height:27.7pt;width:52.15pt;z-index:251709440;v-text-anchor:middle;mso-width-relative:page;mso-height-relative:page;" filled="f" stroked="t" coordsize="21600,21600" o:gfxdata="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" adj="34253,-3275,26653,6667,22138,10839">
                <v:fill on="f" focussize="0,0"/>
                <v:stroke weight="1pt" color="#FFFFFF [3212]" miterlimit="8" joinstyle="miter"/>
                <v:imagedata o:title=""/>
                <o:lock v:ext="edit" aspectratio="f"/>
                <v:textbox>
                  <w:txbxContent>
                    <w:p w14:paraId="3D08EF45">
                      <w:pPr>
                        <w:jc w:val="center"/>
                        <w:rPr>
                          <w:rFonts w:hint="default" w:eastAsia="等线"/>
                          <w:b/>
                          <w:bCs/>
                          <w:color w:val="FFFFFF" w:themeColor="background1"/>
                          <w:lang w:val="en-US" w:eastAsia="zh-CN"/>
                          <w14:textFill>
                            <w14:solidFill>
                              <w14:schemeClr w14:val="bg1"/>
                            </w14:solidFill>
                          </w14:textFill>
                        </w:rPr>
                      </w:pPr>
                      <w:r>
                        <w:rPr>
                          <w:rFonts w:hint="eastAsia"/>
                          <w:b/>
                          <w:bCs/>
                          <w:color w:val="FFFFFF" w:themeColor="background1"/>
                          <w:lang w:val="en-US" w:eastAsia="zh-CN"/>
                          <w14:textFill>
                            <w14:solidFill>
                              <w14:schemeClr w14:val="bg1"/>
                            </w14:solidFill>
                          </w14:textFill>
                        </w:rPr>
                        <w:t>办公室</w:t>
                      </w:r>
                    </w:p>
                  </w:txbxContent>
                </v:textbox>
              </v:shape>
            </w:pict>
          </mc:Fallback>
        </mc:AlternateContent>
      </w:r>
      <w:r>
        <w:rPr>
          <w:sz w:val="21"/>
        </w:rPr>
        <mc:AlternateContent>
          <mc:Choice Requires="wps">
            <w:drawing>
              <wp:anchor distT="0" distB="0" distL="114300" distR="114300" simplePos="0" relativeHeight="251708416" behindDoc="0" locked="0" layoutInCell="1" allowOverlap="1">
                <wp:simplePos x="0" y="0"/>
                <wp:positionH relativeFrom="column">
                  <wp:posOffset>941705</wp:posOffset>
                </wp:positionH>
                <wp:positionV relativeFrom="paragraph">
                  <wp:posOffset>2306320</wp:posOffset>
                </wp:positionV>
                <wp:extent cx="662305" cy="351790"/>
                <wp:effectExtent l="6350" t="6350" r="283845" b="365760"/>
                <wp:wrapNone/>
                <wp:docPr id="73" name="线形标注 2 73"/>
                <wp:cNvGraphicFramePr/>
                <a:graphic xmlns:a="http://schemas.openxmlformats.org/drawingml/2006/main">
                  <a:graphicData uri="http://schemas.microsoft.com/office/word/2010/wordprocessingShape">
                    <wps:wsp>
                      <wps:cNvSpPr/>
                      <wps:spPr>
                        <a:xfrm>
                          <a:off x="0" y="0"/>
                          <a:ext cx="662305" cy="351790"/>
                        </a:xfrm>
                        <a:prstGeom prst="borderCallout2">
                          <a:avLst>
                            <a:gd name="adj1" fmla="val 101444"/>
                            <a:gd name="adj2" fmla="val 98561"/>
                            <a:gd name="adj3" fmla="val 140613"/>
                            <a:gd name="adj4" fmla="val 115532"/>
                            <a:gd name="adj5" fmla="val 200722"/>
                            <a:gd name="adj6" fmla="val 140172"/>
                          </a:avLst>
                        </a:prstGeom>
                        <a:noFill/>
                        <a:ln>
                          <a:solidFill>
                            <a:schemeClr val="bg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76BA262C">
                            <w:pPr>
                              <w:jc w:val="center"/>
                              <w:rPr>
                                <w:rFonts w:hint="default" w:eastAsia="等线"/>
                                <w:b/>
                                <w:bCs/>
                                <w:color w:val="FFFFFF" w:themeColor="background1"/>
                                <w:lang w:val="en-US" w:eastAsia="zh-CN"/>
                                <w14:textFill>
                                  <w14:solidFill>
                                    <w14:schemeClr w14:val="bg1"/>
                                  </w14:solidFill>
                                </w14:textFill>
                              </w:rPr>
                            </w:pPr>
                            <w:r>
                              <w:rPr>
                                <w:rFonts w:hint="eastAsia"/>
                                <w:b/>
                                <w:bCs/>
                                <w:color w:val="FFFFFF" w:themeColor="background1"/>
                                <w:lang w:val="en-US" w:eastAsia="zh-CN"/>
                                <w14:textFill>
                                  <w14:solidFill>
                                    <w14:schemeClr w14:val="bg1"/>
                                  </w14:solidFill>
                                </w14:textFill>
                              </w:rPr>
                              <w:t>仓储区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48" type="#_x0000_t48" style="position:absolute;left:0pt;margin-left:74.15pt;margin-top:181.6pt;height:27.7pt;width:52.15pt;z-index:251708416;v-text-anchor:middle;mso-width-relative:page;mso-height-relative:page;" filled="f" stroked="t" coordsize="21600,21600" o:gfxdata="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" adj="30277,43356,24955,30372,21289,21912">
                <v:fill on="f" focussize="0,0"/>
                <v:stroke weight="1pt" color="#FFFFFF [3212]" miterlimit="8" joinstyle="miter"/>
                <v:imagedata o:title=""/>
                <o:lock v:ext="edit" aspectratio="f"/>
                <v:textbox>
                  <w:txbxContent>
                    <w:p w14:paraId="76BA262C">
                      <w:pPr>
                        <w:jc w:val="center"/>
                        <w:rPr>
                          <w:rFonts w:hint="default" w:eastAsia="等线"/>
                          <w:b/>
                          <w:bCs/>
                          <w:color w:val="FFFFFF" w:themeColor="background1"/>
                          <w:lang w:val="en-US" w:eastAsia="zh-CN"/>
                          <w14:textFill>
                            <w14:solidFill>
                              <w14:schemeClr w14:val="bg1"/>
                            </w14:solidFill>
                          </w14:textFill>
                        </w:rPr>
                      </w:pPr>
                      <w:r>
                        <w:rPr>
                          <w:rFonts w:hint="eastAsia"/>
                          <w:b/>
                          <w:bCs/>
                          <w:color w:val="FFFFFF" w:themeColor="background1"/>
                          <w:lang w:val="en-US" w:eastAsia="zh-CN"/>
                          <w14:textFill>
                            <w14:solidFill>
                              <w14:schemeClr w14:val="bg1"/>
                            </w14:solidFill>
                          </w14:textFill>
                        </w:rPr>
                        <w:t>仓储区</w:t>
                      </w:r>
                    </w:p>
                  </w:txbxContent>
                </v:textbox>
              </v:shape>
            </w:pict>
          </mc:Fallback>
        </mc:AlternateContent>
      </w:r>
      <w:r>
        <w:rPr>
          <w:color w:val="auto"/>
          <w:sz w:val="21"/>
        </w:rPr>
        <mc:AlternateContent>
          <mc:Choice Requires="wps">
            <w:drawing>
              <wp:anchor distT="0" distB="0" distL="114300" distR="114300" simplePos="0" relativeHeight="251707392" behindDoc="0" locked="0" layoutInCell="1" allowOverlap="1">
                <wp:simplePos x="0" y="0"/>
                <wp:positionH relativeFrom="column">
                  <wp:posOffset>3849370</wp:posOffset>
                </wp:positionH>
                <wp:positionV relativeFrom="paragraph">
                  <wp:posOffset>1684020</wp:posOffset>
                </wp:positionV>
                <wp:extent cx="509905" cy="2295525"/>
                <wp:effectExtent l="69850" t="21590" r="86995" b="26035"/>
                <wp:wrapNone/>
                <wp:docPr id="74" name="矩形 74"/>
                <wp:cNvGraphicFramePr/>
                <a:graphic xmlns:a="http://schemas.openxmlformats.org/drawingml/2006/main">
                  <a:graphicData uri="http://schemas.microsoft.com/office/word/2010/wordprocessingShape">
                    <wps:wsp>
                      <wps:cNvSpPr/>
                      <wps:spPr>
                        <a:xfrm rot="21420000">
                          <a:off x="0" y="0"/>
                          <a:ext cx="509905" cy="2295525"/>
                        </a:xfrm>
                        <a:prstGeom prst="rect">
                          <a:avLst/>
                        </a:prstGeom>
                        <a:noFill/>
                        <a:ln w="19050">
                          <a:solidFill>
                            <a:schemeClr val="bg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1F70A848">
                            <w:pPr>
                              <w:jc w:val="center"/>
                              <w:rPr>
                                <w:rFonts w:hint="default"/>
                                <w:b/>
                                <w:bCs/>
                                <w:sz w:val="28"/>
                                <w:szCs w:val="28"/>
                                <w:lang w:val="en-US" w:eastAsia="zh-CN"/>
                              </w:rPr>
                            </w:pPr>
                            <w:r>
                              <w:rPr>
                                <w:rFonts w:hint="eastAsia"/>
                                <w:b/>
                                <w:bCs/>
                                <w:sz w:val="28"/>
                                <w:szCs w:val="28"/>
                                <w:lang w:val="en-US" w:eastAsia="zh-CN"/>
                              </w:rPr>
                              <w:t>仓储区</w:t>
                            </w:r>
                          </w:p>
                        </w:txbxContent>
                      </wps:txbx>
                      <wps:bodyPr rot="0" spcFirstLastPara="0" vertOverflow="overflow" horzOverflow="overflow" vert="eaVert"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03.1pt;margin-top:132.6pt;height:180.75pt;width:40.15pt;rotation:-196608f;z-index:251707392;v-text-anchor:middle;mso-width-relative:page;mso-height-relative:page;" filled="f" stroked="t" coordsize="21600,21600" o:gfxdata="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Bwzybj2wAAAAsBAAAPAAAAAAAAAAEA&#10;IAAAACIAAABkcnMvZG93bnJldi54bWxQSwECFAAUAAAACACHTuJAjxYFL34CAADpBAAADgAAAAAA&#10;AAABACAAAAAqAQAAZHJzL2Uyb0RvYy54bWxQSwUGAAAAAAYABgBZAQAAGgYAAAAA&#10;">
                <v:fill on="f" focussize="0,0"/>
                <v:stroke weight="1.5pt" color="#FFFFFF [3212]" miterlimit="8" joinstyle="miter"/>
                <v:imagedata o:title=""/>
                <o:lock v:ext="edit" aspectratio="f"/>
                <v:textbox style="layout-flow:vertical-ideographic;">
                  <w:txbxContent>
                    <w:p w14:paraId="1F70A848">
                      <w:pPr>
                        <w:jc w:val="center"/>
                        <w:rPr>
                          <w:rFonts w:hint="default"/>
                          <w:b/>
                          <w:bCs/>
                          <w:sz w:val="28"/>
                          <w:szCs w:val="28"/>
                          <w:lang w:val="en-US" w:eastAsia="zh-CN"/>
                        </w:rPr>
                      </w:pPr>
                      <w:r>
                        <w:rPr>
                          <w:rFonts w:hint="eastAsia"/>
                          <w:b/>
                          <w:bCs/>
                          <w:sz w:val="28"/>
                          <w:szCs w:val="28"/>
                          <w:lang w:val="en-US" w:eastAsia="zh-CN"/>
                        </w:rPr>
                        <w:t>仓储区</w:t>
                      </w:r>
                    </w:p>
                  </w:txbxContent>
                </v:textbox>
              </v:rect>
            </w:pict>
          </mc:Fallback>
        </mc:AlternateContent>
      </w:r>
      <w:r>
        <w:rPr>
          <w:sz w:val="21"/>
        </w:rPr>
        <mc:AlternateContent>
          <mc:Choice Requires="wps">
            <w:drawing>
              <wp:anchor distT="0" distB="0" distL="114300" distR="114300" simplePos="0" relativeHeight="251680768" behindDoc="0" locked="0" layoutInCell="1" allowOverlap="1">
                <wp:simplePos x="0" y="0"/>
                <wp:positionH relativeFrom="column">
                  <wp:posOffset>3744595</wp:posOffset>
                </wp:positionH>
                <wp:positionV relativeFrom="paragraph">
                  <wp:posOffset>1580515</wp:posOffset>
                </wp:positionV>
                <wp:extent cx="95250" cy="95250"/>
                <wp:effectExtent l="6350" t="6350" r="12700" b="12700"/>
                <wp:wrapNone/>
                <wp:docPr id="75" name="椭圆 75"/>
                <wp:cNvGraphicFramePr/>
                <a:graphic xmlns:a="http://schemas.openxmlformats.org/drawingml/2006/main">
                  <a:graphicData uri="http://schemas.microsoft.com/office/word/2010/wordprocessingShape">
                    <wps:wsp>
                      <wps:cNvSpPr/>
                      <wps:spPr>
                        <a:xfrm>
                          <a:off x="3226435" y="3350260"/>
                          <a:ext cx="95250" cy="95250"/>
                        </a:xfrm>
                        <a:prstGeom prst="ellipse">
                          <a:avLst/>
                        </a:prstGeom>
                        <a:solidFill>
                          <a:srgbClr val="FF0000"/>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94.85pt;margin-top:124.45pt;height:7.5pt;width:7.5pt;z-index:251680768;v-text-anchor:middle;mso-width-relative:page;mso-height-relative:page;" fillcolor="#FF0000" filled="t" stroked="t" coordsize="21600,21600" o:gfxdata="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WH9lf9kAAAALAQAADwAAAAAAAAABACAAAAAi&#10;AAAAZHJzL2Rvd25yZXYueG1sUEsBAhQAFAAAAAgAh07iQOzXUZ17AgAAAgUAAA4AAAAAAAAAAQAg&#10;AAAAKAEAAGRycy9lMm9Eb2MueG1sUEsFBgAAAAAGAAYAWQEAABUGAAAAAA==&#10;">
                <v:fill on="t" focussize="0,0"/>
                <v:stroke weight="1pt" color="#FFFF00 [2404]" miterlimit="8" joinstyle="miter"/>
                <v:imagedata o:title=""/>
                <o:lock v:ext="edit" aspectratio="f"/>
              </v:shape>
            </w:pict>
          </mc:Fallback>
        </mc:AlternateContent>
      </w:r>
      <w:r>
        <w:rPr>
          <w:sz w:val="21"/>
        </w:rPr>
        <mc:AlternateContent>
          <mc:Choice Requires="wps">
            <w:drawing>
              <wp:anchor distT="0" distB="0" distL="114300" distR="114300" simplePos="0" relativeHeight="251706368" behindDoc="0" locked="0" layoutInCell="1" allowOverlap="1">
                <wp:simplePos x="0" y="0"/>
                <wp:positionH relativeFrom="column">
                  <wp:posOffset>1905635</wp:posOffset>
                </wp:positionH>
                <wp:positionV relativeFrom="paragraph">
                  <wp:posOffset>1704975</wp:posOffset>
                </wp:positionV>
                <wp:extent cx="1826260" cy="534670"/>
                <wp:effectExtent l="10795" t="9525" r="10795" b="27305"/>
                <wp:wrapNone/>
                <wp:docPr id="76" name="任意多边形 76"/>
                <wp:cNvGraphicFramePr/>
                <a:graphic xmlns:a="http://schemas.openxmlformats.org/drawingml/2006/main">
                  <a:graphicData uri="http://schemas.microsoft.com/office/word/2010/wordprocessingShape">
                    <wps:wsp>
                      <wps:cNvSpPr/>
                      <wps:spPr>
                        <a:xfrm>
                          <a:off x="2805430" y="3086100"/>
                          <a:ext cx="1826260" cy="534670"/>
                        </a:xfrm>
                        <a:custGeom>
                          <a:avLst/>
                          <a:gdLst>
                            <a:gd name="connisteX0" fmla="*/ 0 w 1795145"/>
                            <a:gd name="connsiteY0" fmla="*/ 6985 h 534670"/>
                            <a:gd name="connisteX1" fmla="*/ 1763395 w 1795145"/>
                            <a:gd name="connsiteY1" fmla="*/ 0 h 534670"/>
                            <a:gd name="connisteX2" fmla="*/ 1795145 w 1795145"/>
                            <a:gd name="connsiteY2" fmla="*/ 502285 h 534670"/>
                            <a:gd name="connisteX3" fmla="*/ 64135 w 1795145"/>
                            <a:gd name="connsiteY3" fmla="*/ 534670 h 534670"/>
                            <a:gd name="connisteX4" fmla="*/ 0 w 1795145"/>
                            <a:gd name="connsiteY4" fmla="*/ 6985 h 53467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1795145" h="534670">
                              <a:moveTo>
                                <a:pt x="0" y="6985"/>
                              </a:moveTo>
                              <a:lnTo>
                                <a:pt x="1763395" y="0"/>
                              </a:lnTo>
                              <a:lnTo>
                                <a:pt x="1795145" y="502285"/>
                              </a:lnTo>
                              <a:lnTo>
                                <a:pt x="64135" y="534670"/>
                              </a:lnTo>
                              <a:lnTo>
                                <a:pt x="0" y="6985"/>
                              </a:lnTo>
                              <a:close/>
                            </a:path>
                          </a:pathLst>
                        </a:custGeom>
                        <a:ln w="19050" cmpd="sng">
                          <a:solidFill>
                            <a:schemeClr val="bg1"/>
                          </a:solidFill>
                          <a:prstDash val="solid"/>
                        </a:ln>
                      </wps:spPr>
                      <wps:style>
                        <a:lnRef idx="2">
                          <a:schemeClr val="accent1"/>
                        </a:lnRef>
                        <a:fillRef idx="0">
                          <a:srgbClr val="FFFFFF"/>
                        </a:fillRef>
                        <a:effectRef idx="0">
                          <a:srgbClr val="FFFFFF"/>
                        </a:effectRef>
                        <a:fontRef idx="minor">
                          <a:schemeClr val="tx1"/>
                        </a:fontRef>
                      </wps:style>
                      <wps:txbx>
                        <w:txbxContent>
                          <w:p w14:paraId="480216BB">
                            <w:pPr>
                              <w:jc w:val="center"/>
                              <w:rPr>
                                <w:rFonts w:hint="eastAsia" w:eastAsia="等线"/>
                                <w:b/>
                                <w:bCs/>
                                <w:color w:val="FFFFFF" w:themeColor="background1"/>
                                <w:sz w:val="28"/>
                                <w:szCs w:val="28"/>
                                <w:lang w:val="en-US" w:eastAsia="zh-CN"/>
                                <w14:textFill>
                                  <w14:solidFill>
                                    <w14:schemeClr w14:val="bg1"/>
                                  </w14:solidFill>
                                </w14:textFill>
                              </w:rPr>
                            </w:pPr>
                            <w:r>
                              <w:rPr>
                                <w:rFonts w:hint="eastAsia"/>
                                <w:b/>
                                <w:bCs/>
                                <w:color w:val="FFFFFF" w:themeColor="background1"/>
                                <w:sz w:val="28"/>
                                <w:szCs w:val="28"/>
                                <w:lang w:val="en-US" w:eastAsia="zh-CN"/>
                                <w14:textFill>
                                  <w14:solidFill>
                                    <w14:schemeClr w14:val="bg1"/>
                                  </w14:solidFill>
                                </w14:textFill>
                              </w:rPr>
                              <w:t>仓储区</w:t>
                            </w:r>
                          </w:p>
                        </w:txbxContent>
                      </wps:txbx>
                      <wps:bodyPr/>
                    </wps:wsp>
                  </a:graphicData>
                </a:graphic>
              </wp:anchor>
            </w:drawing>
          </mc:Choice>
          <mc:Fallback>
            <w:pict>
              <v:shape id="_x0000_s1026" o:spid="_x0000_s1026" o:spt="100" style="position:absolute;left:0pt;margin-left:150.05pt;margin-top:134.25pt;height:42.1pt;width:143.8pt;z-index:251706368;mso-width-relative:page;mso-height-relative:page;" filled="f" stroked="t" coordsize="1795145,534670" o:gfxdata="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" path="m0,6985l1763395,0,1795145,502285,64135,534670,0,6985xe">
                <v:path textboxrect="0,0,1795145,534670" o:connectlocs="0,6985;1793959,0;1826260,502285;65246,534670;0,6985" o:connectangles="0,0,0,0,0"/>
                <v:fill on="f" focussize="0,0"/>
                <v:stroke weight="1.5pt" color="#FFFFFF [3212]" miterlimit="8" joinstyle="miter"/>
                <v:imagedata o:title=""/>
                <o:lock v:ext="edit" aspectratio="f"/>
                <v:textbox>
                  <w:txbxContent>
                    <w:p w14:paraId="480216BB">
                      <w:pPr>
                        <w:jc w:val="center"/>
                        <w:rPr>
                          <w:rFonts w:hint="eastAsia" w:eastAsia="等线"/>
                          <w:b/>
                          <w:bCs/>
                          <w:color w:val="FFFFFF" w:themeColor="background1"/>
                          <w:sz w:val="28"/>
                          <w:szCs w:val="28"/>
                          <w:lang w:val="en-US" w:eastAsia="zh-CN"/>
                          <w14:textFill>
                            <w14:solidFill>
                              <w14:schemeClr w14:val="bg1"/>
                            </w14:solidFill>
                          </w14:textFill>
                        </w:rPr>
                      </w:pPr>
                      <w:r>
                        <w:rPr>
                          <w:rFonts w:hint="eastAsia"/>
                          <w:b/>
                          <w:bCs/>
                          <w:color w:val="FFFFFF" w:themeColor="background1"/>
                          <w:sz w:val="28"/>
                          <w:szCs w:val="28"/>
                          <w:lang w:val="en-US" w:eastAsia="zh-CN"/>
                          <w14:textFill>
                            <w14:solidFill>
                              <w14:schemeClr w14:val="bg1"/>
                            </w14:solidFill>
                          </w14:textFill>
                        </w:rPr>
                        <w:t>仓储区</w:t>
                      </w:r>
                    </w:p>
                  </w:txbxContent>
                </v:textbox>
              </v:shape>
            </w:pict>
          </mc:Fallback>
        </mc:AlternateContent>
      </w:r>
      <w:r>
        <w:rPr>
          <w:sz w:val="21"/>
        </w:rPr>
        <mc:AlternateContent>
          <mc:Choice Requires="wps">
            <w:drawing>
              <wp:anchor distT="0" distB="0" distL="114300" distR="114300" simplePos="0" relativeHeight="251682816" behindDoc="0" locked="0" layoutInCell="1" allowOverlap="1">
                <wp:simplePos x="0" y="0"/>
                <wp:positionH relativeFrom="column">
                  <wp:posOffset>832485</wp:posOffset>
                </wp:positionH>
                <wp:positionV relativeFrom="paragraph">
                  <wp:posOffset>967740</wp:posOffset>
                </wp:positionV>
                <wp:extent cx="662305" cy="351790"/>
                <wp:effectExtent l="6350" t="6350" r="283845" b="365760"/>
                <wp:wrapNone/>
                <wp:docPr id="77" name="线形标注 2 77"/>
                <wp:cNvGraphicFramePr/>
                <a:graphic xmlns:a="http://schemas.openxmlformats.org/drawingml/2006/main">
                  <a:graphicData uri="http://schemas.microsoft.com/office/word/2010/wordprocessingShape">
                    <wps:wsp>
                      <wps:cNvSpPr/>
                      <wps:spPr>
                        <a:xfrm>
                          <a:off x="0" y="0"/>
                          <a:ext cx="662305" cy="351790"/>
                        </a:xfrm>
                        <a:prstGeom prst="borderCallout2">
                          <a:avLst>
                            <a:gd name="adj1" fmla="val 101444"/>
                            <a:gd name="adj2" fmla="val 98561"/>
                            <a:gd name="adj3" fmla="val 140613"/>
                            <a:gd name="adj4" fmla="val 115532"/>
                            <a:gd name="adj5" fmla="val 200722"/>
                            <a:gd name="adj6" fmla="val 140172"/>
                          </a:avLst>
                        </a:pr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4B08550C">
                            <w:pPr>
                              <w:jc w:val="center"/>
                              <w:rPr>
                                <w:rFonts w:hint="default" w:eastAsia="等线"/>
                                <w:b/>
                                <w:bCs/>
                                <w:color w:val="FFFF00"/>
                                <w:lang w:val="en-US" w:eastAsia="zh-CN"/>
                              </w:rPr>
                            </w:pPr>
                            <w:r>
                              <w:rPr>
                                <w:rFonts w:hint="eastAsia"/>
                                <w:b/>
                                <w:bCs/>
                                <w:color w:val="FFFF00"/>
                                <w:lang w:val="en-US" w:eastAsia="zh-CN"/>
                              </w:rPr>
                              <w:t>化粪池</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48" type="#_x0000_t48" style="position:absolute;left:0pt;margin-left:65.55pt;margin-top:76.2pt;height:27.7pt;width:52.15pt;z-index:251682816;v-text-anchor:middle;mso-width-relative:page;mso-height-relative:page;" filled="f" stroked="t" coordsize="21600,21600" o:gfxdata="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" adj="30277,43356,24955,30372,21289,21912">
                <v:fill on="f" focussize="0,0"/>
                <v:stroke weight="1pt" color="#FFFF00 [2404]" miterlimit="8" joinstyle="miter"/>
                <v:imagedata o:title=""/>
                <o:lock v:ext="edit" aspectratio="f"/>
                <v:textbox>
                  <w:txbxContent>
                    <w:p w14:paraId="4B08550C">
                      <w:pPr>
                        <w:jc w:val="center"/>
                        <w:rPr>
                          <w:rFonts w:hint="default" w:eastAsia="等线"/>
                          <w:b/>
                          <w:bCs/>
                          <w:color w:val="FFFF00"/>
                          <w:lang w:val="en-US" w:eastAsia="zh-CN"/>
                        </w:rPr>
                      </w:pPr>
                      <w:r>
                        <w:rPr>
                          <w:rFonts w:hint="eastAsia"/>
                          <w:b/>
                          <w:bCs/>
                          <w:color w:val="FFFF00"/>
                          <w:lang w:val="en-US" w:eastAsia="zh-CN"/>
                        </w:rPr>
                        <w:t>化粪池</w:t>
                      </w:r>
                    </w:p>
                  </w:txbxContent>
                </v:textbox>
              </v:shape>
            </w:pict>
          </mc:Fallback>
        </mc:AlternateContent>
      </w:r>
      <w:r>
        <w:rPr>
          <w:rFonts w:hint="default"/>
          <w:color w:val="auto"/>
          <w:lang w:val="en-US" w:eastAsia="zh-CN"/>
        </w:rPr>
        <w:drawing>
          <wp:inline distT="0" distB="0" distL="114300" distR="114300">
            <wp:extent cx="5721985" cy="6018530"/>
            <wp:effectExtent l="0" t="0" r="12065" b="1270"/>
            <wp:docPr id="78" name="图片 78" descr="屏幕截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屏幕截图"/>
                    <pic:cNvPicPr>
                      <a:picLocks noChangeAspect="1"/>
                    </pic:cNvPicPr>
                  </pic:nvPicPr>
                  <pic:blipFill>
                    <a:blip r:embed="rId82"/>
                    <a:stretch>
                      <a:fillRect/>
                    </a:stretch>
                  </pic:blipFill>
                  <pic:spPr>
                    <a:xfrm>
                      <a:off x="0" y="0"/>
                      <a:ext cx="5721985" cy="6018530"/>
                    </a:xfrm>
                    <a:prstGeom prst="rect">
                      <a:avLst/>
                    </a:prstGeom>
                  </pic:spPr>
                </pic:pic>
              </a:graphicData>
            </a:graphic>
          </wp:inline>
        </w:drawing>
      </w:r>
      <w:r>
        <w:rPr>
          <w:color w:val="auto"/>
          <w:sz w:val="21"/>
        </w:rPr>
        <mc:AlternateContent>
          <mc:Choice Requires="wps">
            <w:drawing>
              <wp:anchor distT="0" distB="0" distL="114300" distR="114300" simplePos="0" relativeHeight="251681792" behindDoc="0" locked="0" layoutInCell="1" allowOverlap="1">
                <wp:simplePos x="0" y="0"/>
                <wp:positionH relativeFrom="column">
                  <wp:posOffset>1724025</wp:posOffset>
                </wp:positionH>
                <wp:positionV relativeFrom="paragraph">
                  <wp:posOffset>1723390</wp:posOffset>
                </wp:positionV>
                <wp:extent cx="233680" cy="1071245"/>
                <wp:effectExtent l="74930" t="20955" r="91440" b="31750"/>
                <wp:wrapNone/>
                <wp:docPr id="79" name="矩形 79"/>
                <wp:cNvGraphicFramePr/>
                <a:graphic xmlns:a="http://schemas.openxmlformats.org/drawingml/2006/main">
                  <a:graphicData uri="http://schemas.microsoft.com/office/word/2010/wordprocessingShape">
                    <wps:wsp>
                      <wps:cNvSpPr/>
                      <wps:spPr>
                        <a:xfrm rot="21180000">
                          <a:off x="0" y="0"/>
                          <a:ext cx="233680" cy="1071245"/>
                        </a:xfrm>
                        <a:prstGeom prst="rect">
                          <a:avLst/>
                        </a:prstGeom>
                        <a:noFill/>
                        <a:ln w="19050">
                          <a:solidFill>
                            <a:srgbClr val="00B0F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0268FF02">
                            <w:pPr>
                              <w:rPr>
                                <w:rFonts w:hint="default"/>
                                <w:lang w:val="en-US" w:eastAsia="zh-CN"/>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35.75pt;margin-top:135.7pt;height:84.35pt;width:18.4pt;rotation:-458752f;z-index:251681792;v-text-anchor:middle;mso-width-relative:page;mso-height-relative:page;" filled="f" stroked="t" coordsize="21600,21600" o:gfxdata="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HndgzdgAAAALAQAADwAAAAAAAAABACAAAAAi&#10;AAAAZHJzL2Rvd25yZXYueG1sUEsBAhQAFAAAAAgAh07iQMnsykV8AgAA5wQAAA4AAAAAAAAAAQAg&#10;AAAAJwEAAGRycy9lMm9Eb2MueG1sUEsFBgAAAAAGAAYAWQEAABUGAAAAAA==&#10;">
                <v:fill on="f" focussize="0,0"/>
                <v:stroke weight="1.5pt" color="#00B0F0 [2404]" miterlimit="8" joinstyle="miter"/>
                <v:imagedata o:title=""/>
                <o:lock v:ext="edit" aspectratio="f"/>
                <v:textbox>
                  <w:txbxContent>
                    <w:p w14:paraId="0268FF02">
                      <w:pPr>
                        <w:rPr>
                          <w:rFonts w:hint="default"/>
                          <w:lang w:val="en-US" w:eastAsia="zh-CN"/>
                        </w:rPr>
                      </w:pPr>
                    </w:p>
                  </w:txbxContent>
                </v:textbox>
              </v:rect>
            </w:pict>
          </mc:Fallback>
        </mc:AlternateContent>
      </w:r>
      <w:r>
        <w:rPr>
          <w:color w:val="auto"/>
          <w:sz w:val="21"/>
        </w:rPr>
        <mc:AlternateContent>
          <mc:Choice Requires="wps">
            <w:drawing>
              <wp:anchor distT="0" distB="0" distL="114300" distR="114300" simplePos="0" relativeHeight="251705344" behindDoc="0" locked="0" layoutInCell="1" allowOverlap="1">
                <wp:simplePos x="0" y="0"/>
                <wp:positionH relativeFrom="column">
                  <wp:posOffset>1802765</wp:posOffset>
                </wp:positionH>
                <wp:positionV relativeFrom="paragraph">
                  <wp:posOffset>2799715</wp:posOffset>
                </wp:positionV>
                <wp:extent cx="228600" cy="389890"/>
                <wp:effectExtent l="33655" t="22860" r="42545" b="25400"/>
                <wp:wrapNone/>
                <wp:docPr id="80" name="矩形 80"/>
                <wp:cNvGraphicFramePr/>
                <a:graphic xmlns:a="http://schemas.openxmlformats.org/drawingml/2006/main">
                  <a:graphicData uri="http://schemas.microsoft.com/office/word/2010/wordprocessingShape">
                    <wps:wsp>
                      <wps:cNvSpPr/>
                      <wps:spPr>
                        <a:xfrm rot="21180000">
                          <a:off x="0" y="0"/>
                          <a:ext cx="228600" cy="389890"/>
                        </a:xfrm>
                        <a:prstGeom prst="rect">
                          <a:avLst/>
                        </a:prstGeom>
                        <a:noFill/>
                        <a:ln w="19050">
                          <a:solidFill>
                            <a:schemeClr val="bg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2C670B43">
                            <w:pPr>
                              <w:rPr>
                                <w:rFonts w:hint="default"/>
                                <w:lang w:val="en-US" w:eastAsia="zh-CN"/>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41.95pt;margin-top:220.45pt;height:30.7pt;width:18pt;rotation:-458752f;z-index:251705344;v-text-anchor:middle;mso-width-relative:page;mso-height-relative:page;" filled="f" stroked="t" coordsize="21600,21600" o:gfxdata="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Ssr4L9cAAAALAQAADwAAAAAAAAABACAAAAAiAAAAZHJz&#10;L2Rvd25yZXYueG1sUEsBAhQAFAAAAAgAh07iQAeeA093AgAA5gQAAA4AAAAAAAAAAQAgAAAAJgEA&#10;AGRycy9lMm9Eb2MueG1sUEsFBgAAAAAGAAYAWQEAAA8GAAAAAA==&#10;">
                <v:fill on="f" focussize="0,0"/>
                <v:stroke weight="1.5pt" color="#FFFFFF [3212]" miterlimit="8" joinstyle="miter"/>
                <v:imagedata o:title=""/>
                <o:lock v:ext="edit" aspectratio="f"/>
                <v:textbox>
                  <w:txbxContent>
                    <w:p w14:paraId="2C670B43">
                      <w:pPr>
                        <w:rPr>
                          <w:rFonts w:hint="default"/>
                          <w:lang w:val="en-US" w:eastAsia="zh-CN"/>
                        </w:rPr>
                      </w:pPr>
                    </w:p>
                  </w:txbxContent>
                </v:textbox>
              </v:rect>
            </w:pict>
          </mc:Fallback>
        </mc:AlternateContent>
      </w:r>
      <w:r>
        <w:rPr>
          <w:color w:val="auto"/>
          <w:sz w:val="21"/>
        </w:rPr>
        <mc:AlternateContent>
          <mc:Choice Requires="wps">
            <w:drawing>
              <wp:anchor distT="0" distB="0" distL="114300" distR="114300" simplePos="0" relativeHeight="251679744" behindDoc="0" locked="0" layoutInCell="1" allowOverlap="1">
                <wp:simplePos x="0" y="0"/>
                <wp:positionH relativeFrom="column">
                  <wp:posOffset>1860550</wp:posOffset>
                </wp:positionH>
                <wp:positionV relativeFrom="paragraph">
                  <wp:posOffset>3204210</wp:posOffset>
                </wp:positionV>
                <wp:extent cx="228600" cy="389890"/>
                <wp:effectExtent l="33655" t="22860" r="42545" b="25400"/>
                <wp:wrapNone/>
                <wp:docPr id="81" name="矩形 81"/>
                <wp:cNvGraphicFramePr/>
                <a:graphic xmlns:a="http://schemas.openxmlformats.org/drawingml/2006/main">
                  <a:graphicData uri="http://schemas.microsoft.com/office/word/2010/wordprocessingShape">
                    <wps:wsp>
                      <wps:cNvSpPr/>
                      <wps:spPr>
                        <a:xfrm rot="21180000">
                          <a:off x="0" y="0"/>
                          <a:ext cx="228600" cy="389890"/>
                        </a:xfrm>
                        <a:prstGeom prst="rect">
                          <a:avLst/>
                        </a:prstGeom>
                        <a:noFill/>
                        <a:ln w="19050">
                          <a:solidFill>
                            <a:schemeClr val="bg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5EC20A4D">
                            <w:pPr>
                              <w:rPr>
                                <w:rFonts w:hint="default"/>
                                <w:lang w:val="en-US" w:eastAsia="zh-CN"/>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46.5pt;margin-top:252.3pt;height:30.7pt;width:18pt;rotation:-458752f;z-index:251679744;v-text-anchor:middle;mso-width-relative:page;mso-height-relative:page;" filled="f" stroked="t" coordsize="21600,21600" o:gfxdata="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CMtiaL1wAAAAsBAAAPAAAAAAAAAAEAIAAAACIAAABk&#10;cnMvZG93bnJldi54bWxQSwECFAAUAAAACACHTuJA+ZvrYHkCAADmBAAADgAAAAAAAAABACAAAAAm&#10;AQAAZHJzL2Uyb0RvYy54bWxQSwUGAAAAAAYABgBZAQAAEQYAAAAA&#10;">
                <v:fill on="f" focussize="0,0"/>
                <v:stroke weight="1.5pt" color="#FFFFFF [3212]" miterlimit="8" joinstyle="miter"/>
                <v:imagedata o:title=""/>
                <o:lock v:ext="edit" aspectratio="f"/>
                <v:textbox>
                  <w:txbxContent>
                    <w:p w14:paraId="5EC20A4D">
                      <w:pPr>
                        <w:rPr>
                          <w:rFonts w:hint="default"/>
                          <w:lang w:val="en-US" w:eastAsia="zh-CN"/>
                        </w:rPr>
                      </w:pPr>
                    </w:p>
                  </w:txbxContent>
                </v:textbox>
              </v:rect>
            </w:pict>
          </mc:Fallback>
        </mc:AlternateContent>
      </w:r>
      <w:r>
        <w:rPr>
          <w:color w:val="auto"/>
        </w:rPr>
        <w:drawing>
          <wp:anchor distT="0" distB="0" distL="114300" distR="114300" simplePos="0" relativeHeight="251672576" behindDoc="0" locked="0" layoutInCell="1" allowOverlap="1">
            <wp:simplePos x="0" y="0"/>
            <wp:positionH relativeFrom="column">
              <wp:posOffset>4880610</wp:posOffset>
            </wp:positionH>
            <wp:positionV relativeFrom="paragraph">
              <wp:posOffset>39370</wp:posOffset>
            </wp:positionV>
            <wp:extent cx="834390" cy="838200"/>
            <wp:effectExtent l="9525" t="9525" r="13335" b="9525"/>
            <wp:wrapNone/>
            <wp:docPr id="82" name="图片 82" descr="C:\Users\ADMINI~1\AppData\Local\Temp\ksohtml2840\wp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C:\Users\ADMINI~1\AppData\Local\Temp\ksohtml2840\wps1.jpg"/>
                    <pic:cNvPicPr>
                      <a:picLocks noChangeAspect="1" noChangeArrowheads="1"/>
                    </pic:cNvPicPr>
                  </pic:nvPicPr>
                  <pic:blipFill>
                    <a:blip r:embed="rId78"/>
                    <a:srcRect/>
                    <a:stretch>
                      <a:fillRect/>
                    </a:stretch>
                  </pic:blipFill>
                  <pic:spPr>
                    <a:xfrm>
                      <a:off x="0" y="0"/>
                      <a:ext cx="834390" cy="838200"/>
                    </a:xfrm>
                    <a:prstGeom prst="rect">
                      <a:avLst/>
                    </a:prstGeom>
                    <a:noFill/>
                    <a:ln>
                      <a:solidFill>
                        <a:schemeClr val="tx1"/>
                      </a:solidFill>
                    </a:ln>
                  </pic:spPr>
                </pic:pic>
              </a:graphicData>
            </a:graphic>
          </wp:anchor>
        </w:drawing>
      </w:r>
      <w:r>
        <w:rPr>
          <w:color w:val="auto"/>
          <w:sz w:val="21"/>
        </w:rPr>
        <mc:AlternateContent>
          <mc:Choice Requires="wps">
            <w:drawing>
              <wp:anchor distT="0" distB="0" distL="114300" distR="114300" simplePos="0" relativeHeight="251671552" behindDoc="0" locked="0" layoutInCell="1" allowOverlap="1">
                <wp:simplePos x="0" y="0"/>
                <wp:positionH relativeFrom="column">
                  <wp:posOffset>1860550</wp:posOffset>
                </wp:positionH>
                <wp:positionV relativeFrom="paragraph">
                  <wp:posOffset>3528695</wp:posOffset>
                </wp:positionV>
                <wp:extent cx="300990" cy="539115"/>
                <wp:effectExtent l="0" t="0" r="0" b="0"/>
                <wp:wrapNone/>
                <wp:docPr id="107" name="矩形 107"/>
                <wp:cNvGraphicFramePr/>
                <a:graphic xmlns:a="http://schemas.openxmlformats.org/drawingml/2006/main">
                  <a:graphicData uri="http://schemas.microsoft.com/office/word/2010/wordprocessingShape">
                    <wps:wsp>
                      <wps:cNvSpPr/>
                      <wps:spPr>
                        <a:xfrm rot="21360000">
                          <a:off x="0" y="0"/>
                          <a:ext cx="300990" cy="539115"/>
                        </a:xfrm>
                        <a:prstGeom prst="rect">
                          <a:avLst/>
                        </a:prstGeom>
                        <a:noFill/>
                        <a:ln w="19050">
                          <a:noFill/>
                        </a:ln>
                      </wps:spPr>
                      <wps:style>
                        <a:lnRef idx="2">
                          <a:schemeClr val="accent1">
                            <a:lumMod val="75000"/>
                          </a:schemeClr>
                        </a:lnRef>
                        <a:fillRef idx="1">
                          <a:schemeClr val="accent1"/>
                        </a:fillRef>
                        <a:effectRef idx="0">
                          <a:srgbClr val="FFFFFF"/>
                        </a:effectRef>
                        <a:fontRef idx="minor">
                          <a:schemeClr val="lt1"/>
                        </a:fontRef>
                      </wps:style>
                      <wps:txbx>
                        <w:txbxContent>
                          <w:p w14:paraId="66E79AAC">
                            <w:pPr>
                              <w:jc w:val="center"/>
                              <w:rPr>
                                <w:rFonts w:hint="eastAsia" w:eastAsia="等线"/>
                                <w:lang w:val="en-US" w:eastAsia="zh-CN"/>
                              </w:rPr>
                            </w:pPr>
                            <w:r>
                              <w:rPr>
                                <w:rFonts w:hint="eastAsia"/>
                                <w:lang w:val="en-US" w:eastAsia="zh-CN"/>
                              </w:rPr>
                              <w:t>大门</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46.5pt;margin-top:277.85pt;height:42.45pt;width:23.7pt;rotation:-262144f;z-index:251671552;v-text-anchor:middle;mso-width-relative:page;mso-height-relative:page;" filled="f" stroked="f" coordsize="21600,21600" o:gfxdata="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viYF/dkAAAALAQAADwAAAAAAAAABACAAAAAiAAAAZHJzL2Rvd25yZXYueG1s&#10;UEsBAhQAFAAAAAgAh07iQGqZI+dpAgAAvwQAAA4AAAAAAAAAAQAgAAAAKAEAAGRycy9lMm9Eb2Mu&#10;eG1sUEsFBgAAAAAGAAYAWQEAAAMGAAAAAA==&#10;">
                <v:fill on="f" focussize="0,0"/>
                <v:stroke on="f" weight="1.5pt" miterlimit="8" joinstyle="miter"/>
                <v:imagedata o:title=""/>
                <o:lock v:ext="edit" aspectratio="f"/>
                <v:textbox>
                  <w:txbxContent>
                    <w:p w14:paraId="66E79AAC">
                      <w:pPr>
                        <w:jc w:val="center"/>
                        <w:rPr>
                          <w:rFonts w:hint="eastAsia" w:eastAsia="等线"/>
                          <w:lang w:val="en-US" w:eastAsia="zh-CN"/>
                        </w:rPr>
                      </w:pPr>
                      <w:r>
                        <w:rPr>
                          <w:rFonts w:hint="eastAsia"/>
                          <w:lang w:val="en-US" w:eastAsia="zh-CN"/>
                        </w:rPr>
                        <w:t>大门</w:t>
                      </w:r>
                    </w:p>
                  </w:txbxContent>
                </v:textbox>
              </v:rect>
            </w:pict>
          </mc:Fallback>
        </mc:AlternateContent>
      </w:r>
      <w:r>
        <w:rPr>
          <w:sz w:val="21"/>
        </w:rPr>
        <mc:AlternateContent>
          <mc:Choice Requires="wps">
            <w:drawing>
              <wp:anchor distT="0" distB="0" distL="114300" distR="114300" simplePos="0" relativeHeight="251704320" behindDoc="0" locked="0" layoutInCell="1" allowOverlap="1">
                <wp:simplePos x="0" y="0"/>
                <wp:positionH relativeFrom="column">
                  <wp:posOffset>1991995</wp:posOffset>
                </wp:positionH>
                <wp:positionV relativeFrom="paragraph">
                  <wp:posOffset>502920</wp:posOffset>
                </wp:positionV>
                <wp:extent cx="1323340" cy="344170"/>
                <wp:effectExtent l="6350" t="6350" r="480060" b="754380"/>
                <wp:wrapNone/>
                <wp:docPr id="108" name="线形标注 1 108"/>
                <wp:cNvGraphicFramePr/>
                <a:graphic xmlns:a="http://schemas.openxmlformats.org/drawingml/2006/main">
                  <a:graphicData uri="http://schemas.microsoft.com/office/word/2010/wordprocessingShape">
                    <wps:wsp>
                      <wps:cNvSpPr/>
                      <wps:spPr>
                        <a:xfrm>
                          <a:off x="1965960" y="1831340"/>
                          <a:ext cx="1323340" cy="344170"/>
                        </a:xfrm>
                        <a:prstGeom prst="borderCallout1">
                          <a:avLst>
                            <a:gd name="adj1" fmla="val 51959"/>
                            <a:gd name="adj2" fmla="val 102255"/>
                            <a:gd name="adj3" fmla="val 315313"/>
                            <a:gd name="adj4" fmla="val 135124"/>
                          </a:avLst>
                        </a:pr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6D294147">
                            <w:pPr>
                              <w:jc w:val="center"/>
                              <w:rPr>
                                <w:rFonts w:hint="default" w:eastAsia="等线"/>
                                <w:b/>
                                <w:bCs/>
                                <w:color w:val="FFFF00"/>
                                <w:lang w:val="en-US" w:eastAsia="zh-CN"/>
                              </w:rPr>
                            </w:pPr>
                            <w:r>
                              <w:rPr>
                                <w:rFonts w:hint="eastAsia"/>
                                <w:b/>
                                <w:bCs/>
                                <w:color w:val="FFFF00"/>
                                <w:lang w:val="en-US" w:eastAsia="zh-CN"/>
                              </w:rPr>
                              <w:t>废气排气筒DA001</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47" type="#_x0000_t47" style="position:absolute;left:0pt;margin-left:156.85pt;margin-top:39.6pt;height:27.1pt;width:104.2pt;z-index:251704320;v-text-anchor:middle;mso-width-relative:page;mso-height-relative:page;" filled="f" stroked="t" coordsize="21600,21600" o:gfxdata="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" adj="29187,68108,22087,11223">
                <v:fill on="f" focussize="0,0"/>
                <v:stroke weight="1pt" color="#FFFF00 [2404]" miterlimit="8" joinstyle="miter"/>
                <v:imagedata o:title=""/>
                <o:lock v:ext="edit" aspectratio="f"/>
                <v:textbox>
                  <w:txbxContent>
                    <w:p w14:paraId="6D294147">
                      <w:pPr>
                        <w:jc w:val="center"/>
                        <w:rPr>
                          <w:rFonts w:hint="default" w:eastAsia="等线"/>
                          <w:b/>
                          <w:bCs/>
                          <w:color w:val="FFFF00"/>
                          <w:lang w:val="en-US" w:eastAsia="zh-CN"/>
                        </w:rPr>
                      </w:pPr>
                      <w:r>
                        <w:rPr>
                          <w:rFonts w:hint="eastAsia"/>
                          <w:b/>
                          <w:bCs/>
                          <w:color w:val="FFFF00"/>
                          <w:lang w:val="en-US" w:eastAsia="zh-CN"/>
                        </w:rPr>
                        <w:t>废气排气筒DA001</w:t>
                      </w:r>
                    </w:p>
                  </w:txbxContent>
                </v:textbox>
              </v:shape>
            </w:pict>
          </mc:Fallback>
        </mc:AlternateContent>
      </w:r>
    </w:p>
    <w:p w14:paraId="0865AE46">
      <w:pPr>
        <w:pStyle w:val="26"/>
        <w:keepNext w:val="0"/>
        <w:keepLines w:val="0"/>
        <w:pageBreakBefore w:val="0"/>
        <w:widowControl w:val="0"/>
        <w:numPr>
          <w:ilvl w:val="0"/>
          <w:numId w:val="49"/>
        </w:numPr>
        <w:kinsoku/>
        <w:wordWrap/>
        <w:overflowPunct/>
        <w:topLinePunct w:val="0"/>
        <w:autoSpaceDE/>
        <w:autoSpaceDN/>
        <w:bidi w:val="0"/>
        <w:adjustRightInd/>
        <w:snapToGrid/>
        <w:ind w:left="0" w:leftChars="0" w:firstLine="403" w:firstLineChars="0"/>
        <w:textAlignment w:val="auto"/>
        <w:outlineLvl w:val="0"/>
        <w:rPr>
          <w:rFonts w:hint="eastAsia" w:ascii="Times New Roman" w:hAnsi="Times New Roman" w:eastAsia="宋体" w:cs="Times New Roman"/>
          <w:b/>
          <w:bCs/>
          <w:color w:val="auto"/>
          <w:szCs w:val="24"/>
          <w:lang w:val="en-US" w:eastAsia="zh-CN"/>
        </w:rPr>
      </w:pPr>
      <w:r>
        <w:rPr>
          <w:color w:val="auto"/>
        </w:rPr>
        <w:drawing>
          <wp:anchor distT="0" distB="0" distL="114300" distR="114300" simplePos="0" relativeHeight="251664384" behindDoc="0" locked="0" layoutInCell="1" allowOverlap="1">
            <wp:simplePos x="0" y="0"/>
            <wp:positionH relativeFrom="column">
              <wp:posOffset>4472940</wp:posOffset>
            </wp:positionH>
            <wp:positionV relativeFrom="paragraph">
              <wp:posOffset>3810</wp:posOffset>
            </wp:positionV>
            <wp:extent cx="834390" cy="838200"/>
            <wp:effectExtent l="9525" t="9525" r="13335" b="9525"/>
            <wp:wrapNone/>
            <wp:docPr id="109" name="图片 109" descr="C:\Users\ADMINI~1\AppData\Local\Temp\ksohtml2840\wp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C:\Users\ADMINI~1\AppData\Local\Temp\ksohtml2840\wps1.jpg"/>
                    <pic:cNvPicPr>
                      <a:picLocks noChangeAspect="1" noChangeArrowheads="1"/>
                    </pic:cNvPicPr>
                  </pic:nvPicPr>
                  <pic:blipFill>
                    <a:blip r:embed="rId78"/>
                    <a:srcRect/>
                    <a:stretch>
                      <a:fillRect/>
                    </a:stretch>
                  </pic:blipFill>
                  <pic:spPr>
                    <a:xfrm>
                      <a:off x="0" y="0"/>
                      <a:ext cx="834390" cy="838200"/>
                    </a:xfrm>
                    <a:prstGeom prst="rect">
                      <a:avLst/>
                    </a:prstGeom>
                    <a:noFill/>
                    <a:ln w="3175" cmpd="sng">
                      <a:solidFill>
                        <a:schemeClr val="tx1"/>
                      </a:solidFill>
                      <a:prstDash val="solid"/>
                    </a:ln>
                  </pic:spPr>
                </pic:pic>
              </a:graphicData>
            </a:graphic>
          </wp:anchor>
        </w:drawing>
      </w:r>
      <w:r>
        <w:rPr>
          <w:rFonts w:hint="eastAsia" w:ascii="Times New Roman" w:hAnsi="Times New Roman" w:eastAsia="宋体" w:cs="Times New Roman"/>
          <w:b/>
          <w:bCs/>
          <w:color w:val="auto"/>
          <w:szCs w:val="24"/>
          <w:lang w:val="en-US" w:eastAsia="zh-CN"/>
        </w:rPr>
        <w:t xml:space="preserve"> 淄博市环境管控单元图 </w:t>
      </w:r>
    </w:p>
    <w:p w14:paraId="11CE6E98">
      <w:pPr>
        <w:jc w:val="left"/>
        <w:rPr>
          <w:b/>
          <w:color w:val="auto"/>
        </w:rPr>
      </w:pPr>
      <w:r>
        <w:rPr>
          <w:b/>
          <w:color w:val="auto"/>
        </w:rPr>
        <mc:AlternateContent>
          <mc:Choice Requires="wps">
            <w:drawing>
              <wp:anchor distT="0" distB="0" distL="114300" distR="114300" simplePos="0" relativeHeight="251661312" behindDoc="0" locked="0" layoutInCell="1" allowOverlap="1">
                <wp:simplePos x="0" y="0"/>
                <wp:positionH relativeFrom="margin">
                  <wp:posOffset>1141095</wp:posOffset>
                </wp:positionH>
                <wp:positionV relativeFrom="paragraph">
                  <wp:posOffset>2772410</wp:posOffset>
                </wp:positionV>
                <wp:extent cx="914400" cy="356870"/>
                <wp:effectExtent l="4445" t="4445" r="909955" b="305435"/>
                <wp:wrapNone/>
                <wp:docPr id="110" name="AutoShape 3"/>
                <wp:cNvGraphicFramePr/>
                <a:graphic xmlns:a="http://schemas.openxmlformats.org/drawingml/2006/main">
                  <a:graphicData uri="http://schemas.microsoft.com/office/word/2010/wordprocessingShape">
                    <wps:wsp>
                      <wps:cNvSpPr>
                        <a:spLocks noChangeArrowheads="1"/>
                      </wps:cNvSpPr>
                      <wps:spPr bwMode="auto">
                        <a:xfrm>
                          <a:off x="0" y="0"/>
                          <a:ext cx="914400" cy="356870"/>
                        </a:xfrm>
                        <a:prstGeom prst="wedgeRectCallout">
                          <a:avLst>
                            <a:gd name="adj1" fmla="val 143611"/>
                            <a:gd name="adj2" fmla="val 126868"/>
                          </a:avLst>
                        </a:prstGeom>
                        <a:solidFill>
                          <a:srgbClr val="FFFFFF"/>
                        </a:solidFill>
                        <a:ln w="9525">
                          <a:solidFill>
                            <a:srgbClr val="000000"/>
                          </a:solidFill>
                          <a:miter lim="800000"/>
                        </a:ln>
                        <a:effectLst/>
                      </wps:spPr>
                      <wps:txbx>
                        <w:txbxContent>
                          <w:p w14:paraId="6B6F56B7">
                            <w:r>
                              <w:rPr>
                                <w:rFonts w:hint="eastAsia"/>
                              </w:rPr>
                              <w:t>项目所在地</w:t>
                            </w:r>
                          </w:p>
                        </w:txbxContent>
                      </wps:txbx>
                      <wps:bodyPr rot="0" vert="horz" wrap="square" lIns="91440" tIns="45720" rIns="91440" bIns="45720" anchor="t" anchorCtr="0" upright="1">
                        <a:noAutofit/>
                      </wps:bodyPr>
                    </wps:wsp>
                  </a:graphicData>
                </a:graphic>
              </wp:anchor>
            </w:drawing>
          </mc:Choice>
          <mc:Fallback>
            <w:pict>
              <v:shape id="AutoShape 3" o:spid="_x0000_s1026" o:spt="61" type="#_x0000_t61" style="position:absolute;left:0pt;margin-left:89.85pt;margin-top:218.3pt;height:28.1pt;width:72pt;mso-position-horizontal-relative:margin;z-index:251661312;mso-width-relative:page;mso-height-relative:page;" fillcolor="#FFFFFF" filled="t" stroked="t" coordsize="21600,21600" o:gfxdata="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69j+NsAAAALAQAADwAAAAAAAAABACAAAAAiAAAAZHJzL2Rvd25yZXYueG1sUEsBAhQAFAAAAAgA&#10;h07iQIpFH8RbAgAA6wQAAA4AAAAAAAAAAQAgAAAAKgEAAGRycy9lMm9Eb2MueG1sUEsFBgAAAAAG&#10;AAYAWQEAAPcFAAAAAA==&#10;" adj="41820,38203">
                <v:fill on="t" focussize="0,0"/>
                <v:stroke color="#000000" miterlimit="8" joinstyle="miter"/>
                <v:imagedata o:title=""/>
                <o:lock v:ext="edit" aspectratio="f"/>
                <v:textbox>
                  <w:txbxContent>
                    <w:p w14:paraId="6B6F56B7">
                      <w:r>
                        <w:rPr>
                          <w:rFonts w:hint="eastAsia"/>
                        </w:rPr>
                        <w:t>项目所在地</w:t>
                      </w:r>
                    </w:p>
                  </w:txbxContent>
                </v:textbox>
              </v:shape>
            </w:pict>
          </mc:Fallback>
        </mc:AlternateContent>
      </w:r>
      <w:r>
        <w:rPr>
          <w:color w:val="auto"/>
          <w:sz w:val="21"/>
        </w:rPr>
        <mc:AlternateContent>
          <mc:Choice Requires="wps">
            <w:drawing>
              <wp:anchor distT="0" distB="0" distL="114300" distR="114300" simplePos="0" relativeHeight="251667456" behindDoc="0" locked="0" layoutInCell="1" allowOverlap="1">
                <wp:simplePos x="0" y="0"/>
                <wp:positionH relativeFrom="column">
                  <wp:posOffset>2887345</wp:posOffset>
                </wp:positionH>
                <wp:positionV relativeFrom="paragraph">
                  <wp:posOffset>3370580</wp:posOffset>
                </wp:positionV>
                <wp:extent cx="75565" cy="75565"/>
                <wp:effectExtent l="10160" t="13970" r="28575" b="24765"/>
                <wp:wrapNone/>
                <wp:docPr id="111" name="等腰三角形 111"/>
                <wp:cNvGraphicFramePr/>
                <a:graphic xmlns:a="http://schemas.openxmlformats.org/drawingml/2006/main">
                  <a:graphicData uri="http://schemas.microsoft.com/office/word/2010/wordprocessingShape">
                    <wps:wsp>
                      <wps:cNvSpPr/>
                      <wps:spPr>
                        <a:xfrm>
                          <a:off x="3475990" y="5463540"/>
                          <a:ext cx="75565" cy="75565"/>
                        </a:xfrm>
                        <a:prstGeom prst="triangle">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227.35pt;margin-top:265.4pt;height:5.95pt;width:5.95pt;z-index:251667456;v-text-anchor:middle;mso-width-relative:page;mso-height-relative:page;" fillcolor="#4874CB [3204]" filled="t" stroked="t" coordsize="21600,21600" o:gfxdata="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F04LGnaAAAACwEAAA8AAAAAAAAAAQAgAAAAIgAAAGRycy9kb3ducmV2&#10;LnhtbFBLAQIUABQAAAAIAIdO4kAWu3yApQIAADAFAAAOAAAAAAAAAAEAIAAAACkBAABkcnMvZTJv&#10;RG9jLnhtbFBLBQYAAAAABgAGAFkBAABABgAAAAA=&#10;" adj="10800">
                <v:fill on="t" focussize="0,0"/>
                <v:stroke weight="1pt" color="#2E54A1 [2404]" miterlimit="8" joinstyle="miter"/>
                <v:imagedata o:title=""/>
                <o:lock v:ext="edit" aspectratio="f"/>
              </v:shape>
            </w:pict>
          </mc:Fallback>
        </mc:AlternateContent>
      </w:r>
      <w:r>
        <w:rPr>
          <w:rFonts w:hint="eastAsia" w:ascii="方正小标宋简体" w:hAnsi="方正小标宋简体" w:eastAsia="方正小标宋简体" w:cs="方正小标宋简体"/>
          <w:color w:val="auto"/>
          <w:sz w:val="44"/>
          <w:szCs w:val="44"/>
          <w:lang w:val="en-US" w:eastAsia="zh-CN"/>
        </w:rPr>
        <w:drawing>
          <wp:inline distT="0" distB="0" distL="114300" distR="114300">
            <wp:extent cx="5419725" cy="7412355"/>
            <wp:effectExtent l="0" t="0" r="9525" b="17145"/>
            <wp:docPr id="112" name="图片 3"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3" descr="图片1"/>
                    <pic:cNvPicPr>
                      <a:picLocks noChangeAspect="1"/>
                    </pic:cNvPicPr>
                  </pic:nvPicPr>
                  <pic:blipFill>
                    <a:blip r:embed="rId83"/>
                    <a:stretch>
                      <a:fillRect/>
                    </a:stretch>
                  </pic:blipFill>
                  <pic:spPr>
                    <a:xfrm>
                      <a:off x="0" y="0"/>
                      <a:ext cx="5419725" cy="7412355"/>
                    </a:xfrm>
                    <a:prstGeom prst="rect">
                      <a:avLst/>
                    </a:prstGeom>
                    <a:noFill/>
                    <a:ln>
                      <a:noFill/>
                    </a:ln>
                  </pic:spPr>
                </pic:pic>
              </a:graphicData>
            </a:graphic>
          </wp:inline>
        </w:drawing>
      </w:r>
    </w:p>
    <w:p w14:paraId="15CDA050">
      <w:pPr>
        <w:pStyle w:val="26"/>
        <w:ind w:firstLine="480"/>
        <w:rPr>
          <w:rFonts w:ascii="Times New Roman" w:hAnsi="Times New Roman" w:eastAsia="宋体"/>
          <w:color w:val="auto"/>
        </w:rPr>
      </w:pPr>
    </w:p>
    <w:p w14:paraId="060E48E7">
      <w:pPr>
        <w:pStyle w:val="26"/>
        <w:ind w:left="0" w:leftChars="0" w:firstLine="0" w:firstLineChars="0"/>
        <w:rPr>
          <w:rFonts w:ascii="Times New Roman" w:hAnsi="Times New Roman" w:eastAsia="宋体"/>
          <w:color w:val="auto"/>
        </w:rPr>
        <w:sectPr>
          <w:pgSz w:w="11906" w:h="16838"/>
          <w:pgMar w:top="1440" w:right="1800" w:bottom="1440" w:left="1800" w:header="851" w:footer="992" w:gutter="0"/>
          <w:cols w:space="425" w:num="1"/>
          <w:docGrid w:type="lines" w:linePitch="312" w:charSpace="0"/>
        </w:sectPr>
      </w:pPr>
    </w:p>
    <w:p w14:paraId="6CB75B22">
      <w:pPr>
        <w:pStyle w:val="26"/>
        <w:keepNext w:val="0"/>
        <w:keepLines w:val="0"/>
        <w:pageBreakBefore w:val="0"/>
        <w:widowControl w:val="0"/>
        <w:numPr>
          <w:ilvl w:val="0"/>
          <w:numId w:val="49"/>
        </w:numPr>
        <w:kinsoku/>
        <w:wordWrap/>
        <w:overflowPunct/>
        <w:topLinePunct w:val="0"/>
        <w:autoSpaceDE/>
        <w:autoSpaceDN/>
        <w:bidi w:val="0"/>
        <w:adjustRightInd/>
        <w:snapToGrid/>
        <w:ind w:left="0" w:leftChars="0" w:firstLine="403" w:firstLineChars="0"/>
        <w:textAlignment w:val="auto"/>
        <w:outlineLvl w:val="0"/>
      </w:pPr>
      <w:r>
        <w:rPr>
          <w:sz w:val="21"/>
        </w:rPr>
        <mc:AlternateContent>
          <mc:Choice Requires="wps">
            <w:drawing>
              <wp:anchor distT="0" distB="0" distL="114300" distR="114300" simplePos="0" relativeHeight="251685888" behindDoc="0" locked="0" layoutInCell="1" allowOverlap="1">
                <wp:simplePos x="0" y="0"/>
                <wp:positionH relativeFrom="column">
                  <wp:posOffset>3990975</wp:posOffset>
                </wp:positionH>
                <wp:positionV relativeFrom="paragraph">
                  <wp:posOffset>2487930</wp:posOffset>
                </wp:positionV>
                <wp:extent cx="1038225" cy="326390"/>
                <wp:effectExtent l="123825" t="418465" r="19050" b="17145"/>
                <wp:wrapNone/>
                <wp:docPr id="113" name="线形标注 1 113"/>
                <wp:cNvGraphicFramePr/>
                <a:graphic xmlns:a="http://schemas.openxmlformats.org/drawingml/2006/main">
                  <a:graphicData uri="http://schemas.microsoft.com/office/word/2010/wordprocessingShape">
                    <wps:wsp>
                      <wps:cNvSpPr/>
                      <wps:spPr>
                        <a:xfrm>
                          <a:off x="3535680" y="7769225"/>
                          <a:ext cx="1038225" cy="326390"/>
                        </a:xfrm>
                        <a:prstGeom prst="borderCallout1">
                          <a:avLst>
                            <a:gd name="adj1" fmla="val -2140"/>
                            <a:gd name="adj2" fmla="val -61"/>
                            <a:gd name="adj3" fmla="val -127431"/>
                            <a:gd name="adj4" fmla="val -11070"/>
                          </a:avLst>
                        </a:prstGeom>
                        <a:ln w="19050"/>
                      </wps:spPr>
                      <wps:style>
                        <a:lnRef idx="2">
                          <a:schemeClr val="accent1">
                            <a:lumMod val="75000"/>
                          </a:schemeClr>
                        </a:lnRef>
                        <a:fillRef idx="1">
                          <a:schemeClr val="accent1"/>
                        </a:fillRef>
                        <a:effectRef idx="0">
                          <a:srgbClr val="FFFFFF"/>
                        </a:effectRef>
                        <a:fontRef idx="minor">
                          <a:schemeClr val="lt1"/>
                        </a:fontRef>
                      </wps:style>
                      <wps:txbx>
                        <w:txbxContent>
                          <w:p w14:paraId="637F6EB0">
                            <w:pPr>
                              <w:jc w:val="center"/>
                              <w:rPr>
                                <w:rFonts w:hint="default" w:eastAsia="等线"/>
                                <w:lang w:val="en-US" w:eastAsia="zh-CN"/>
                              </w:rPr>
                            </w:pPr>
                            <w:r>
                              <w:rPr>
                                <w:rFonts w:hint="eastAsia"/>
                                <w:lang w:val="en-US" w:eastAsia="zh-CN"/>
                              </w:rPr>
                              <w:t>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47" type="#_x0000_t47" style="position:absolute;left:0pt;margin-left:314.25pt;margin-top:195.9pt;height:25.7pt;width:81.75pt;z-index:251685888;v-text-anchor:middle;mso-width-relative:page;mso-height-relative:page;" fillcolor="#4874CB [3204]" filled="t" stroked="t" coordsize="21600,21600" o:gfxdata="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" adj="-2391,-27525,-13,-462">
                <v:fill on="t" focussize="0,0"/>
                <v:stroke weight="1.5pt" color="#2E54A1 [2404]" miterlimit="8" joinstyle="miter"/>
                <v:imagedata o:title=""/>
                <o:lock v:ext="edit" aspectratio="f"/>
                <v:textbox>
                  <w:txbxContent>
                    <w:p w14:paraId="637F6EB0">
                      <w:pPr>
                        <w:jc w:val="center"/>
                        <w:rPr>
                          <w:rFonts w:hint="default" w:eastAsia="等线"/>
                          <w:lang w:val="en-US" w:eastAsia="zh-CN"/>
                        </w:rPr>
                      </w:pPr>
                      <w:r>
                        <w:rPr>
                          <w:rFonts w:hint="eastAsia"/>
                          <w:lang w:val="en-US" w:eastAsia="zh-CN"/>
                        </w:rPr>
                        <w:t>项目所在地</w:t>
                      </w:r>
                    </w:p>
                  </w:txbxContent>
                </v:textbox>
              </v:shape>
            </w:pict>
          </mc:Fallback>
        </mc:AlternateContent>
      </w:r>
      <w:r>
        <w:rPr>
          <w:sz w:val="21"/>
        </w:rPr>
        <mc:AlternateContent>
          <mc:Choice Requires="wps">
            <w:drawing>
              <wp:anchor distT="0" distB="0" distL="114300" distR="114300" simplePos="0" relativeHeight="251684864" behindDoc="0" locked="0" layoutInCell="1" allowOverlap="1">
                <wp:simplePos x="0" y="0"/>
                <wp:positionH relativeFrom="column">
                  <wp:posOffset>3829050</wp:posOffset>
                </wp:positionH>
                <wp:positionV relativeFrom="paragraph">
                  <wp:posOffset>2007870</wp:posOffset>
                </wp:positionV>
                <wp:extent cx="71755" cy="71755"/>
                <wp:effectExtent l="10160" t="13970" r="13335" b="9525"/>
                <wp:wrapNone/>
                <wp:docPr id="114" name="等腰三角形 114"/>
                <wp:cNvGraphicFramePr/>
                <a:graphic xmlns:a="http://schemas.openxmlformats.org/drawingml/2006/main">
                  <a:graphicData uri="http://schemas.microsoft.com/office/word/2010/wordprocessingShape">
                    <wps:wsp>
                      <wps:cNvSpPr/>
                      <wps:spPr>
                        <a:xfrm>
                          <a:off x="5339715" y="7369810"/>
                          <a:ext cx="71755" cy="71755"/>
                        </a:xfrm>
                        <a:prstGeom prst="triangle">
                          <a:avLst/>
                        </a:prstGeom>
                        <a:no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301.5pt;margin-top:158.1pt;height:5.65pt;width:5.65pt;z-index:251684864;v-text-anchor:middle;mso-width-relative:page;mso-height-relative:page;" filled="f" stroked="t" coordsize="21600,21600" o:gfxdata="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" adj="10800">
                <v:fill on="f" focussize="0,0"/>
                <v:stroke weight="1pt" color="#2E54A1 [2404]" miterlimit="8" joinstyle="miter"/>
                <v:imagedata o:title=""/>
                <o:lock v:ext="edit" aspectratio="f"/>
              </v:shape>
            </w:pict>
          </mc:Fallback>
        </mc:AlternateContent>
      </w:r>
      <w:r>
        <w:rPr>
          <w:rFonts w:ascii="仿宋_GB2312" w:hAnsi="Times New Roman" w:cs="Times New Roman"/>
          <w:szCs w:val="24"/>
        </w:rPr>
        <w:drawing>
          <wp:anchor distT="0" distB="0" distL="114300" distR="114300" simplePos="0" relativeHeight="251660288" behindDoc="0" locked="0" layoutInCell="1" allowOverlap="1">
            <wp:simplePos x="0" y="0"/>
            <wp:positionH relativeFrom="margin">
              <wp:posOffset>248920</wp:posOffset>
            </wp:positionH>
            <wp:positionV relativeFrom="paragraph">
              <wp:posOffset>302895</wp:posOffset>
            </wp:positionV>
            <wp:extent cx="8408670" cy="5412740"/>
            <wp:effectExtent l="0" t="0" r="11430" b="16510"/>
            <wp:wrapTopAndBottom/>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pic:cNvPicPr>
                      <a:picLocks noChangeAspect="1"/>
                    </pic:cNvPicPr>
                  </pic:nvPicPr>
                  <pic:blipFill>
                    <a:blip r:embed="rId84"/>
                    <a:srcRect t="9066"/>
                    <a:stretch>
                      <a:fillRect/>
                    </a:stretch>
                  </pic:blipFill>
                  <pic:spPr>
                    <a:xfrm>
                      <a:off x="0" y="0"/>
                      <a:ext cx="8408670" cy="5412740"/>
                    </a:xfrm>
                    <a:prstGeom prst="rect">
                      <a:avLst/>
                    </a:prstGeom>
                  </pic:spPr>
                </pic:pic>
              </a:graphicData>
            </a:graphic>
          </wp:anchor>
        </w:drawing>
      </w:r>
      <w:r>
        <w:rPr>
          <w:rFonts w:hint="eastAsia" w:ascii="Times New Roman" w:hAnsi="Times New Roman" w:eastAsia="宋体" w:cs="Times New Roman"/>
          <w:b/>
          <w:bCs/>
          <w:color w:val="auto"/>
          <w:szCs w:val="24"/>
          <w:lang w:val="en-US" w:eastAsia="zh-CN"/>
        </w:rPr>
        <w:t>淄博市淄川区罗村镇国土空间规划(2021-2035年)——国土空间规划分区图</w:t>
      </w:r>
      <w:r>
        <w:drawing>
          <wp:anchor distT="0" distB="0" distL="114300" distR="114300" simplePos="0" relativeHeight="251686912" behindDoc="0" locked="0" layoutInCell="1" allowOverlap="1">
            <wp:simplePos x="0" y="0"/>
            <wp:positionH relativeFrom="column">
              <wp:posOffset>85725</wp:posOffset>
            </wp:positionH>
            <wp:positionV relativeFrom="paragraph">
              <wp:posOffset>7450455</wp:posOffset>
            </wp:positionV>
            <wp:extent cx="5760720" cy="643890"/>
            <wp:effectExtent l="0" t="0" r="11430" b="3810"/>
            <wp:wrapNone/>
            <wp:docPr id="11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2"/>
                    <pic:cNvPicPr>
                      <a:picLocks noChangeAspect="1"/>
                    </pic:cNvPicPr>
                  </pic:nvPicPr>
                  <pic:blipFill>
                    <a:blip r:embed="rId85"/>
                    <a:stretch>
                      <a:fillRect/>
                    </a:stretch>
                  </pic:blipFill>
                  <pic:spPr>
                    <a:xfrm>
                      <a:off x="0" y="0"/>
                      <a:ext cx="5760720" cy="643890"/>
                    </a:xfrm>
                    <a:prstGeom prst="rect">
                      <a:avLst/>
                    </a:prstGeom>
                    <a:noFill/>
                    <a:ln>
                      <a:noFill/>
                    </a:ln>
                  </pic:spPr>
                </pic:pic>
              </a:graphicData>
            </a:graphic>
          </wp:anchor>
        </w:drawing>
      </w:r>
      <w:r>
        <w:rPr>
          <w:sz w:val="21"/>
        </w:rPr>
        <mc:AlternateContent>
          <mc:Choice Requires="wps">
            <w:drawing>
              <wp:anchor distT="0" distB="0" distL="114300" distR="114300" simplePos="0" relativeHeight="251673600" behindDoc="0" locked="0" layoutInCell="1" allowOverlap="1">
                <wp:simplePos x="0" y="0"/>
                <wp:positionH relativeFrom="column">
                  <wp:posOffset>4432935</wp:posOffset>
                </wp:positionH>
                <wp:positionV relativeFrom="paragraph">
                  <wp:posOffset>2106295</wp:posOffset>
                </wp:positionV>
                <wp:extent cx="75565" cy="75565"/>
                <wp:effectExtent l="8890" t="8890" r="10795" b="10795"/>
                <wp:wrapNone/>
                <wp:docPr id="117" name="菱形 117"/>
                <wp:cNvGraphicFramePr/>
                <a:graphic xmlns:a="http://schemas.openxmlformats.org/drawingml/2006/main">
                  <a:graphicData uri="http://schemas.microsoft.com/office/word/2010/wordprocessingShape">
                    <wps:wsp>
                      <wps:cNvSpPr/>
                      <wps:spPr>
                        <a:xfrm>
                          <a:off x="5332730" y="3280410"/>
                          <a:ext cx="75565" cy="75565"/>
                        </a:xfrm>
                        <a:prstGeom prst="diamond">
                          <a:avLst/>
                        </a:prstGeom>
                        <a:solidFill>
                          <a:schemeClr val="tx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4" type="#_x0000_t4" style="position:absolute;left:0pt;margin-left:349.05pt;margin-top:165.85pt;height:5.95pt;width:5.95pt;z-index:251673600;v-text-anchor:middle;mso-width-relative:page;mso-height-relative:page;" fillcolor="#000000 [3213]" filled="t" stroked="t" coordsize="21600,21600" o:gfxdata="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&#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PgFASXZAAAACwEAAA8AAAAAAAAAAQAgAAAAIgAAAGRy&#10;cy9kb3ducmV2LnhtbFBLAQIUABQAAAAIAIdO4kBdIgsZdgIAAAQFAAAOAAAAAAAAAAEAIAAAACgB&#10;AABkcnMvZTJvRG9jLnhtbFBLBQYAAAAABgAGAFkBAAAQBgAAAAA=&#10;">
                <v:fill on="t" focussize="0,0"/>
                <v:stroke weight="1pt" color="#000000 [3213]" miterlimit="8" joinstyle="miter"/>
                <v:imagedata o:title=""/>
                <o:lock v:ext="edit" aspectratio="f"/>
              </v:shape>
            </w:pict>
          </mc:Fallback>
        </mc:AlternateContent>
      </w:r>
    </w:p>
    <w:p w14:paraId="29F2F947">
      <w:pPr>
        <w:rPr>
          <w:color w:val="auto"/>
        </w:rPr>
        <w:sectPr>
          <w:pgSz w:w="16838" w:h="11906" w:orient="landscape"/>
          <w:pgMar w:top="1417" w:right="1417" w:bottom="1417" w:left="1417" w:header="851" w:footer="992" w:gutter="0"/>
          <w:cols w:space="0" w:num="1"/>
          <w:rtlGutter w:val="0"/>
          <w:docGrid w:type="linesAndChars" w:linePitch="312" w:charSpace="0"/>
        </w:sectPr>
      </w:pPr>
    </w:p>
    <w:p w14:paraId="6DF5233B">
      <w:pPr>
        <w:pStyle w:val="26"/>
        <w:keepNext w:val="0"/>
        <w:keepLines w:val="0"/>
        <w:pageBreakBefore w:val="0"/>
        <w:widowControl w:val="0"/>
        <w:numPr>
          <w:ilvl w:val="0"/>
          <w:numId w:val="49"/>
        </w:numPr>
        <w:kinsoku/>
        <w:wordWrap/>
        <w:overflowPunct/>
        <w:topLinePunct w:val="0"/>
        <w:autoSpaceDE/>
        <w:autoSpaceDN/>
        <w:bidi w:val="0"/>
        <w:adjustRightInd/>
        <w:snapToGrid/>
        <w:ind w:left="0" w:leftChars="0" w:firstLine="403" w:firstLineChars="0"/>
        <w:textAlignment w:val="auto"/>
        <w:outlineLvl w:val="0"/>
        <w:rPr>
          <w:rFonts w:hint="default" w:ascii="Times New Roman" w:hAnsi="Times New Roman" w:eastAsia="宋体" w:cs="Times New Roman"/>
          <w:b/>
          <w:bCs/>
          <w:color w:val="auto"/>
          <w:szCs w:val="24"/>
          <w:lang w:val="en-US" w:eastAsia="zh-CN"/>
        </w:rPr>
      </w:pPr>
      <w:r>
        <w:rPr>
          <w:rFonts w:hint="eastAsia" w:ascii="Times New Roman" w:hAnsi="Times New Roman" w:eastAsia="宋体" w:cs="Times New Roman"/>
          <w:b/>
          <w:bCs/>
          <w:color w:val="auto"/>
          <w:szCs w:val="24"/>
          <w:lang w:val="en-US" w:eastAsia="zh-CN"/>
        </w:rPr>
        <w:t>声环境功能区划图</w:t>
      </w:r>
    </w:p>
    <w:p w14:paraId="6483056D">
      <w:pPr>
        <w:rPr>
          <w:rFonts w:hint="eastAsia" w:ascii="Times New Roman" w:hAnsi="Times New Roman" w:eastAsia="宋体" w:cs="Times New Roman"/>
          <w:b/>
          <w:bCs/>
          <w:color w:val="auto"/>
          <w:szCs w:val="24"/>
          <w:lang w:val="en-US" w:eastAsia="zh-CN"/>
        </w:rPr>
      </w:pPr>
      <w:r>
        <w:rPr>
          <w:sz w:val="21"/>
        </w:rPr>
        <mc:AlternateContent>
          <mc:Choice Requires="wps">
            <w:drawing>
              <wp:anchor distT="0" distB="0" distL="114300" distR="114300" simplePos="0" relativeHeight="251693056" behindDoc="0" locked="0" layoutInCell="1" allowOverlap="1">
                <wp:simplePos x="0" y="0"/>
                <wp:positionH relativeFrom="column">
                  <wp:posOffset>3683000</wp:posOffset>
                </wp:positionH>
                <wp:positionV relativeFrom="paragraph">
                  <wp:posOffset>2594610</wp:posOffset>
                </wp:positionV>
                <wp:extent cx="1062990" cy="379730"/>
                <wp:effectExtent l="6350" t="6350" r="111760" b="604520"/>
                <wp:wrapNone/>
                <wp:docPr id="118" name="矩形标注 118"/>
                <wp:cNvGraphicFramePr/>
                <a:graphic xmlns:a="http://schemas.openxmlformats.org/drawingml/2006/main">
                  <a:graphicData uri="http://schemas.microsoft.com/office/word/2010/wordprocessingShape">
                    <wps:wsp>
                      <wps:cNvSpPr/>
                      <wps:spPr>
                        <a:xfrm>
                          <a:off x="4403090" y="3589020"/>
                          <a:ext cx="1062990" cy="379730"/>
                        </a:xfrm>
                        <a:prstGeom prst="wedgeRectCallout">
                          <a:avLst>
                            <a:gd name="adj1" fmla="val 58363"/>
                            <a:gd name="adj2" fmla="val 198829"/>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4D983B05">
                            <w:pPr>
                              <w:jc w:val="center"/>
                              <w:rPr>
                                <w:rFonts w:hint="default" w:eastAsia="等线"/>
                                <w:color w:val="FF0000"/>
                                <w:lang w:val="en-US" w:eastAsia="zh-CN"/>
                              </w:rPr>
                            </w:pPr>
                            <w:r>
                              <w:rPr>
                                <w:rFonts w:hint="eastAsia"/>
                                <w:color w:val="FF0000"/>
                                <w:lang w:val="en-US" w:eastAsia="zh-CN"/>
                              </w:rPr>
                              <w:t>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90pt;margin-top:204.3pt;height:29.9pt;width:83.7pt;z-index:251693056;v-text-anchor:middle;mso-width-relative:page;mso-height-relative:page;" filled="f" stroked="t" coordsize="21600,21600" o:gfxdata="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" adj="23406,53747">
                <v:fill on="f" focussize="0,0"/>
                <v:stroke weight="1pt" color="#FF0000 [2404]" miterlimit="8" joinstyle="miter"/>
                <v:imagedata o:title=""/>
                <o:lock v:ext="edit" aspectratio="f"/>
                <v:textbox>
                  <w:txbxContent>
                    <w:p w14:paraId="4D983B05">
                      <w:pPr>
                        <w:jc w:val="center"/>
                        <w:rPr>
                          <w:rFonts w:hint="default" w:eastAsia="等线"/>
                          <w:color w:val="FF0000"/>
                          <w:lang w:val="en-US" w:eastAsia="zh-CN"/>
                        </w:rPr>
                      </w:pPr>
                      <w:r>
                        <w:rPr>
                          <w:rFonts w:hint="eastAsia"/>
                          <w:color w:val="FF0000"/>
                          <w:lang w:val="en-US" w:eastAsia="zh-CN"/>
                        </w:rPr>
                        <w:t>项目所在地</w:t>
                      </w:r>
                    </w:p>
                  </w:txbxContent>
                </v:textbox>
              </v:shape>
            </w:pict>
          </mc:Fallback>
        </mc:AlternateContent>
      </w:r>
      <w:r>
        <w:rPr>
          <w:sz w:val="21"/>
        </w:rPr>
        <mc:AlternateContent>
          <mc:Choice Requires="wps">
            <w:drawing>
              <wp:anchor distT="0" distB="0" distL="114300" distR="114300" simplePos="0" relativeHeight="251692032" behindDoc="0" locked="0" layoutInCell="1" allowOverlap="1">
                <wp:simplePos x="0" y="0"/>
                <wp:positionH relativeFrom="column">
                  <wp:posOffset>4847590</wp:posOffset>
                </wp:positionH>
                <wp:positionV relativeFrom="paragraph">
                  <wp:posOffset>3523615</wp:posOffset>
                </wp:positionV>
                <wp:extent cx="89535" cy="89535"/>
                <wp:effectExtent l="6350" t="6350" r="18415" b="18415"/>
                <wp:wrapNone/>
                <wp:docPr id="119" name="椭圆 119"/>
                <wp:cNvGraphicFramePr/>
                <a:graphic xmlns:a="http://schemas.openxmlformats.org/drawingml/2006/main">
                  <a:graphicData uri="http://schemas.microsoft.com/office/word/2010/wordprocessingShape">
                    <wps:wsp>
                      <wps:cNvSpPr/>
                      <wps:spPr>
                        <a:xfrm>
                          <a:off x="5624830" y="4486275"/>
                          <a:ext cx="89535" cy="89535"/>
                        </a:xfrm>
                        <a:prstGeom prst="ellipse">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81.7pt;margin-top:277.45pt;height:7.05pt;width:7.05pt;z-index:251692032;v-text-anchor:middle;mso-width-relative:page;mso-height-relative:page;" fillcolor="#FF0000" filled="t" stroked="t" coordsize="21600,21600" o:gfxdata="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BG9v5e2AAAAAsBAAAPAAAAAAAAAAEAIAAAACIAAABk&#10;cnMvZG93bnJldi54bWxQSwECFAAUAAAACACHTuJAwo9IgHgCAAAEBQAADgAAAAAAAAABACAAAAAn&#10;AQAAZHJzL2Uyb0RvYy54bWxQSwUGAAAAAAYABgBZAQAAEQYAAAAA&#10;">
                <v:fill on="t" focussize="0,0"/>
                <v:stroke weight="1pt" color="#FF0000 [2404]" miterlimit="8" joinstyle="miter"/>
                <v:imagedata o:title=""/>
                <o:lock v:ext="edit" aspectratio="f"/>
              </v:shape>
            </w:pict>
          </mc:Fallback>
        </mc:AlternateContent>
      </w:r>
      <w:r>
        <w:rPr>
          <w:rFonts w:hint="eastAsia" w:ascii="Times New Roman" w:hAnsi="Times New Roman" w:eastAsia="宋体" w:cs="Times New Roman"/>
          <w:b/>
          <w:bCs/>
          <w:color w:val="auto"/>
          <w:szCs w:val="24"/>
          <w:lang w:val="en-US" w:eastAsia="zh-CN"/>
        </w:rPr>
        <w:drawing>
          <wp:inline distT="0" distB="0" distL="114300" distR="114300">
            <wp:extent cx="5934710" cy="8797925"/>
            <wp:effectExtent l="0" t="0" r="8890" b="3175"/>
            <wp:docPr id="120" name="图片 120" descr="2类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2类区"/>
                    <pic:cNvPicPr>
                      <a:picLocks noChangeAspect="1"/>
                    </pic:cNvPicPr>
                  </pic:nvPicPr>
                  <pic:blipFill>
                    <a:blip r:embed="rId86"/>
                    <a:srcRect l="14225" t="11371" r="13570" b="12966"/>
                    <a:stretch>
                      <a:fillRect/>
                    </a:stretch>
                  </pic:blipFill>
                  <pic:spPr>
                    <a:xfrm>
                      <a:off x="0" y="0"/>
                      <a:ext cx="5934710" cy="8797925"/>
                    </a:xfrm>
                    <a:prstGeom prst="rect">
                      <a:avLst/>
                    </a:prstGeom>
                  </pic:spPr>
                </pic:pic>
              </a:graphicData>
            </a:graphic>
          </wp:inline>
        </w:drawing>
      </w:r>
    </w:p>
    <w:p w14:paraId="2EBEBA90">
      <w:pPr>
        <w:rPr>
          <w:rFonts w:hint="default" w:ascii="Times New Roman" w:hAnsi="Times New Roman" w:eastAsia="宋体" w:cs="Times New Roman"/>
          <w:b/>
          <w:bCs/>
          <w:color w:val="auto"/>
          <w:szCs w:val="24"/>
          <w:lang w:val="en-US" w:eastAsia="zh-CN"/>
        </w:rPr>
        <w:sectPr>
          <w:pgSz w:w="11906" w:h="16838"/>
          <w:pgMar w:top="1134" w:right="1134" w:bottom="1134" w:left="1134" w:header="851" w:footer="992" w:gutter="0"/>
          <w:cols w:space="425" w:num="1"/>
          <w:docGrid w:type="lines" w:linePitch="312" w:charSpace="0"/>
        </w:sectPr>
      </w:pPr>
    </w:p>
    <w:p w14:paraId="03100670">
      <w:pPr>
        <w:pStyle w:val="26"/>
        <w:keepNext w:val="0"/>
        <w:keepLines w:val="0"/>
        <w:pageBreakBefore w:val="0"/>
        <w:widowControl w:val="0"/>
        <w:numPr>
          <w:ilvl w:val="0"/>
          <w:numId w:val="49"/>
        </w:numPr>
        <w:kinsoku/>
        <w:wordWrap/>
        <w:overflowPunct/>
        <w:topLinePunct w:val="0"/>
        <w:autoSpaceDE/>
        <w:autoSpaceDN/>
        <w:bidi w:val="0"/>
        <w:adjustRightInd/>
        <w:snapToGrid/>
        <w:ind w:left="0" w:leftChars="0" w:firstLine="403" w:firstLineChars="0"/>
        <w:textAlignment w:val="auto"/>
        <w:outlineLvl w:val="0"/>
        <w:rPr>
          <w:rFonts w:hint="default" w:ascii="Times New Roman" w:hAnsi="Times New Roman" w:eastAsia="宋体" w:cs="Times New Roman"/>
          <w:b/>
          <w:bCs/>
          <w:color w:val="auto"/>
          <w:szCs w:val="24"/>
          <w:lang w:val="en-US" w:eastAsia="zh-CN"/>
        </w:rPr>
      </w:pPr>
      <w:r>
        <w:rPr>
          <w:rFonts w:hint="eastAsia" w:ascii="Times New Roman" w:hAnsi="Times New Roman" w:eastAsia="宋体" w:cs="Times New Roman"/>
          <w:b/>
          <w:bCs/>
          <w:color w:val="auto"/>
          <w:szCs w:val="24"/>
          <w:lang w:val="en-US" w:eastAsia="zh-CN"/>
        </w:rPr>
        <w:t>现场照片</w:t>
      </w:r>
    </w:p>
    <w:tbl>
      <w:tblPr>
        <w:tblStyle w:val="28"/>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26"/>
        <w:gridCol w:w="4196"/>
      </w:tblGrid>
      <w:tr w14:paraId="123EDF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30" w:type="pct"/>
            <w:vAlign w:val="center"/>
          </w:tcPr>
          <w:p w14:paraId="5385182B">
            <w:pPr>
              <w:pStyle w:val="26"/>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ascii="Times New Roman" w:cs="Times New Roman"/>
                <w:b/>
                <w:color w:val="auto"/>
                <w:sz w:val="24"/>
                <w:szCs w:val="24"/>
                <w:vertAlign w:val="baseline"/>
              </w:rPr>
            </w:pPr>
            <w:r>
              <w:rPr>
                <w:rFonts w:hint="eastAsia" w:ascii="Times New Roman" w:eastAsia="等线" w:cs="Times New Roman"/>
                <w:b/>
                <w:color w:val="auto"/>
                <w:sz w:val="24"/>
                <w:szCs w:val="24"/>
                <w:vertAlign w:val="baseline"/>
                <w:lang w:eastAsia="zh-CN"/>
              </w:rPr>
              <w:drawing>
                <wp:inline distT="0" distB="0" distL="114300" distR="114300">
                  <wp:extent cx="3024505" cy="2268855"/>
                  <wp:effectExtent l="0" t="0" r="4445" b="17145"/>
                  <wp:docPr id="121" name="图片 121" descr="北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北侧"/>
                          <pic:cNvPicPr>
                            <a:picLocks noChangeAspect="1"/>
                          </pic:cNvPicPr>
                        </pic:nvPicPr>
                        <pic:blipFill>
                          <a:blip r:embed="rId87"/>
                          <a:stretch>
                            <a:fillRect/>
                          </a:stretch>
                        </pic:blipFill>
                        <pic:spPr>
                          <a:xfrm>
                            <a:off x="0" y="0"/>
                            <a:ext cx="3024505" cy="2268855"/>
                          </a:xfrm>
                          <a:prstGeom prst="rect">
                            <a:avLst/>
                          </a:prstGeom>
                        </pic:spPr>
                      </pic:pic>
                    </a:graphicData>
                  </a:graphic>
                </wp:inline>
              </w:drawing>
            </w:r>
          </w:p>
        </w:tc>
        <w:tc>
          <w:tcPr>
            <w:tcW w:w="2469" w:type="pct"/>
            <w:vAlign w:val="center"/>
          </w:tcPr>
          <w:p w14:paraId="2B1C8B49">
            <w:pPr>
              <w:pStyle w:val="26"/>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eastAsia" w:ascii="Times New Roman" w:eastAsia="等线" w:cs="Times New Roman"/>
                <w:b/>
                <w:color w:val="auto"/>
                <w:sz w:val="24"/>
                <w:szCs w:val="24"/>
                <w:vertAlign w:val="baseline"/>
                <w:lang w:eastAsia="zh-CN"/>
              </w:rPr>
            </w:pPr>
            <w:r>
              <w:rPr>
                <w:rFonts w:hint="eastAsia" w:ascii="Times New Roman" w:eastAsia="等线" w:cs="Times New Roman"/>
                <w:b/>
                <w:color w:val="auto"/>
                <w:sz w:val="24"/>
                <w:szCs w:val="24"/>
                <w:vertAlign w:val="baseline"/>
                <w:lang w:eastAsia="zh-CN"/>
              </w:rPr>
              <w:drawing>
                <wp:inline distT="0" distB="0" distL="114300" distR="114300">
                  <wp:extent cx="2918460" cy="2188845"/>
                  <wp:effectExtent l="0" t="0" r="15240" b="1905"/>
                  <wp:docPr id="122" name="图片 122" descr="西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西侧"/>
                          <pic:cNvPicPr>
                            <a:picLocks noChangeAspect="1"/>
                          </pic:cNvPicPr>
                        </pic:nvPicPr>
                        <pic:blipFill>
                          <a:blip r:embed="rId88"/>
                          <a:stretch>
                            <a:fillRect/>
                          </a:stretch>
                        </pic:blipFill>
                        <pic:spPr>
                          <a:xfrm>
                            <a:off x="0" y="0"/>
                            <a:ext cx="2918460" cy="2188845"/>
                          </a:xfrm>
                          <a:prstGeom prst="rect">
                            <a:avLst/>
                          </a:prstGeom>
                        </pic:spPr>
                      </pic:pic>
                    </a:graphicData>
                  </a:graphic>
                </wp:inline>
              </w:drawing>
            </w:r>
          </w:p>
        </w:tc>
      </w:tr>
      <w:tr w14:paraId="6BBC39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530" w:type="pct"/>
            <w:vAlign w:val="center"/>
          </w:tcPr>
          <w:p w14:paraId="7F060F31">
            <w:pPr>
              <w:pStyle w:val="26"/>
              <w:keepNext w:val="0"/>
              <w:keepLines w:val="0"/>
              <w:pageBreakBefore w:val="0"/>
              <w:widowControl w:val="0"/>
              <w:kinsoku/>
              <w:wordWrap/>
              <w:overflowPunct/>
              <w:topLinePunct w:val="0"/>
              <w:autoSpaceDE/>
              <w:autoSpaceDN/>
              <w:bidi w:val="0"/>
              <w:adjustRightInd/>
              <w:snapToGrid/>
              <w:spacing w:after="0" w:line="340" w:lineRule="exact"/>
              <w:ind w:left="0" w:leftChars="0" w:firstLine="0" w:firstLineChars="0"/>
              <w:jc w:val="center"/>
              <w:textAlignment w:val="auto"/>
              <w:rPr>
                <w:rFonts w:hint="default" w:ascii="Times New Roman" w:eastAsia="等线" w:cs="Times New Roman"/>
                <w:b/>
                <w:color w:val="auto"/>
                <w:sz w:val="24"/>
                <w:szCs w:val="24"/>
                <w:vertAlign w:val="baseline"/>
                <w:lang w:val="en-US" w:eastAsia="zh-CN"/>
              </w:rPr>
            </w:pPr>
            <w:r>
              <w:rPr>
                <w:rFonts w:hint="eastAsia" w:ascii="Times New Roman" w:cs="Times New Roman"/>
                <w:b/>
                <w:color w:val="auto"/>
                <w:sz w:val="24"/>
                <w:szCs w:val="24"/>
                <w:vertAlign w:val="baseline"/>
                <w:lang w:val="en-US" w:eastAsia="zh-CN"/>
              </w:rPr>
              <w:t>北侧：空地</w:t>
            </w:r>
          </w:p>
        </w:tc>
        <w:tc>
          <w:tcPr>
            <w:tcW w:w="2469" w:type="pct"/>
            <w:vAlign w:val="center"/>
          </w:tcPr>
          <w:p w14:paraId="5241D325">
            <w:pPr>
              <w:pStyle w:val="26"/>
              <w:keepNext w:val="0"/>
              <w:keepLines w:val="0"/>
              <w:pageBreakBefore w:val="0"/>
              <w:widowControl w:val="0"/>
              <w:kinsoku/>
              <w:wordWrap/>
              <w:overflowPunct/>
              <w:topLinePunct w:val="0"/>
              <w:autoSpaceDE/>
              <w:autoSpaceDN/>
              <w:bidi w:val="0"/>
              <w:adjustRightInd/>
              <w:snapToGrid/>
              <w:spacing w:after="0" w:line="340" w:lineRule="exact"/>
              <w:ind w:left="0" w:leftChars="0" w:firstLine="0" w:firstLineChars="0"/>
              <w:jc w:val="center"/>
              <w:textAlignment w:val="auto"/>
              <w:rPr>
                <w:rFonts w:hint="default" w:ascii="Times New Roman" w:eastAsia="等线" w:cs="Times New Roman"/>
                <w:b/>
                <w:color w:val="auto"/>
                <w:sz w:val="24"/>
                <w:szCs w:val="24"/>
                <w:vertAlign w:val="baseline"/>
                <w:lang w:val="en-US" w:eastAsia="zh-CN"/>
              </w:rPr>
            </w:pPr>
            <w:r>
              <w:rPr>
                <w:rFonts w:hint="eastAsia" w:ascii="Times New Roman" w:cs="Times New Roman"/>
                <w:b/>
                <w:color w:val="auto"/>
                <w:sz w:val="24"/>
                <w:szCs w:val="24"/>
                <w:vertAlign w:val="baseline"/>
                <w:lang w:val="en-US" w:eastAsia="zh-CN"/>
              </w:rPr>
              <w:t>西侧：空地</w:t>
            </w:r>
          </w:p>
        </w:tc>
      </w:tr>
      <w:tr w14:paraId="42A892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10" w:hRule="atLeast"/>
          <w:jc w:val="center"/>
        </w:trPr>
        <w:tc>
          <w:tcPr>
            <w:tcW w:w="2530" w:type="pct"/>
            <w:vAlign w:val="center"/>
          </w:tcPr>
          <w:p w14:paraId="5739D10D">
            <w:pPr>
              <w:pStyle w:val="26"/>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eastAsia" w:ascii="Times New Roman" w:eastAsia="等线" w:cs="Times New Roman"/>
                <w:b/>
                <w:color w:val="auto"/>
                <w:sz w:val="24"/>
                <w:szCs w:val="24"/>
                <w:vertAlign w:val="baseline"/>
                <w:lang w:eastAsia="zh-CN"/>
              </w:rPr>
            </w:pPr>
            <w:r>
              <w:rPr>
                <w:rFonts w:hint="eastAsia" w:ascii="Times New Roman" w:eastAsia="等线" w:cs="Times New Roman"/>
                <w:b/>
                <w:color w:val="auto"/>
                <w:sz w:val="24"/>
                <w:szCs w:val="24"/>
                <w:vertAlign w:val="baseline"/>
                <w:lang w:eastAsia="zh-CN"/>
              </w:rPr>
              <w:drawing>
                <wp:inline distT="0" distB="0" distL="114300" distR="114300">
                  <wp:extent cx="3011170" cy="2258695"/>
                  <wp:effectExtent l="0" t="0" r="17780" b="8255"/>
                  <wp:docPr id="123" name="图片 123" descr="东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东侧"/>
                          <pic:cNvPicPr>
                            <a:picLocks noChangeAspect="1"/>
                          </pic:cNvPicPr>
                        </pic:nvPicPr>
                        <pic:blipFill>
                          <a:blip r:embed="rId89"/>
                          <a:stretch>
                            <a:fillRect/>
                          </a:stretch>
                        </pic:blipFill>
                        <pic:spPr>
                          <a:xfrm>
                            <a:off x="0" y="0"/>
                            <a:ext cx="3011170" cy="2258695"/>
                          </a:xfrm>
                          <a:prstGeom prst="rect">
                            <a:avLst/>
                          </a:prstGeom>
                        </pic:spPr>
                      </pic:pic>
                    </a:graphicData>
                  </a:graphic>
                </wp:inline>
              </w:drawing>
            </w:r>
          </w:p>
        </w:tc>
        <w:tc>
          <w:tcPr>
            <w:tcW w:w="2469" w:type="pct"/>
            <w:vAlign w:val="center"/>
          </w:tcPr>
          <w:p w14:paraId="760EAEBB">
            <w:pPr>
              <w:pStyle w:val="26"/>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eastAsia" w:ascii="Times New Roman" w:eastAsia="等线" w:cs="Times New Roman"/>
                <w:b/>
                <w:color w:val="auto"/>
                <w:sz w:val="24"/>
                <w:szCs w:val="24"/>
                <w:vertAlign w:val="baseline"/>
                <w:lang w:eastAsia="zh-CN"/>
              </w:rPr>
            </w:pPr>
            <w:r>
              <w:rPr>
                <w:rFonts w:hint="eastAsia" w:ascii="Times New Roman" w:eastAsia="等线" w:cs="Times New Roman"/>
                <w:b/>
                <w:color w:val="auto"/>
                <w:sz w:val="24"/>
                <w:szCs w:val="24"/>
                <w:vertAlign w:val="baseline"/>
                <w:lang w:eastAsia="zh-CN"/>
              </w:rPr>
              <w:drawing>
                <wp:inline distT="0" distB="0" distL="114300" distR="114300">
                  <wp:extent cx="2918460" cy="2188845"/>
                  <wp:effectExtent l="0" t="0" r="15240" b="1905"/>
                  <wp:docPr id="124" name="图片 124" descr="IMG_20260330_094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IMG_20260330_094021"/>
                          <pic:cNvPicPr>
                            <a:picLocks noChangeAspect="1"/>
                          </pic:cNvPicPr>
                        </pic:nvPicPr>
                        <pic:blipFill>
                          <a:blip r:embed="rId90"/>
                          <a:stretch>
                            <a:fillRect/>
                          </a:stretch>
                        </pic:blipFill>
                        <pic:spPr>
                          <a:xfrm>
                            <a:off x="0" y="0"/>
                            <a:ext cx="2918460" cy="2188845"/>
                          </a:xfrm>
                          <a:prstGeom prst="rect">
                            <a:avLst/>
                          </a:prstGeom>
                        </pic:spPr>
                      </pic:pic>
                    </a:graphicData>
                  </a:graphic>
                </wp:inline>
              </w:drawing>
            </w:r>
          </w:p>
        </w:tc>
      </w:tr>
      <w:tr w14:paraId="1DBCF3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30" w:type="pct"/>
            <w:vAlign w:val="center"/>
          </w:tcPr>
          <w:p w14:paraId="52CF96DF">
            <w:pPr>
              <w:keepNext w:val="0"/>
              <w:keepLines w:val="0"/>
              <w:pageBreakBefore w:val="0"/>
              <w:widowControl w:val="0"/>
              <w:kinsoku/>
              <w:wordWrap/>
              <w:overflowPunct/>
              <w:topLinePunct w:val="0"/>
              <w:bidi w:val="0"/>
              <w:adjustRightInd/>
              <w:snapToGrid/>
              <w:spacing w:line="240" w:lineRule="exact"/>
              <w:jc w:val="center"/>
              <w:textAlignment w:val="auto"/>
              <w:rPr>
                <w:rFonts w:hint="default" w:ascii="Times New Roman" w:eastAsia="等线" w:cs="Times New Roman"/>
                <w:b/>
                <w:color w:val="auto"/>
                <w:sz w:val="24"/>
                <w:szCs w:val="24"/>
                <w:vertAlign w:val="baseline"/>
                <w:lang w:val="en-US" w:eastAsia="zh-CN"/>
              </w:rPr>
            </w:pPr>
            <w:r>
              <w:rPr>
                <w:rFonts w:hint="eastAsia" w:ascii="Times New Roman" w:hAnsi="Calibri" w:eastAsia="等线" w:cs="Times New Roman"/>
                <w:b/>
                <w:color w:val="auto"/>
                <w:kern w:val="0"/>
                <w:sz w:val="24"/>
                <w:szCs w:val="24"/>
                <w:vertAlign w:val="baseline"/>
                <w:lang w:val="en-US" w:eastAsia="zh-CN" w:bidi="ar-SA"/>
              </w:rPr>
              <w:t>东侧：山东千川自动化有限公司</w:t>
            </w:r>
          </w:p>
        </w:tc>
        <w:tc>
          <w:tcPr>
            <w:tcW w:w="2469" w:type="pct"/>
            <w:vAlign w:val="center"/>
          </w:tcPr>
          <w:p w14:paraId="3E42762B">
            <w:pPr>
              <w:keepNext w:val="0"/>
              <w:keepLines w:val="0"/>
              <w:pageBreakBefore w:val="0"/>
              <w:widowControl w:val="0"/>
              <w:kinsoku/>
              <w:wordWrap/>
              <w:overflowPunct/>
              <w:topLinePunct w:val="0"/>
              <w:bidi w:val="0"/>
              <w:adjustRightInd/>
              <w:snapToGrid/>
              <w:spacing w:line="240" w:lineRule="exact"/>
              <w:jc w:val="center"/>
              <w:textAlignment w:val="auto"/>
              <w:rPr>
                <w:rFonts w:hint="default" w:ascii="Times New Roman" w:eastAsia="等线" w:cs="Times New Roman"/>
                <w:b/>
                <w:color w:val="auto"/>
                <w:sz w:val="24"/>
                <w:szCs w:val="24"/>
                <w:vertAlign w:val="baseline"/>
                <w:lang w:val="en-US" w:eastAsia="zh-CN"/>
              </w:rPr>
            </w:pPr>
            <w:r>
              <w:rPr>
                <w:rFonts w:hint="eastAsia" w:ascii="Times New Roman" w:cs="Times New Roman"/>
                <w:b/>
                <w:color w:val="auto"/>
                <w:sz w:val="24"/>
                <w:szCs w:val="24"/>
                <w:vertAlign w:val="baseline"/>
                <w:lang w:val="en-US" w:eastAsia="zh-CN"/>
              </w:rPr>
              <w:t>南侧：步步领鲜（淄博）食品有限公司</w:t>
            </w:r>
          </w:p>
        </w:tc>
      </w:tr>
      <w:tr w14:paraId="0E24DA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30" w:type="pct"/>
            <w:vAlign w:val="center"/>
          </w:tcPr>
          <w:p w14:paraId="61C8546B">
            <w:pPr>
              <w:pStyle w:val="26"/>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ascii="Times New Roman" w:cs="Times New Roman"/>
                <w:b/>
                <w:color w:val="auto"/>
                <w:sz w:val="24"/>
                <w:szCs w:val="24"/>
                <w:vertAlign w:val="baseline"/>
              </w:rPr>
            </w:pPr>
            <w:r>
              <w:rPr>
                <w:rFonts w:hint="eastAsia" w:ascii="Times New Roman" w:eastAsia="等线" w:cs="Times New Roman"/>
                <w:b/>
                <w:color w:val="auto"/>
                <w:sz w:val="24"/>
                <w:szCs w:val="24"/>
                <w:vertAlign w:val="baseline"/>
                <w:lang w:eastAsia="zh-CN"/>
              </w:rPr>
              <w:drawing>
                <wp:inline distT="0" distB="0" distL="114300" distR="114300">
                  <wp:extent cx="2992755" cy="2599055"/>
                  <wp:effectExtent l="0" t="0" r="17145" b="10795"/>
                  <wp:docPr id="125" name="图片 125" descr="内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内部"/>
                          <pic:cNvPicPr>
                            <a:picLocks noChangeAspect="1"/>
                          </pic:cNvPicPr>
                        </pic:nvPicPr>
                        <pic:blipFill>
                          <a:blip r:embed="rId91"/>
                          <a:stretch>
                            <a:fillRect/>
                          </a:stretch>
                        </pic:blipFill>
                        <pic:spPr>
                          <a:xfrm>
                            <a:off x="0" y="0"/>
                            <a:ext cx="2992755" cy="2599055"/>
                          </a:xfrm>
                          <a:prstGeom prst="rect">
                            <a:avLst/>
                          </a:prstGeom>
                        </pic:spPr>
                      </pic:pic>
                    </a:graphicData>
                  </a:graphic>
                </wp:inline>
              </w:drawing>
            </w:r>
          </w:p>
        </w:tc>
        <w:tc>
          <w:tcPr>
            <w:tcW w:w="2469" w:type="pct"/>
            <w:vAlign w:val="center"/>
          </w:tcPr>
          <w:p w14:paraId="266A9D11">
            <w:pPr>
              <w:pStyle w:val="26"/>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eastAsia" w:ascii="Times New Roman" w:cs="Times New Roman"/>
                <w:b/>
                <w:color w:val="auto"/>
                <w:sz w:val="24"/>
                <w:szCs w:val="24"/>
                <w:vertAlign w:val="baseline"/>
                <w:lang w:val="en-US" w:eastAsia="zh-CN"/>
              </w:rPr>
            </w:pPr>
            <w:r>
              <w:rPr>
                <w:rFonts w:hint="eastAsia" w:ascii="Times New Roman" w:cs="Times New Roman"/>
                <w:b/>
                <w:color w:val="auto"/>
                <w:sz w:val="24"/>
                <w:szCs w:val="24"/>
                <w:vertAlign w:val="baseline"/>
                <w:lang w:val="en-US" w:eastAsia="zh-CN"/>
              </w:rPr>
              <w:drawing>
                <wp:inline distT="0" distB="0" distL="114300" distR="114300">
                  <wp:extent cx="2362200" cy="3150870"/>
                  <wp:effectExtent l="0" t="0" r="0" b="11430"/>
                  <wp:docPr id="126" name="图片 126" descr="工程师现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工程师现场"/>
                          <pic:cNvPicPr>
                            <a:picLocks noChangeAspect="1"/>
                          </pic:cNvPicPr>
                        </pic:nvPicPr>
                        <pic:blipFill>
                          <a:blip r:embed="rId92"/>
                          <a:stretch>
                            <a:fillRect/>
                          </a:stretch>
                        </pic:blipFill>
                        <pic:spPr>
                          <a:xfrm>
                            <a:off x="0" y="0"/>
                            <a:ext cx="2362200" cy="3150870"/>
                          </a:xfrm>
                          <a:prstGeom prst="rect">
                            <a:avLst/>
                          </a:prstGeom>
                        </pic:spPr>
                      </pic:pic>
                    </a:graphicData>
                  </a:graphic>
                </wp:inline>
              </w:drawing>
            </w:r>
          </w:p>
        </w:tc>
      </w:tr>
      <w:tr w14:paraId="623697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30" w:type="pct"/>
            <w:vAlign w:val="center"/>
          </w:tcPr>
          <w:p w14:paraId="23F1DEA4">
            <w:pPr>
              <w:pStyle w:val="26"/>
              <w:keepNext w:val="0"/>
              <w:keepLines w:val="0"/>
              <w:pageBreakBefore w:val="0"/>
              <w:widowControl w:val="0"/>
              <w:kinsoku/>
              <w:wordWrap/>
              <w:overflowPunct/>
              <w:topLinePunct w:val="0"/>
              <w:autoSpaceDE/>
              <w:autoSpaceDN/>
              <w:bidi w:val="0"/>
              <w:adjustRightInd/>
              <w:snapToGrid/>
              <w:spacing w:after="0" w:line="340" w:lineRule="exact"/>
              <w:ind w:left="0" w:leftChars="0" w:firstLine="0" w:firstLineChars="0"/>
              <w:jc w:val="center"/>
              <w:textAlignment w:val="auto"/>
              <w:rPr>
                <w:rFonts w:ascii="Times New Roman" w:cs="Times New Roman"/>
                <w:b/>
                <w:color w:val="auto"/>
                <w:sz w:val="24"/>
                <w:szCs w:val="24"/>
                <w:vertAlign w:val="baseline"/>
              </w:rPr>
            </w:pPr>
            <w:r>
              <w:rPr>
                <w:rFonts w:hint="eastAsia" w:ascii="Times New Roman" w:cs="Times New Roman"/>
                <w:b/>
                <w:color w:val="auto"/>
                <w:sz w:val="24"/>
                <w:szCs w:val="24"/>
                <w:vertAlign w:val="baseline"/>
                <w:lang w:val="en-US" w:eastAsia="zh-CN"/>
              </w:rPr>
              <w:t>车间内部</w:t>
            </w:r>
          </w:p>
        </w:tc>
        <w:tc>
          <w:tcPr>
            <w:tcW w:w="2469" w:type="pct"/>
            <w:vAlign w:val="center"/>
          </w:tcPr>
          <w:p w14:paraId="111817B9">
            <w:pPr>
              <w:pStyle w:val="26"/>
              <w:keepNext w:val="0"/>
              <w:keepLines w:val="0"/>
              <w:pageBreakBefore w:val="0"/>
              <w:widowControl w:val="0"/>
              <w:kinsoku/>
              <w:wordWrap/>
              <w:overflowPunct/>
              <w:topLinePunct w:val="0"/>
              <w:autoSpaceDE/>
              <w:autoSpaceDN/>
              <w:bidi w:val="0"/>
              <w:adjustRightInd/>
              <w:snapToGrid/>
              <w:spacing w:after="0" w:line="340" w:lineRule="exact"/>
              <w:ind w:left="0" w:leftChars="0" w:firstLine="0" w:firstLineChars="0"/>
              <w:jc w:val="center"/>
              <w:textAlignment w:val="auto"/>
              <w:rPr>
                <w:rFonts w:hint="default" w:ascii="Times New Roman" w:cs="Times New Roman"/>
                <w:b/>
                <w:color w:val="auto"/>
                <w:sz w:val="24"/>
                <w:szCs w:val="24"/>
                <w:vertAlign w:val="baseline"/>
                <w:lang w:val="en-US" w:eastAsia="zh-CN"/>
              </w:rPr>
            </w:pPr>
            <w:r>
              <w:rPr>
                <w:rFonts w:hint="eastAsia" w:ascii="Times New Roman" w:cs="Times New Roman"/>
                <w:b/>
                <w:color w:val="auto"/>
                <w:sz w:val="24"/>
                <w:szCs w:val="24"/>
                <w:vertAlign w:val="baseline"/>
                <w:lang w:val="en-US" w:eastAsia="zh-CN"/>
              </w:rPr>
              <w:t>工程师现场照片</w:t>
            </w:r>
          </w:p>
        </w:tc>
      </w:tr>
    </w:tbl>
    <w:p w14:paraId="6D97EBEA">
      <w:pPr>
        <w:jc w:val="both"/>
        <w:rPr>
          <w:rFonts w:hint="default"/>
          <w:color w:val="auto"/>
          <w:lang w:val="en-US" w:eastAsia="zh-CN"/>
        </w:rPr>
      </w:pPr>
      <w:r>
        <w:rPr>
          <w:color w:val="auto"/>
          <w:sz w:val="21"/>
        </w:rPr>
        <mc:AlternateContent>
          <mc:Choice Requires="wps">
            <w:drawing>
              <wp:anchor distT="0" distB="0" distL="114300" distR="114300" simplePos="0" relativeHeight="251663360" behindDoc="0" locked="0" layoutInCell="1" allowOverlap="1">
                <wp:simplePos x="0" y="0"/>
                <wp:positionH relativeFrom="column">
                  <wp:posOffset>5502910</wp:posOffset>
                </wp:positionH>
                <wp:positionV relativeFrom="paragraph">
                  <wp:posOffset>2299970</wp:posOffset>
                </wp:positionV>
                <wp:extent cx="114300" cy="75565"/>
                <wp:effectExtent l="4445" t="4445" r="14605" b="15240"/>
                <wp:wrapNone/>
                <wp:docPr id="127" name="矩形 127"/>
                <wp:cNvGraphicFramePr/>
                <a:graphic xmlns:a="http://schemas.openxmlformats.org/drawingml/2006/main">
                  <a:graphicData uri="http://schemas.microsoft.com/office/word/2010/wordprocessingShape">
                    <wps:wsp>
                      <wps:cNvSpPr/>
                      <wps:spPr>
                        <a:xfrm>
                          <a:off x="0" y="0"/>
                          <a:ext cx="114300" cy="75565"/>
                        </a:xfrm>
                        <a:prstGeom prst="rect">
                          <a:avLst/>
                        </a:prstGeom>
                        <a:solidFill>
                          <a:srgbClr val="FFFFFF">
                            <a:alpha val="14999"/>
                          </a:srgbClr>
                        </a:solidFill>
                        <a:ln w="9525" cap="flat" cmpd="sng">
                          <a:solidFill>
                            <a:srgbClr val="FFFF00"/>
                          </a:solidFill>
                          <a:prstDash val="solid"/>
                          <a:miter/>
                          <a:headEnd type="none" w="med" len="med"/>
                          <a:tailEnd type="none" w="med" len="med"/>
                        </a:ln>
                      </wps:spPr>
                      <wps:txbx>
                        <w:txbxContent>
                          <w:p w14:paraId="09046905"/>
                        </w:txbxContent>
                      </wps:txbx>
                      <wps:bodyPr upright="1"/>
                    </wps:wsp>
                  </a:graphicData>
                </a:graphic>
              </wp:anchor>
            </w:drawing>
          </mc:Choice>
          <mc:Fallback>
            <w:pict>
              <v:rect id="_x0000_s1026" o:spid="_x0000_s1026" o:spt="1" style="position:absolute;left:0pt;margin-left:433.3pt;margin-top:181.1pt;height:5.95pt;width:9pt;z-index:251663360;mso-width-relative:page;mso-height-relative:page;" fillcolor="#FFFFFF" filled="t" stroked="t" coordsize="21600,21600" o:gfxdata="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U5fWY2AAAAAsBAAAPAAAAAAAA&#10;AAEAIAAAACIAAABkcnMvZG93bnJldi54bWxQSwECFAAUAAAACACHTuJA/NnlGBICAABMBAAADgAA&#10;AAAAAAABACAAAAAnAQAAZHJzL2Uyb0RvYy54bWxQSwUGAAAAAAYABgBZAQAAqwUAAAAA&#10;">
                <v:fill on="t" opacity="9829f" focussize="0,0"/>
                <v:stroke color="#FFFF00" joinstyle="miter"/>
                <v:imagedata o:title=""/>
                <o:lock v:ext="edit" aspectratio="f"/>
                <v:textbox>
                  <w:txbxContent>
                    <w:p w14:paraId="09046905"/>
                  </w:txbxContent>
                </v:textbox>
              </v:rect>
            </w:pict>
          </mc:Fallback>
        </mc:AlternateContent>
      </w: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1"/>
    <w:family w:val="auto"/>
    <w:pitch w:val="default"/>
    <w:sig w:usb0="E0002EFF" w:usb1="C000785B" w:usb2="00000009" w:usb3="00000000" w:csb0="400001FF" w:csb1="FFFF0000"/>
  </w:font>
  <w:font w:name="宋体">
    <w:panose1 w:val="02010600030101010101"/>
    <w:charset w:val="34"/>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华文宋体">
    <w:panose1 w:val="02010600040101010101"/>
    <w:charset w:val="86"/>
    <w:family w:val="auto"/>
    <w:pitch w:val="default"/>
    <w:sig w:usb0="00000287" w:usb1="080F0000" w:usb2="00000000" w:usb3="00000000" w:csb0="0004009F" w:csb1="DFD70000"/>
  </w:font>
  <w:font w:name="Verdana">
    <w:panose1 w:val="020B0604030504040204"/>
    <w:charset w:val="00"/>
    <w:family w:val="swiss"/>
    <w:pitch w:val="default"/>
    <w:sig w:usb0="A00006FF" w:usb1="4000205B" w:usb2="00000010" w:usb3="00000000" w:csb0="2000019F" w:csb1="0000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瀹嬩綋">
    <w:altName w:val="AMGDT"/>
    <w:panose1 w:val="00000000000000000000"/>
    <w:charset w:val="00"/>
    <w:family w:val="auto"/>
    <w:pitch w:val="default"/>
    <w:sig w:usb0="00000000" w:usb1="00000000" w:usb2="00000000" w:usb3="00000000" w:csb0="00000000" w:csb1="00000000"/>
  </w:font>
  <w:font w:name="AMGDT">
    <w:panose1 w:val="02000400000000000000"/>
    <w:charset w:val="00"/>
    <w:family w:val="auto"/>
    <w:pitch w:val="default"/>
    <w:sig w:usb0="80000003" w:usb1="10000000" w:usb2="00000000" w:usb3="00000000" w:csb0="00000001" w:csb1="00000000"/>
  </w:font>
  <w:font w:name="等线">
    <w:panose1 w:val="02010600030101010101"/>
    <w:charset w:val="86"/>
    <w:family w:val="auto"/>
    <w:pitch w:val="default"/>
    <w:sig w:usb0="A00002BF" w:usb1="38CF7CFA" w:usb2="00000016" w:usb3="00000000" w:csb0="0004000F" w:csb1="00000000"/>
  </w:font>
  <w:font w:name="方正小标宋简体">
    <w:altName w:val="黑体"/>
    <w:panose1 w:val="03000509000000000000"/>
    <w:charset w:val="86"/>
    <w:family w:val="script"/>
    <w:pitch w:val="default"/>
    <w:sig w:usb0="00000000" w:usb1="00000000" w:usb2="00000000" w:usb3="00000000" w:csb0="00040000"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 w:name="MS PGothic">
    <w:panose1 w:val="020B0600070205080204"/>
    <w:charset w:val="80"/>
    <w:family w:val="auto"/>
    <w:pitch w:val="default"/>
    <w:sig w:usb0="E00002FF" w:usb1="6AC7FDFB" w:usb2="08000012" w:usb3="00000000" w:csb0="4002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7D96DF3">
    <w:pPr>
      <w:pStyle w:val="21"/>
      <w:ind w:right="360" w:firstLine="360"/>
      <w:jc w:val="center"/>
      <w:rPr>
        <w:rFonts w:hint="default"/>
        <w:lang w:val="en-US"/>
      </w:rPr>
    </w:pPr>
    <w:r>
      <w:rPr>
        <w:sz w:val="18"/>
      </w:rPr>
      <w:pict>
        <v:shape id="_x0000_s4097" o:spid="_x0000_s4097" o:spt="202" type="#_x0000_t202" style="position:absolute;left:0pt;margin-top:0pt;height:144pt;width:144pt;mso-position-horizontal:center;mso-position-horizontal-relative:margin;mso-wrap-style:none;z-index:251659264;mso-width-relative:page;mso-height-relative:page;" filled="f" stroked="f" coordsize="21600,21600">
          <v:path/>
          <v:fill on="f" focussize="0,0"/>
          <v:stroke on="f"/>
          <v:imagedata o:title=""/>
          <o:lock v:ext="edit" aspectratio="f"/>
          <v:textbox inset="0mm,0mm,0mm,0mm" style="mso-fit-shape-to-text:t;">
            <w:txbxContent>
              <w:p w14:paraId="23D824EE">
                <w:pPr>
                  <w:pStyle w:val="21"/>
                </w:pPr>
                <w:r>
                  <w:fldChar w:fldCharType="begin"/>
                </w:r>
                <w:r>
                  <w:instrText xml:space="preserve"> PAGE  \* MERGEFORMAT </w:instrText>
                </w:r>
                <w:r>
                  <w:fldChar w:fldCharType="separate"/>
                </w:r>
                <w:r>
                  <w:t>1</w:t>
                </w:r>
                <w:r>
                  <w:fldChar w:fldCharType="end"/>
                </w:r>
              </w:p>
            </w:txbxContent>
          </v:textbox>
        </v:shape>
      </w:pict>
    </w:r>
    <w:r>
      <w:rPr>
        <w:rFonts w:hint="eastAsia"/>
        <w:lang w:val="en-US" w:eastAsia="zh-CN"/>
      </w:rPr>
      <w:t xml:space="preserve">     </w: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12E10F1"/>
    <w:multiLevelType w:val="singleLevel"/>
    <w:tmpl w:val="812E10F1"/>
    <w:lvl w:ilvl="0" w:tentative="0">
      <w:start w:val="1"/>
      <w:numFmt w:val="decimalEnclosedCircleChinese"/>
      <w:suff w:val="nothing"/>
      <w:lvlText w:val="%1　"/>
      <w:lvlJc w:val="left"/>
      <w:pPr>
        <w:ind w:left="0" w:firstLine="400"/>
      </w:pPr>
      <w:rPr>
        <w:rFonts w:hint="eastAsia"/>
      </w:rPr>
    </w:lvl>
  </w:abstractNum>
  <w:abstractNum w:abstractNumId="1">
    <w:nsid w:val="894DABA5"/>
    <w:multiLevelType w:val="singleLevel"/>
    <w:tmpl w:val="894DABA5"/>
    <w:lvl w:ilvl="0" w:tentative="0">
      <w:start w:val="1"/>
      <w:numFmt w:val="decimalEnclosedCircleChinese"/>
      <w:suff w:val="nothing"/>
      <w:lvlText w:val="%1　"/>
      <w:lvlJc w:val="left"/>
      <w:pPr>
        <w:ind w:left="0" w:firstLine="400"/>
      </w:pPr>
      <w:rPr>
        <w:rFonts w:hint="eastAsia"/>
      </w:rPr>
    </w:lvl>
  </w:abstractNum>
  <w:abstractNum w:abstractNumId="2">
    <w:nsid w:val="93BD3D77"/>
    <w:multiLevelType w:val="singleLevel"/>
    <w:tmpl w:val="93BD3D77"/>
    <w:lvl w:ilvl="0" w:tentative="0">
      <w:start w:val="1"/>
      <w:numFmt w:val="decimal"/>
      <w:suff w:val="nothing"/>
      <w:lvlText w:val="表2-%1 "/>
      <w:lvlJc w:val="left"/>
      <w:pPr>
        <w:tabs>
          <w:tab w:val="left" w:pos="0"/>
        </w:tabs>
        <w:ind w:left="3150" w:hanging="3110"/>
      </w:pPr>
      <w:rPr>
        <w:rFonts w:hint="default"/>
      </w:rPr>
    </w:lvl>
  </w:abstractNum>
  <w:abstractNum w:abstractNumId="3">
    <w:nsid w:val="975BCED4"/>
    <w:multiLevelType w:val="singleLevel"/>
    <w:tmpl w:val="975BCED4"/>
    <w:lvl w:ilvl="0" w:tentative="0">
      <w:start w:val="1"/>
      <w:numFmt w:val="decimal"/>
      <w:lvlText w:val="%1."/>
      <w:lvlJc w:val="left"/>
      <w:pPr>
        <w:ind w:left="425" w:hanging="425"/>
      </w:pPr>
      <w:rPr>
        <w:rFonts w:hint="default"/>
      </w:rPr>
    </w:lvl>
  </w:abstractNum>
  <w:abstractNum w:abstractNumId="4">
    <w:nsid w:val="A0C3D944"/>
    <w:multiLevelType w:val="singleLevel"/>
    <w:tmpl w:val="A0C3D944"/>
    <w:lvl w:ilvl="0" w:tentative="0">
      <w:start w:val="1"/>
      <w:numFmt w:val="decimal"/>
      <w:suff w:val="nothing"/>
      <w:lvlText w:val="%1．"/>
      <w:lvlJc w:val="left"/>
      <w:pPr>
        <w:ind w:left="0" w:firstLine="400"/>
      </w:pPr>
      <w:rPr>
        <w:rFonts w:hint="default"/>
      </w:rPr>
    </w:lvl>
  </w:abstractNum>
  <w:abstractNum w:abstractNumId="5">
    <w:nsid w:val="B098D18E"/>
    <w:multiLevelType w:val="singleLevel"/>
    <w:tmpl w:val="B098D18E"/>
    <w:lvl w:ilvl="0" w:tentative="0">
      <w:start w:val="1"/>
      <w:numFmt w:val="decimal"/>
      <w:lvlText w:val="%1."/>
      <w:lvlJc w:val="left"/>
      <w:pPr>
        <w:tabs>
          <w:tab w:val="left" w:pos="312"/>
        </w:tabs>
      </w:pPr>
    </w:lvl>
  </w:abstractNum>
  <w:abstractNum w:abstractNumId="6">
    <w:nsid w:val="B4F904B1"/>
    <w:multiLevelType w:val="singleLevel"/>
    <w:tmpl w:val="B4F904B1"/>
    <w:lvl w:ilvl="0" w:tentative="0">
      <w:start w:val="1"/>
      <w:numFmt w:val="decimalEnclosedCircleChinese"/>
      <w:suff w:val="nothing"/>
      <w:lvlText w:val="%1　"/>
      <w:lvlJc w:val="left"/>
      <w:pPr>
        <w:ind w:left="0" w:firstLine="400"/>
      </w:pPr>
      <w:rPr>
        <w:rFonts w:hint="eastAsia"/>
      </w:rPr>
    </w:lvl>
  </w:abstractNum>
  <w:abstractNum w:abstractNumId="7">
    <w:nsid w:val="B78298BE"/>
    <w:multiLevelType w:val="singleLevel"/>
    <w:tmpl w:val="B78298BE"/>
    <w:lvl w:ilvl="0" w:tentative="0">
      <w:start w:val="1"/>
      <w:numFmt w:val="decimal"/>
      <w:suff w:val="nothing"/>
      <w:lvlText w:val="%1．"/>
      <w:lvlJc w:val="left"/>
      <w:pPr>
        <w:ind w:left="0" w:firstLine="400"/>
      </w:pPr>
      <w:rPr>
        <w:rFonts w:hint="default"/>
      </w:rPr>
    </w:lvl>
  </w:abstractNum>
  <w:abstractNum w:abstractNumId="8">
    <w:nsid w:val="BEB5E2F9"/>
    <w:multiLevelType w:val="singleLevel"/>
    <w:tmpl w:val="BEB5E2F9"/>
    <w:lvl w:ilvl="0" w:tentative="0">
      <w:start w:val="1"/>
      <w:numFmt w:val="decimal"/>
      <w:suff w:val="nothing"/>
      <w:lvlText w:val="%1．"/>
      <w:lvlJc w:val="left"/>
      <w:pPr>
        <w:ind w:left="0" w:firstLine="400"/>
      </w:pPr>
      <w:rPr>
        <w:rFonts w:hint="default"/>
      </w:rPr>
    </w:lvl>
  </w:abstractNum>
  <w:abstractNum w:abstractNumId="9">
    <w:nsid w:val="BF49C6EB"/>
    <w:multiLevelType w:val="singleLevel"/>
    <w:tmpl w:val="BF49C6EB"/>
    <w:lvl w:ilvl="0" w:tentative="0">
      <w:start w:val="1"/>
      <w:numFmt w:val="decimal"/>
      <w:lvlText w:val="(%1)"/>
      <w:lvlJc w:val="left"/>
      <w:pPr>
        <w:ind w:left="425" w:hanging="425"/>
      </w:pPr>
      <w:rPr>
        <w:rFonts w:hint="default"/>
      </w:rPr>
    </w:lvl>
  </w:abstractNum>
  <w:abstractNum w:abstractNumId="10">
    <w:nsid w:val="CC871DC2"/>
    <w:multiLevelType w:val="singleLevel"/>
    <w:tmpl w:val="CC871DC2"/>
    <w:lvl w:ilvl="0" w:tentative="0">
      <w:start w:val="1"/>
      <w:numFmt w:val="decimalEnclosedCircleChinese"/>
      <w:suff w:val="nothing"/>
      <w:lvlText w:val="%1　"/>
      <w:lvlJc w:val="left"/>
      <w:pPr>
        <w:ind w:left="0" w:firstLine="400"/>
      </w:pPr>
      <w:rPr>
        <w:rFonts w:hint="eastAsia"/>
      </w:rPr>
    </w:lvl>
  </w:abstractNum>
  <w:abstractNum w:abstractNumId="11">
    <w:nsid w:val="D7FBBC21"/>
    <w:multiLevelType w:val="singleLevel"/>
    <w:tmpl w:val="D7FBBC21"/>
    <w:lvl w:ilvl="0" w:tentative="0">
      <w:start w:val="1"/>
      <w:numFmt w:val="decimal"/>
      <w:suff w:val="nothing"/>
      <w:lvlText w:val="表3-%1 "/>
      <w:lvlJc w:val="left"/>
      <w:pPr>
        <w:tabs>
          <w:tab w:val="left" w:pos="0"/>
        </w:tabs>
        <w:ind w:left="3150" w:hanging="3110"/>
      </w:pPr>
      <w:rPr>
        <w:rFonts w:hint="default"/>
      </w:rPr>
    </w:lvl>
  </w:abstractNum>
  <w:abstractNum w:abstractNumId="12">
    <w:nsid w:val="D99F1546"/>
    <w:multiLevelType w:val="singleLevel"/>
    <w:tmpl w:val="D99F1546"/>
    <w:lvl w:ilvl="0" w:tentative="0">
      <w:start w:val="1"/>
      <w:numFmt w:val="decimal"/>
      <w:lvlText w:val="%1."/>
      <w:lvlJc w:val="left"/>
      <w:pPr>
        <w:ind w:left="425" w:hanging="425"/>
      </w:pPr>
      <w:rPr>
        <w:rFonts w:hint="default"/>
      </w:rPr>
    </w:lvl>
  </w:abstractNum>
  <w:abstractNum w:abstractNumId="13">
    <w:nsid w:val="DA2C2BBD"/>
    <w:multiLevelType w:val="singleLevel"/>
    <w:tmpl w:val="DA2C2BBD"/>
    <w:lvl w:ilvl="0" w:tentative="0">
      <w:start w:val="1"/>
      <w:numFmt w:val="bullet"/>
      <w:pStyle w:val="17"/>
      <w:lvlText w:val=""/>
      <w:lvlJc w:val="left"/>
      <w:pPr>
        <w:tabs>
          <w:tab w:val="left" w:pos="2040"/>
        </w:tabs>
        <w:ind w:left="2040" w:hanging="360"/>
      </w:pPr>
      <w:rPr>
        <w:rFonts w:hint="default" w:ascii="Wingdings" w:hAnsi="Wingdings"/>
      </w:rPr>
    </w:lvl>
  </w:abstractNum>
  <w:abstractNum w:abstractNumId="14">
    <w:nsid w:val="DA8A5E07"/>
    <w:multiLevelType w:val="multilevel"/>
    <w:tmpl w:val="DA8A5E07"/>
    <w:lvl w:ilvl="0" w:tentative="0">
      <w:start w:val="1"/>
      <w:numFmt w:val="decimal"/>
      <w:suff w:val="nothing"/>
      <w:lvlText w:val="表4-%1 "/>
      <w:lvlJc w:val="left"/>
      <w:pPr>
        <w:tabs>
          <w:tab w:val="left" w:pos="0"/>
        </w:tabs>
        <w:ind w:left="3150" w:hanging="3110"/>
      </w:pPr>
      <w:rPr>
        <w:rFonts w:hint="default"/>
      </w:rPr>
    </w:lvl>
    <w:lvl w:ilvl="1" w:tentative="0">
      <w:start w:val="1"/>
      <w:numFmt w:val="lowerLetter"/>
      <w:lvlText w:val="%2)"/>
      <w:lvlJc w:val="left"/>
      <w:pPr>
        <w:tabs>
          <w:tab w:val="left" w:pos="840"/>
        </w:tabs>
        <w:ind w:left="880" w:leftChars="0" w:hanging="420" w:firstLineChars="0"/>
      </w:pPr>
      <w:rPr>
        <w:rFonts w:hint="default"/>
      </w:rPr>
    </w:lvl>
    <w:lvl w:ilvl="2" w:tentative="0">
      <w:start w:val="1"/>
      <w:numFmt w:val="lowerRoman"/>
      <w:lvlText w:val="%3."/>
      <w:lvlJc w:val="left"/>
      <w:pPr>
        <w:tabs>
          <w:tab w:val="left" w:pos="1260"/>
        </w:tabs>
        <w:ind w:left="1300" w:leftChars="0" w:hanging="420" w:firstLineChars="0"/>
      </w:pPr>
      <w:rPr>
        <w:rFonts w:hint="default"/>
      </w:rPr>
    </w:lvl>
    <w:lvl w:ilvl="3" w:tentative="0">
      <w:start w:val="1"/>
      <w:numFmt w:val="decimal"/>
      <w:lvlText w:val="%4."/>
      <w:lvlJc w:val="left"/>
      <w:pPr>
        <w:tabs>
          <w:tab w:val="left" w:pos="1680"/>
        </w:tabs>
        <w:ind w:left="1720" w:leftChars="0" w:hanging="420" w:firstLineChars="0"/>
      </w:pPr>
      <w:rPr>
        <w:rFonts w:hint="default"/>
      </w:rPr>
    </w:lvl>
    <w:lvl w:ilvl="4" w:tentative="0">
      <w:start w:val="1"/>
      <w:numFmt w:val="lowerLetter"/>
      <w:lvlText w:val="%5)"/>
      <w:lvlJc w:val="left"/>
      <w:pPr>
        <w:tabs>
          <w:tab w:val="left" w:pos="2100"/>
        </w:tabs>
        <w:ind w:left="2140" w:leftChars="0" w:hanging="420" w:firstLineChars="0"/>
      </w:pPr>
      <w:rPr>
        <w:rFonts w:hint="default"/>
      </w:rPr>
    </w:lvl>
    <w:lvl w:ilvl="5" w:tentative="0">
      <w:start w:val="1"/>
      <w:numFmt w:val="lowerRoman"/>
      <w:lvlText w:val="%6."/>
      <w:lvlJc w:val="left"/>
      <w:pPr>
        <w:tabs>
          <w:tab w:val="left" w:pos="2520"/>
        </w:tabs>
        <w:ind w:left="2560" w:leftChars="0" w:hanging="420" w:firstLineChars="0"/>
      </w:pPr>
      <w:rPr>
        <w:rFonts w:hint="default"/>
      </w:rPr>
    </w:lvl>
    <w:lvl w:ilvl="6" w:tentative="0">
      <w:start w:val="1"/>
      <w:numFmt w:val="decimal"/>
      <w:lvlText w:val="%7."/>
      <w:lvlJc w:val="left"/>
      <w:pPr>
        <w:tabs>
          <w:tab w:val="left" w:pos="2940"/>
        </w:tabs>
        <w:ind w:left="2980" w:leftChars="0" w:hanging="420" w:firstLineChars="0"/>
      </w:pPr>
      <w:rPr>
        <w:rFonts w:hint="default"/>
      </w:rPr>
    </w:lvl>
    <w:lvl w:ilvl="7" w:tentative="0">
      <w:start w:val="1"/>
      <w:numFmt w:val="lowerLetter"/>
      <w:lvlText w:val="%8)"/>
      <w:lvlJc w:val="left"/>
      <w:pPr>
        <w:tabs>
          <w:tab w:val="left" w:pos="3360"/>
        </w:tabs>
        <w:ind w:left="3400" w:leftChars="0" w:hanging="420" w:firstLineChars="0"/>
      </w:pPr>
      <w:rPr>
        <w:rFonts w:hint="default"/>
      </w:rPr>
    </w:lvl>
    <w:lvl w:ilvl="8" w:tentative="0">
      <w:start w:val="1"/>
      <w:numFmt w:val="lowerRoman"/>
      <w:lvlText w:val="%9."/>
      <w:lvlJc w:val="left"/>
      <w:pPr>
        <w:tabs>
          <w:tab w:val="left" w:pos="3780"/>
        </w:tabs>
        <w:ind w:left="3820" w:leftChars="0" w:hanging="420" w:firstLineChars="0"/>
      </w:pPr>
      <w:rPr>
        <w:rFonts w:hint="default"/>
      </w:rPr>
    </w:lvl>
  </w:abstractNum>
  <w:abstractNum w:abstractNumId="15">
    <w:nsid w:val="DFBAC503"/>
    <w:multiLevelType w:val="singleLevel"/>
    <w:tmpl w:val="DFBAC503"/>
    <w:lvl w:ilvl="0" w:tentative="0">
      <w:start w:val="1"/>
      <w:numFmt w:val="decimal"/>
      <w:suff w:val="nothing"/>
      <w:lvlText w:val="%1、"/>
      <w:lvlJc w:val="left"/>
    </w:lvl>
  </w:abstractNum>
  <w:abstractNum w:abstractNumId="16">
    <w:nsid w:val="E0EB8850"/>
    <w:multiLevelType w:val="singleLevel"/>
    <w:tmpl w:val="E0EB8850"/>
    <w:lvl w:ilvl="0" w:tentative="0">
      <w:start w:val="1"/>
      <w:numFmt w:val="decimal"/>
      <w:lvlText w:val="图%1  "/>
      <w:lvlJc w:val="left"/>
      <w:pPr>
        <w:tabs>
          <w:tab w:val="left" w:pos="420"/>
        </w:tabs>
        <w:ind w:left="425" w:leftChars="0" w:hanging="425" w:firstLineChars="0"/>
      </w:pPr>
      <w:rPr>
        <w:rFonts w:hint="default" w:ascii="宋体" w:hAnsi="宋体" w:eastAsia="宋体" w:cs="宋体"/>
      </w:rPr>
    </w:lvl>
  </w:abstractNum>
  <w:abstractNum w:abstractNumId="17">
    <w:nsid w:val="E284ED02"/>
    <w:multiLevelType w:val="singleLevel"/>
    <w:tmpl w:val="E284ED02"/>
    <w:lvl w:ilvl="0" w:tentative="0">
      <w:start w:val="2"/>
      <w:numFmt w:val="decimal"/>
      <w:suff w:val="nothing"/>
      <w:lvlText w:val="%1、"/>
      <w:lvlJc w:val="left"/>
    </w:lvl>
  </w:abstractNum>
  <w:abstractNum w:abstractNumId="18">
    <w:nsid w:val="EA8ED4A8"/>
    <w:multiLevelType w:val="singleLevel"/>
    <w:tmpl w:val="EA8ED4A8"/>
    <w:lvl w:ilvl="0" w:tentative="0">
      <w:start w:val="1"/>
      <w:numFmt w:val="decimalEnclosedCircleChinese"/>
      <w:suff w:val="nothing"/>
      <w:lvlText w:val="%1　"/>
      <w:lvlJc w:val="left"/>
      <w:pPr>
        <w:ind w:left="0" w:firstLine="400"/>
      </w:pPr>
      <w:rPr>
        <w:rFonts w:hint="eastAsia"/>
      </w:rPr>
    </w:lvl>
  </w:abstractNum>
  <w:abstractNum w:abstractNumId="19">
    <w:nsid w:val="EC799A0E"/>
    <w:multiLevelType w:val="singleLevel"/>
    <w:tmpl w:val="EC799A0E"/>
    <w:lvl w:ilvl="0" w:tentative="0">
      <w:start w:val="1"/>
      <w:numFmt w:val="decimal"/>
      <w:suff w:val="nothing"/>
      <w:lvlText w:val="%1．"/>
      <w:lvlJc w:val="left"/>
      <w:pPr>
        <w:ind w:left="0" w:firstLine="400"/>
      </w:pPr>
      <w:rPr>
        <w:rFonts w:hint="default"/>
      </w:rPr>
    </w:lvl>
  </w:abstractNum>
  <w:abstractNum w:abstractNumId="20">
    <w:nsid w:val="EFAF3EDD"/>
    <w:multiLevelType w:val="singleLevel"/>
    <w:tmpl w:val="EFAF3EDD"/>
    <w:lvl w:ilvl="0" w:tentative="0">
      <w:start w:val="1"/>
      <w:numFmt w:val="chineseCounting"/>
      <w:suff w:val="nothing"/>
      <w:lvlText w:val="（%1）"/>
      <w:lvlJc w:val="left"/>
      <w:pPr>
        <w:ind w:left="0" w:firstLine="420"/>
      </w:pPr>
      <w:rPr>
        <w:rFonts w:hint="eastAsia"/>
      </w:rPr>
    </w:lvl>
  </w:abstractNum>
  <w:abstractNum w:abstractNumId="21">
    <w:nsid w:val="F0117D64"/>
    <w:multiLevelType w:val="singleLevel"/>
    <w:tmpl w:val="F0117D64"/>
    <w:lvl w:ilvl="0" w:tentative="0">
      <w:start w:val="1"/>
      <w:numFmt w:val="decimalEnclosedCircleChinese"/>
      <w:suff w:val="nothing"/>
      <w:lvlText w:val="%1　"/>
      <w:lvlJc w:val="left"/>
      <w:pPr>
        <w:ind w:left="0" w:firstLine="400"/>
      </w:pPr>
      <w:rPr>
        <w:rFonts w:hint="eastAsia"/>
      </w:rPr>
    </w:lvl>
  </w:abstractNum>
  <w:abstractNum w:abstractNumId="22">
    <w:nsid w:val="F30EB2FD"/>
    <w:multiLevelType w:val="singleLevel"/>
    <w:tmpl w:val="F30EB2FD"/>
    <w:lvl w:ilvl="0" w:tentative="0">
      <w:start w:val="1"/>
      <w:numFmt w:val="chineseCounting"/>
      <w:suff w:val="nothing"/>
      <w:lvlText w:val="附件%1  "/>
      <w:lvlJc w:val="left"/>
      <w:pPr>
        <w:ind w:left="0" w:firstLine="420"/>
      </w:pPr>
      <w:rPr>
        <w:rFonts w:hint="eastAsia"/>
      </w:rPr>
    </w:lvl>
  </w:abstractNum>
  <w:abstractNum w:abstractNumId="23">
    <w:nsid w:val="F7F71F85"/>
    <w:multiLevelType w:val="singleLevel"/>
    <w:tmpl w:val="F7F71F85"/>
    <w:lvl w:ilvl="0" w:tentative="0">
      <w:start w:val="2"/>
      <w:numFmt w:val="chineseCounting"/>
      <w:suff w:val="nothing"/>
      <w:lvlText w:val="%1、"/>
      <w:lvlJc w:val="left"/>
      <w:rPr>
        <w:rFonts w:hint="eastAsia"/>
      </w:rPr>
    </w:lvl>
  </w:abstractNum>
  <w:abstractNum w:abstractNumId="24">
    <w:nsid w:val="FB514D62"/>
    <w:multiLevelType w:val="singleLevel"/>
    <w:tmpl w:val="FB514D62"/>
    <w:lvl w:ilvl="0" w:tentative="0">
      <w:start w:val="1"/>
      <w:numFmt w:val="decimal"/>
      <w:suff w:val="nothing"/>
      <w:lvlText w:val="%1．"/>
      <w:lvlJc w:val="left"/>
      <w:pPr>
        <w:ind w:left="0" w:firstLine="400"/>
      </w:pPr>
      <w:rPr>
        <w:rFonts w:hint="default"/>
      </w:rPr>
    </w:lvl>
  </w:abstractNum>
  <w:abstractNum w:abstractNumId="25">
    <w:nsid w:val="FD450DBF"/>
    <w:multiLevelType w:val="singleLevel"/>
    <w:tmpl w:val="FD450DBF"/>
    <w:lvl w:ilvl="0" w:tentative="0">
      <w:start w:val="1"/>
      <w:numFmt w:val="decimal"/>
      <w:lvlText w:val="%1."/>
      <w:lvlJc w:val="left"/>
      <w:pPr>
        <w:tabs>
          <w:tab w:val="left" w:pos="312"/>
        </w:tabs>
      </w:pPr>
    </w:lvl>
  </w:abstractNum>
  <w:abstractNum w:abstractNumId="26">
    <w:nsid w:val="18265399"/>
    <w:multiLevelType w:val="singleLevel"/>
    <w:tmpl w:val="18265399"/>
    <w:lvl w:ilvl="0" w:tentative="0">
      <w:start w:val="1"/>
      <w:numFmt w:val="chineseCounting"/>
      <w:suff w:val="nothing"/>
      <w:lvlText w:val="%1、"/>
      <w:lvlJc w:val="left"/>
      <w:pPr>
        <w:ind w:left="0" w:firstLine="420"/>
      </w:pPr>
      <w:rPr>
        <w:rFonts w:hint="eastAsia"/>
      </w:rPr>
    </w:lvl>
  </w:abstractNum>
  <w:abstractNum w:abstractNumId="27">
    <w:nsid w:val="1E9A16C9"/>
    <w:multiLevelType w:val="singleLevel"/>
    <w:tmpl w:val="1E9A16C9"/>
    <w:lvl w:ilvl="0" w:tentative="0">
      <w:start w:val="1"/>
      <w:numFmt w:val="decimal"/>
      <w:suff w:val="nothing"/>
      <w:lvlText w:val="%1．"/>
      <w:lvlJc w:val="left"/>
      <w:pPr>
        <w:ind w:left="0" w:firstLine="400"/>
      </w:pPr>
      <w:rPr>
        <w:rFonts w:hint="default"/>
      </w:rPr>
    </w:lvl>
  </w:abstractNum>
  <w:abstractNum w:abstractNumId="28">
    <w:nsid w:val="228D87DC"/>
    <w:multiLevelType w:val="singleLevel"/>
    <w:tmpl w:val="228D87DC"/>
    <w:lvl w:ilvl="0" w:tentative="0">
      <w:start w:val="1"/>
      <w:numFmt w:val="decimal"/>
      <w:lvlText w:val="(%1)"/>
      <w:lvlJc w:val="left"/>
      <w:pPr>
        <w:ind w:left="425" w:hanging="425"/>
      </w:pPr>
      <w:rPr>
        <w:rFonts w:hint="default"/>
      </w:rPr>
    </w:lvl>
  </w:abstractNum>
  <w:abstractNum w:abstractNumId="29">
    <w:nsid w:val="2458CE59"/>
    <w:multiLevelType w:val="singleLevel"/>
    <w:tmpl w:val="2458CE59"/>
    <w:lvl w:ilvl="0" w:tentative="0">
      <w:start w:val="1"/>
      <w:numFmt w:val="decimal"/>
      <w:suff w:val="nothing"/>
      <w:lvlText w:val="%1．"/>
      <w:lvlJc w:val="left"/>
      <w:pPr>
        <w:ind w:left="0" w:firstLine="400"/>
      </w:pPr>
      <w:rPr>
        <w:rFonts w:hint="default"/>
      </w:rPr>
    </w:lvl>
  </w:abstractNum>
  <w:abstractNum w:abstractNumId="30">
    <w:nsid w:val="28C6158D"/>
    <w:multiLevelType w:val="singleLevel"/>
    <w:tmpl w:val="28C6158D"/>
    <w:lvl w:ilvl="0" w:tentative="0">
      <w:start w:val="1"/>
      <w:numFmt w:val="decimal"/>
      <w:lvlText w:val="(%1)"/>
      <w:lvlJc w:val="left"/>
      <w:pPr>
        <w:ind w:left="425" w:hanging="425"/>
      </w:pPr>
      <w:rPr>
        <w:rFonts w:hint="default"/>
      </w:rPr>
    </w:lvl>
  </w:abstractNum>
  <w:abstractNum w:abstractNumId="31">
    <w:nsid w:val="341791FB"/>
    <w:multiLevelType w:val="singleLevel"/>
    <w:tmpl w:val="341791FB"/>
    <w:lvl w:ilvl="0" w:tentative="0">
      <w:start w:val="1"/>
      <w:numFmt w:val="decimal"/>
      <w:lvlText w:val="(%1)"/>
      <w:lvlJc w:val="left"/>
      <w:pPr>
        <w:ind w:left="425" w:hanging="425"/>
      </w:pPr>
      <w:rPr>
        <w:rFonts w:hint="default"/>
      </w:rPr>
    </w:lvl>
  </w:abstractNum>
  <w:abstractNum w:abstractNumId="32">
    <w:nsid w:val="366A89FF"/>
    <w:multiLevelType w:val="singleLevel"/>
    <w:tmpl w:val="366A89FF"/>
    <w:lvl w:ilvl="0" w:tentative="0">
      <w:start w:val="1"/>
      <w:numFmt w:val="decimal"/>
      <w:lvlText w:val="(%1)"/>
      <w:lvlJc w:val="left"/>
      <w:pPr>
        <w:ind w:left="425" w:hanging="425"/>
      </w:pPr>
      <w:rPr>
        <w:rFonts w:hint="default"/>
        <w:color w:val="auto"/>
      </w:rPr>
    </w:lvl>
  </w:abstractNum>
  <w:abstractNum w:abstractNumId="33">
    <w:nsid w:val="3966337D"/>
    <w:multiLevelType w:val="singleLevel"/>
    <w:tmpl w:val="3966337D"/>
    <w:lvl w:ilvl="0" w:tentative="0">
      <w:start w:val="1"/>
      <w:numFmt w:val="decimal"/>
      <w:suff w:val="nothing"/>
      <w:lvlText w:val="附图%1  "/>
      <w:lvlJc w:val="left"/>
      <w:pPr>
        <w:ind w:left="0" w:firstLine="403"/>
      </w:pPr>
      <w:rPr>
        <w:rFonts w:hint="default"/>
      </w:rPr>
    </w:lvl>
  </w:abstractNum>
  <w:abstractNum w:abstractNumId="34">
    <w:nsid w:val="419A0BFA"/>
    <w:multiLevelType w:val="singleLevel"/>
    <w:tmpl w:val="419A0BFA"/>
    <w:lvl w:ilvl="0" w:tentative="0">
      <w:start w:val="1"/>
      <w:numFmt w:val="decimal"/>
      <w:lvlText w:val="%1)"/>
      <w:lvlJc w:val="left"/>
      <w:pPr>
        <w:ind w:left="425" w:hanging="425"/>
      </w:pPr>
      <w:rPr>
        <w:rFonts w:hint="default"/>
      </w:rPr>
    </w:lvl>
  </w:abstractNum>
  <w:abstractNum w:abstractNumId="35">
    <w:nsid w:val="432135AB"/>
    <w:multiLevelType w:val="singleLevel"/>
    <w:tmpl w:val="432135AB"/>
    <w:lvl w:ilvl="0" w:tentative="0">
      <w:start w:val="1"/>
      <w:numFmt w:val="decimal"/>
      <w:suff w:val="nothing"/>
      <w:lvlText w:val="%1、"/>
      <w:lvlJc w:val="left"/>
    </w:lvl>
  </w:abstractNum>
  <w:abstractNum w:abstractNumId="36">
    <w:nsid w:val="4E2DFC09"/>
    <w:multiLevelType w:val="singleLevel"/>
    <w:tmpl w:val="4E2DFC09"/>
    <w:lvl w:ilvl="0" w:tentative="0">
      <w:start w:val="1"/>
      <w:numFmt w:val="decimal"/>
      <w:suff w:val="nothing"/>
      <w:lvlText w:val="%1．"/>
      <w:lvlJc w:val="left"/>
      <w:pPr>
        <w:ind w:left="0" w:firstLine="400"/>
      </w:pPr>
      <w:rPr>
        <w:rFonts w:hint="default"/>
      </w:rPr>
    </w:lvl>
  </w:abstractNum>
  <w:abstractNum w:abstractNumId="37">
    <w:nsid w:val="5A35F51C"/>
    <w:multiLevelType w:val="singleLevel"/>
    <w:tmpl w:val="5A35F51C"/>
    <w:lvl w:ilvl="0" w:tentative="0">
      <w:start w:val="1"/>
      <w:numFmt w:val="decimal"/>
      <w:lvlText w:val="(%1)"/>
      <w:lvlJc w:val="left"/>
      <w:pPr>
        <w:ind w:left="425" w:hanging="425"/>
      </w:pPr>
      <w:rPr>
        <w:rFonts w:hint="default"/>
      </w:rPr>
    </w:lvl>
  </w:abstractNum>
  <w:abstractNum w:abstractNumId="38">
    <w:nsid w:val="5A814E9C"/>
    <w:multiLevelType w:val="singleLevel"/>
    <w:tmpl w:val="5A814E9C"/>
    <w:lvl w:ilvl="0" w:tentative="0">
      <w:start w:val="1"/>
      <w:numFmt w:val="decimal"/>
      <w:suff w:val="nothing"/>
      <w:lvlText w:val="%1．"/>
      <w:lvlJc w:val="left"/>
      <w:pPr>
        <w:ind w:left="0" w:firstLine="400"/>
      </w:pPr>
      <w:rPr>
        <w:rFonts w:hint="default"/>
      </w:rPr>
    </w:lvl>
  </w:abstractNum>
  <w:abstractNum w:abstractNumId="39">
    <w:nsid w:val="5C014A28"/>
    <w:multiLevelType w:val="singleLevel"/>
    <w:tmpl w:val="5C014A28"/>
    <w:lvl w:ilvl="0" w:tentative="0">
      <w:start w:val="1"/>
      <w:numFmt w:val="decimal"/>
      <w:lvlText w:val="(%1)"/>
      <w:lvlJc w:val="left"/>
      <w:pPr>
        <w:ind w:left="425" w:hanging="425"/>
      </w:pPr>
      <w:rPr>
        <w:rFonts w:hint="default"/>
      </w:rPr>
    </w:lvl>
  </w:abstractNum>
  <w:abstractNum w:abstractNumId="40">
    <w:nsid w:val="6723CE08"/>
    <w:multiLevelType w:val="singleLevel"/>
    <w:tmpl w:val="6723CE08"/>
    <w:lvl w:ilvl="0" w:tentative="0">
      <w:start w:val="1"/>
      <w:numFmt w:val="decimalEnclosedCircleChinese"/>
      <w:suff w:val="nothing"/>
      <w:lvlText w:val="%1　"/>
      <w:lvlJc w:val="left"/>
      <w:pPr>
        <w:ind w:left="0" w:firstLine="400"/>
      </w:pPr>
      <w:rPr>
        <w:rFonts w:hint="eastAsia"/>
      </w:rPr>
    </w:lvl>
  </w:abstractNum>
  <w:abstractNum w:abstractNumId="41">
    <w:nsid w:val="6BF87FD7"/>
    <w:multiLevelType w:val="singleLevel"/>
    <w:tmpl w:val="6BF87FD7"/>
    <w:lvl w:ilvl="0" w:tentative="0">
      <w:start w:val="1"/>
      <w:numFmt w:val="decimal"/>
      <w:lvlText w:val="(%1)"/>
      <w:lvlJc w:val="left"/>
      <w:pPr>
        <w:ind w:left="425" w:hanging="425"/>
      </w:pPr>
      <w:rPr>
        <w:rFonts w:hint="default"/>
      </w:rPr>
    </w:lvl>
  </w:abstractNum>
  <w:abstractNum w:abstractNumId="42">
    <w:nsid w:val="7005D401"/>
    <w:multiLevelType w:val="singleLevel"/>
    <w:tmpl w:val="7005D401"/>
    <w:lvl w:ilvl="0" w:tentative="0">
      <w:start w:val="1"/>
      <w:numFmt w:val="decimalEnclosedCircleChinese"/>
      <w:suff w:val="nothing"/>
      <w:lvlText w:val="%1　"/>
      <w:lvlJc w:val="left"/>
      <w:pPr>
        <w:ind w:left="0" w:firstLine="400"/>
      </w:pPr>
      <w:rPr>
        <w:rFonts w:hint="eastAsia"/>
      </w:rPr>
    </w:lvl>
  </w:abstractNum>
  <w:abstractNum w:abstractNumId="43">
    <w:nsid w:val="709A3B07"/>
    <w:multiLevelType w:val="singleLevel"/>
    <w:tmpl w:val="709A3B07"/>
    <w:lvl w:ilvl="0" w:tentative="0">
      <w:start w:val="3"/>
      <w:numFmt w:val="decimal"/>
      <w:suff w:val="nothing"/>
      <w:lvlText w:val="表1-%1 "/>
      <w:lvlJc w:val="left"/>
      <w:pPr>
        <w:tabs>
          <w:tab w:val="left" w:pos="0"/>
        </w:tabs>
        <w:ind w:left="3150" w:hanging="3110"/>
      </w:pPr>
      <w:rPr>
        <w:rFonts w:hint="default"/>
      </w:rPr>
    </w:lvl>
  </w:abstractNum>
  <w:abstractNum w:abstractNumId="44">
    <w:nsid w:val="70FFCDF6"/>
    <w:multiLevelType w:val="singleLevel"/>
    <w:tmpl w:val="70FFCDF6"/>
    <w:lvl w:ilvl="0" w:tentative="0">
      <w:start w:val="1"/>
      <w:numFmt w:val="decimal"/>
      <w:lvlText w:val="%1)"/>
      <w:lvlJc w:val="left"/>
      <w:pPr>
        <w:ind w:left="425" w:hanging="425"/>
      </w:pPr>
      <w:rPr>
        <w:rFonts w:hint="default"/>
      </w:rPr>
    </w:lvl>
  </w:abstractNum>
  <w:abstractNum w:abstractNumId="45">
    <w:nsid w:val="7614DC9E"/>
    <w:multiLevelType w:val="singleLevel"/>
    <w:tmpl w:val="7614DC9E"/>
    <w:lvl w:ilvl="0" w:tentative="0">
      <w:start w:val="1"/>
      <w:numFmt w:val="decimal"/>
      <w:lvlText w:val="(%1)"/>
      <w:lvlJc w:val="left"/>
      <w:pPr>
        <w:ind w:left="425" w:hanging="425"/>
      </w:pPr>
      <w:rPr>
        <w:rFonts w:hint="default"/>
      </w:rPr>
    </w:lvl>
  </w:abstractNum>
  <w:abstractNum w:abstractNumId="46">
    <w:nsid w:val="78328252"/>
    <w:multiLevelType w:val="singleLevel"/>
    <w:tmpl w:val="78328252"/>
    <w:lvl w:ilvl="0" w:tentative="0">
      <w:start w:val="1"/>
      <w:numFmt w:val="decimal"/>
      <w:suff w:val="nothing"/>
      <w:lvlText w:val="%1．"/>
      <w:lvlJc w:val="left"/>
      <w:pPr>
        <w:ind w:left="0" w:firstLine="400"/>
      </w:pPr>
      <w:rPr>
        <w:rFonts w:hint="default"/>
      </w:rPr>
    </w:lvl>
  </w:abstractNum>
  <w:abstractNum w:abstractNumId="47">
    <w:nsid w:val="7C9263C2"/>
    <w:multiLevelType w:val="singleLevel"/>
    <w:tmpl w:val="7C9263C2"/>
    <w:lvl w:ilvl="0" w:tentative="0">
      <w:start w:val="1"/>
      <w:numFmt w:val="decimal"/>
      <w:lvlText w:val="(%1)"/>
      <w:lvlJc w:val="left"/>
      <w:pPr>
        <w:ind w:left="425" w:hanging="425"/>
      </w:pPr>
      <w:rPr>
        <w:rFonts w:hint="default"/>
      </w:rPr>
    </w:lvl>
  </w:abstractNum>
  <w:abstractNum w:abstractNumId="48">
    <w:nsid w:val="7CE5748B"/>
    <w:multiLevelType w:val="singleLevel"/>
    <w:tmpl w:val="7CE5748B"/>
    <w:lvl w:ilvl="0" w:tentative="0">
      <w:start w:val="1"/>
      <w:numFmt w:val="decimal"/>
      <w:suff w:val="nothing"/>
      <w:lvlText w:val="表1-%1 "/>
      <w:lvlJc w:val="left"/>
      <w:pPr>
        <w:tabs>
          <w:tab w:val="left" w:pos="0"/>
        </w:tabs>
        <w:ind w:left="0" w:firstLine="403"/>
      </w:pPr>
      <w:rPr>
        <w:rFonts w:hint="default"/>
      </w:rPr>
    </w:lvl>
  </w:abstractNum>
  <w:num w:numId="1">
    <w:abstractNumId w:val="13"/>
  </w:num>
  <w:num w:numId="2">
    <w:abstractNumId w:val="48"/>
  </w:num>
  <w:num w:numId="3">
    <w:abstractNumId w:val="3"/>
  </w:num>
  <w:num w:numId="4">
    <w:abstractNumId w:val="47"/>
  </w:num>
  <w:num w:numId="5">
    <w:abstractNumId w:val="5"/>
  </w:num>
  <w:num w:numId="6">
    <w:abstractNumId w:val="8"/>
  </w:num>
  <w:num w:numId="7">
    <w:abstractNumId w:val="25"/>
  </w:num>
  <w:num w:numId="8">
    <w:abstractNumId w:val="41"/>
  </w:num>
  <w:num w:numId="9">
    <w:abstractNumId w:val="43"/>
  </w:num>
  <w:num w:numId="10">
    <w:abstractNumId w:val="9"/>
  </w:num>
  <w:num w:numId="11">
    <w:abstractNumId w:val="23"/>
  </w:num>
  <w:num w:numId="12">
    <w:abstractNumId w:val="29"/>
  </w:num>
  <w:num w:numId="13">
    <w:abstractNumId w:val="32"/>
  </w:num>
  <w:num w:numId="14">
    <w:abstractNumId w:val="2"/>
  </w:num>
  <w:num w:numId="15">
    <w:abstractNumId w:val="37"/>
  </w:num>
  <w:num w:numId="16">
    <w:abstractNumId w:val="16"/>
  </w:num>
  <w:num w:numId="17">
    <w:abstractNumId w:val="20"/>
  </w:num>
  <w:num w:numId="18">
    <w:abstractNumId w:val="27"/>
  </w:num>
  <w:num w:numId="19">
    <w:abstractNumId w:val="35"/>
  </w:num>
  <w:num w:numId="20">
    <w:abstractNumId w:val="28"/>
  </w:num>
  <w:num w:numId="21">
    <w:abstractNumId w:val="39"/>
  </w:num>
  <w:num w:numId="22">
    <w:abstractNumId w:val="42"/>
  </w:num>
  <w:num w:numId="23">
    <w:abstractNumId w:val="38"/>
  </w:num>
  <w:num w:numId="24">
    <w:abstractNumId w:val="45"/>
  </w:num>
  <w:num w:numId="25">
    <w:abstractNumId w:val="11"/>
  </w:num>
  <w:num w:numId="26">
    <w:abstractNumId w:val="15"/>
  </w:num>
  <w:num w:numId="27">
    <w:abstractNumId w:val="36"/>
  </w:num>
  <w:num w:numId="28">
    <w:abstractNumId w:val="19"/>
  </w:num>
  <w:num w:numId="29">
    <w:abstractNumId w:val="26"/>
  </w:num>
  <w:num w:numId="30">
    <w:abstractNumId w:val="46"/>
  </w:num>
  <w:num w:numId="31">
    <w:abstractNumId w:val="14"/>
  </w:num>
  <w:num w:numId="32">
    <w:abstractNumId w:val="24"/>
  </w:num>
  <w:num w:numId="33">
    <w:abstractNumId w:val="12"/>
  </w:num>
  <w:num w:numId="34">
    <w:abstractNumId w:val="17"/>
  </w:num>
  <w:num w:numId="35">
    <w:abstractNumId w:val="31"/>
  </w:num>
  <w:num w:numId="36">
    <w:abstractNumId w:val="7"/>
  </w:num>
  <w:num w:numId="37">
    <w:abstractNumId w:val="40"/>
  </w:num>
  <w:num w:numId="38">
    <w:abstractNumId w:val="1"/>
  </w:num>
  <w:num w:numId="39">
    <w:abstractNumId w:val="30"/>
  </w:num>
  <w:num w:numId="40">
    <w:abstractNumId w:val="10"/>
  </w:num>
  <w:num w:numId="41">
    <w:abstractNumId w:val="18"/>
  </w:num>
  <w:num w:numId="42">
    <w:abstractNumId w:val="6"/>
  </w:num>
  <w:num w:numId="43">
    <w:abstractNumId w:val="21"/>
  </w:num>
  <w:num w:numId="44">
    <w:abstractNumId w:val="0"/>
  </w:num>
  <w:num w:numId="45">
    <w:abstractNumId w:val="34"/>
  </w:num>
  <w:num w:numId="46">
    <w:abstractNumId w:val="44"/>
  </w:num>
  <w:num w:numId="47">
    <w:abstractNumId w:val="4"/>
  </w:num>
  <w:num w:numId="48">
    <w:abstractNumId w:val="22"/>
  </w:num>
  <w:num w:numId="49">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hdrShapeDefaults>
    <o:shapelayout v:ext="edit">
      <o:idmap v:ext="edit" data="3,4"/>
    </o:shapelayout>
  </w:hdrShapeDefaults>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1AF15279"/>
    <w:rsid w:val="09F37FE0"/>
    <w:rsid w:val="0C5B41EF"/>
    <w:rsid w:val="10A4090A"/>
    <w:rsid w:val="1AF15279"/>
    <w:rsid w:val="383330E2"/>
    <w:rsid w:val="3CB140E6"/>
    <w:rsid w:val="42562163"/>
    <w:rsid w:val="45DF1FD2"/>
    <w:rsid w:val="5AB20F29"/>
    <w:rsid w:val="6D566DCE"/>
    <w:rsid w:val="727A0E5E"/>
    <w:rsid w:val="7F42769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qFormat="1" w:unhideWhenUsed="0" w:uiPriority="0" w:semiHidden="0" w:name="Salutation"/>
    <w:lsdException w:unhideWhenUsed="0" w:uiPriority="0" w:semiHidden="0" w:name="Date"/>
    <w:lsdException w:unhideWhenUsed="0" w:uiPriority="0" w:semiHidden="0" w:name="Body Text First Indent"/>
    <w:lsdException w:qFormat="1" w:uiPriority="99"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qFormat/>
    <w:uiPriority w:val="0"/>
    <w:pPr>
      <w:keepNext/>
      <w:overflowPunct w:val="0"/>
      <w:snapToGrid w:val="0"/>
      <w:spacing w:before="120" w:after="160" w:line="259" w:lineRule="auto"/>
      <w:ind w:left="432" w:hanging="432"/>
      <w:outlineLvl w:val="0"/>
    </w:pPr>
    <w:rPr>
      <w:rFonts w:ascii="Times New Roman" w:hAnsi="Times New Roman" w:eastAsia="黑体" w:cs="Times New Roman"/>
      <w:b/>
      <w:bCs/>
      <w:color w:val="000000"/>
      <w:kern w:val="44"/>
      <w:sz w:val="30"/>
      <w:szCs w:val="30"/>
    </w:rPr>
  </w:style>
  <w:style w:type="paragraph" w:styleId="3">
    <w:name w:val="heading 2"/>
    <w:basedOn w:val="1"/>
    <w:next w:val="1"/>
    <w:semiHidden/>
    <w:unhideWhenUsed/>
    <w:qFormat/>
    <w:uiPriority w:val="0"/>
    <w:pPr>
      <w:keepNext/>
      <w:keepLines/>
      <w:adjustRightInd w:val="0"/>
      <w:spacing w:line="360" w:lineRule="auto"/>
      <w:textAlignment w:val="baseline"/>
      <w:outlineLvl w:val="1"/>
    </w:pPr>
    <w:rPr>
      <w:rFonts w:ascii="Times New Roman" w:hAnsi="Times New Roman" w:eastAsia="宋体" w:cs="Times New Roman"/>
      <w:b/>
      <w:sz w:val="24"/>
    </w:rPr>
  </w:style>
  <w:style w:type="paragraph" w:styleId="4">
    <w:name w:val="heading 9"/>
    <w:basedOn w:val="1"/>
    <w:next w:val="1"/>
    <w:semiHidden/>
    <w:unhideWhenUsed/>
    <w:qFormat/>
    <w:uiPriority w:val="0"/>
    <w:pPr>
      <w:keepNext/>
      <w:keepLines/>
      <w:spacing w:before="240" w:after="64" w:line="320" w:lineRule="auto"/>
      <w:outlineLvl w:val="8"/>
    </w:pPr>
    <w:rPr>
      <w:rFonts w:ascii="Cambria" w:hAnsi="Cambria" w:eastAsia="宋体" w:cs="Times New Roman"/>
      <w:szCs w:val="21"/>
    </w:rPr>
  </w:style>
  <w:style w:type="character" w:default="1" w:styleId="29">
    <w:name w:val="Default Paragraph Font"/>
    <w:semiHidden/>
    <w:qFormat/>
    <w:uiPriority w:val="0"/>
  </w:style>
  <w:style w:type="table" w:default="1" w:styleId="27">
    <w:name w:val="Normal Table"/>
    <w:semiHidden/>
    <w:qFormat/>
    <w:uiPriority w:val="0"/>
    <w:tblPr>
      <w:tblCellMar>
        <w:top w:w="0" w:type="dxa"/>
        <w:left w:w="108" w:type="dxa"/>
        <w:bottom w:w="0" w:type="dxa"/>
        <w:right w:w="108" w:type="dxa"/>
      </w:tblCellMar>
    </w:tblPr>
  </w:style>
  <w:style w:type="paragraph" w:styleId="5">
    <w:name w:val="Normal Indent"/>
    <w:basedOn w:val="1"/>
    <w:link w:val="85"/>
    <w:uiPriority w:val="0"/>
    <w:pPr>
      <w:widowControl/>
      <w:ind w:firstLine="200" w:firstLineChars="200"/>
      <w:jc w:val="left"/>
    </w:pPr>
    <w:rPr>
      <w:rFonts w:ascii="宋体" w:hAnsi="Times New Roman" w:eastAsia="宋体" w:cs="宋体"/>
      <w:color w:val="000000"/>
      <w:sz w:val="24"/>
      <w:u w:color="000000"/>
    </w:rPr>
  </w:style>
  <w:style w:type="paragraph" w:styleId="6">
    <w:name w:val="caption"/>
    <w:basedOn w:val="1"/>
    <w:next w:val="1"/>
    <w:semiHidden/>
    <w:unhideWhenUsed/>
    <w:qFormat/>
    <w:uiPriority w:val="0"/>
    <w:pPr>
      <w:keepNext w:val="0"/>
      <w:keepLines w:val="0"/>
      <w:widowControl/>
      <w:suppressLineNumbers w:val="0"/>
      <w:snapToGrid w:val="0"/>
      <w:spacing w:before="50" w:beforeLines="50" w:beforeAutospacing="0" w:after="0" w:afterAutospacing="0" w:line="360" w:lineRule="auto"/>
      <w:ind w:left="0" w:right="0"/>
      <w:jc w:val="center"/>
    </w:pPr>
    <w:rPr>
      <w:rFonts w:hint="eastAsia" w:ascii="黑体" w:hAnsi="宋体" w:eastAsia="黑体" w:cs="Arial"/>
      <w:kern w:val="2"/>
      <w:sz w:val="21"/>
      <w:szCs w:val="24"/>
      <w:lang w:val="en-US" w:eastAsia="zh-CN" w:bidi="ar"/>
    </w:rPr>
  </w:style>
  <w:style w:type="paragraph" w:styleId="7">
    <w:name w:val="Document Map"/>
    <w:basedOn w:val="1"/>
    <w:next w:val="1"/>
    <w:link w:val="88"/>
    <w:uiPriority w:val="0"/>
    <w:rPr>
      <w:rFonts w:ascii="宋体" w:hAnsi="Times New Roman" w:eastAsia="宋体" w:cs="Times New Roman"/>
      <w:sz w:val="18"/>
      <w:szCs w:val="18"/>
    </w:rPr>
  </w:style>
  <w:style w:type="paragraph" w:styleId="8">
    <w:name w:val="annotation text"/>
    <w:basedOn w:val="1"/>
    <w:link w:val="41"/>
    <w:qFormat/>
    <w:uiPriority w:val="0"/>
    <w:pPr>
      <w:jc w:val="left"/>
    </w:pPr>
    <w:rPr>
      <w:rFonts w:ascii="Times New Roman" w:hAnsi="Times New Roman" w:eastAsia="宋体" w:cs="Times New Roman"/>
      <w:kern w:val="0"/>
      <w:sz w:val="24"/>
      <w:szCs w:val="20"/>
    </w:rPr>
  </w:style>
  <w:style w:type="paragraph" w:styleId="9">
    <w:name w:val="Salutation"/>
    <w:basedOn w:val="1"/>
    <w:next w:val="1"/>
    <w:qFormat/>
    <w:uiPriority w:val="0"/>
    <w:pPr>
      <w:adjustRightInd w:val="0"/>
      <w:spacing w:line="360" w:lineRule="atLeast"/>
      <w:textAlignment w:val="baseline"/>
    </w:pPr>
    <w:rPr>
      <w:rFonts w:ascii="宋体" w:hAnsi="华文宋体" w:eastAsia="宋体" w:cs="Times New Roman"/>
      <w:sz w:val="28"/>
      <w:szCs w:val="24"/>
    </w:rPr>
  </w:style>
  <w:style w:type="paragraph" w:styleId="10">
    <w:name w:val="Body Text"/>
    <w:basedOn w:val="1"/>
    <w:link w:val="42"/>
    <w:uiPriority w:val="0"/>
    <w:pPr>
      <w:widowControl/>
      <w:snapToGrid w:val="0"/>
      <w:spacing w:before="60" w:after="160" w:line="259" w:lineRule="auto"/>
      <w:ind w:right="113"/>
    </w:pPr>
    <w:rPr>
      <w:rFonts w:ascii="Times New Roman" w:hAnsi="Times New Roman" w:eastAsia="宋体" w:cs="Times New Roman"/>
      <w:kern w:val="0"/>
      <w:sz w:val="18"/>
      <w:szCs w:val="20"/>
    </w:rPr>
  </w:style>
  <w:style w:type="paragraph" w:styleId="11">
    <w:name w:val="Body Text Indent"/>
    <w:basedOn w:val="1"/>
    <w:next w:val="12"/>
    <w:link w:val="43"/>
    <w:qFormat/>
    <w:uiPriority w:val="0"/>
    <w:pPr>
      <w:spacing w:after="120"/>
      <w:ind w:left="420" w:leftChars="200"/>
    </w:pPr>
    <w:rPr>
      <w:rFonts w:ascii="Times New Roman" w:hAnsi="Times New Roman" w:eastAsia="宋体" w:cs="Times New Roman"/>
      <w:kern w:val="0"/>
      <w:sz w:val="24"/>
      <w:szCs w:val="20"/>
    </w:rPr>
  </w:style>
  <w:style w:type="paragraph" w:customStyle="1" w:styleId="12">
    <w:name w:val="样式 正文文本缩进 + 行距: 1.5 倍行距"/>
    <w:basedOn w:val="13"/>
    <w:next w:val="1"/>
    <w:autoRedefine/>
    <w:qFormat/>
    <w:uiPriority w:val="0"/>
    <w:pPr>
      <w:spacing w:after="120" w:line="360" w:lineRule="auto"/>
      <w:ind w:left="90" w:leftChars="32" w:firstLine="560" w:firstLineChars="200"/>
    </w:pPr>
    <w:rPr>
      <w:rFonts w:cs="宋体"/>
    </w:rPr>
  </w:style>
  <w:style w:type="paragraph" w:customStyle="1" w:styleId="13">
    <w:name w:val="Body Text Indent"/>
    <w:basedOn w:val="1"/>
    <w:next w:val="12"/>
    <w:autoRedefine/>
    <w:qFormat/>
    <w:uiPriority w:val="0"/>
    <w:pPr>
      <w:spacing w:after="120" w:afterLines="0"/>
      <w:ind w:left="420" w:leftChars="200"/>
    </w:pPr>
    <w:rPr>
      <w:rFonts w:ascii="Times New Roman" w:hAnsi="Times New Roman" w:eastAsia="宋体" w:cs="Times New Roman"/>
      <w:sz w:val="24"/>
    </w:rPr>
  </w:style>
  <w:style w:type="paragraph" w:styleId="14">
    <w:name w:val="Block Text"/>
    <w:basedOn w:val="1"/>
    <w:next w:val="1"/>
    <w:uiPriority w:val="0"/>
    <w:pPr>
      <w:spacing w:before="120"/>
      <w:ind w:left="113" w:right="113"/>
    </w:pPr>
    <w:rPr>
      <w:rFonts w:ascii="Arial" w:hAnsi="Arial" w:eastAsia="宋体" w:cs="Times New Roman"/>
      <w:kern w:val="24"/>
      <w:sz w:val="24"/>
    </w:rPr>
  </w:style>
  <w:style w:type="paragraph" w:styleId="15">
    <w:name w:val="Plain Text"/>
    <w:basedOn w:val="1"/>
    <w:next w:val="16"/>
    <w:uiPriority w:val="0"/>
    <w:rPr>
      <w:rFonts w:ascii="宋体" w:hAnsi="Courier New" w:eastAsia="宋体" w:cs="Courier New"/>
      <w:szCs w:val="21"/>
    </w:rPr>
  </w:style>
  <w:style w:type="paragraph" w:styleId="16">
    <w:name w:val="header"/>
    <w:basedOn w:val="1"/>
    <w:link w:val="47"/>
    <w:qFormat/>
    <w:uiPriority w:val="0"/>
    <w:pPr>
      <w:pBdr>
        <w:bottom w:val="single" w:color="auto" w:sz="6" w:space="1"/>
      </w:pBdr>
      <w:tabs>
        <w:tab w:val="center" w:pos="4153"/>
        <w:tab w:val="right" w:pos="8306"/>
      </w:tabs>
      <w:snapToGrid w:val="0"/>
      <w:jc w:val="center"/>
    </w:pPr>
    <w:rPr>
      <w:rFonts w:ascii="Times New Roman" w:hAnsi="Times New Roman" w:eastAsia="宋体" w:cs="Times New Roman"/>
      <w:kern w:val="0"/>
      <w:sz w:val="18"/>
      <w:szCs w:val="20"/>
    </w:rPr>
  </w:style>
  <w:style w:type="paragraph" w:styleId="17">
    <w:name w:val="List Bullet 5"/>
    <w:basedOn w:val="1"/>
    <w:uiPriority w:val="0"/>
    <w:pPr>
      <w:numPr>
        <w:ilvl w:val="0"/>
        <w:numId w:val="1"/>
      </w:numPr>
    </w:pPr>
  </w:style>
  <w:style w:type="paragraph" w:styleId="18">
    <w:name w:val="Date"/>
    <w:basedOn w:val="1"/>
    <w:next w:val="1"/>
    <w:link w:val="44"/>
    <w:uiPriority w:val="0"/>
    <w:pPr>
      <w:ind w:left="100" w:leftChars="2500"/>
    </w:pPr>
    <w:rPr>
      <w:rFonts w:ascii="Times New Roman" w:hAnsi="Times New Roman" w:eastAsia="宋体" w:cs="Times New Roman"/>
      <w:kern w:val="0"/>
      <w:sz w:val="24"/>
      <w:szCs w:val="20"/>
    </w:rPr>
  </w:style>
  <w:style w:type="paragraph" w:styleId="19">
    <w:name w:val="Body Text Indent 2"/>
    <w:basedOn w:val="1"/>
    <w:uiPriority w:val="0"/>
    <w:pPr>
      <w:spacing w:after="120" w:line="480" w:lineRule="auto"/>
      <w:ind w:left="200" w:leftChars="200"/>
    </w:pPr>
    <w:rPr>
      <w:rFonts w:ascii="Times New Roman" w:hAnsi="Times New Roman" w:eastAsia="宋体" w:cs="Times New Roman"/>
    </w:rPr>
  </w:style>
  <w:style w:type="paragraph" w:styleId="20">
    <w:name w:val="Balloon Text"/>
    <w:basedOn w:val="1"/>
    <w:link w:val="45"/>
    <w:uiPriority w:val="0"/>
    <w:rPr>
      <w:rFonts w:ascii="Times New Roman" w:hAnsi="Times New Roman" w:eastAsia="宋体" w:cs="Times New Roman"/>
      <w:kern w:val="0"/>
      <w:sz w:val="18"/>
      <w:szCs w:val="20"/>
    </w:rPr>
  </w:style>
  <w:style w:type="paragraph" w:styleId="21">
    <w:name w:val="footer"/>
    <w:basedOn w:val="1"/>
    <w:link w:val="46"/>
    <w:qFormat/>
    <w:uiPriority w:val="0"/>
    <w:pPr>
      <w:tabs>
        <w:tab w:val="center" w:pos="4153"/>
        <w:tab w:val="right" w:pos="8306"/>
      </w:tabs>
      <w:snapToGrid w:val="0"/>
      <w:jc w:val="left"/>
    </w:pPr>
    <w:rPr>
      <w:rFonts w:ascii="Times New Roman" w:hAnsi="Times New Roman" w:eastAsia="宋体" w:cs="Times New Roman"/>
      <w:kern w:val="0"/>
      <w:sz w:val="18"/>
      <w:szCs w:val="20"/>
    </w:rPr>
  </w:style>
  <w:style w:type="paragraph" w:styleId="22">
    <w:name w:val="toc 2"/>
    <w:basedOn w:val="1"/>
    <w:next w:val="1"/>
    <w:uiPriority w:val="0"/>
    <w:pPr>
      <w:ind w:left="420" w:leftChars="200"/>
    </w:pPr>
    <w:rPr>
      <w:rFonts w:ascii="Times New Roman" w:hAnsi="Times New Roman" w:eastAsia="宋体" w:cs="Times New Roman"/>
    </w:rPr>
  </w:style>
  <w:style w:type="paragraph" w:styleId="23">
    <w:name w:val="Normal (Web)"/>
    <w:basedOn w:val="1"/>
    <w:link w:val="48"/>
    <w:uiPriority w:val="0"/>
    <w:pPr>
      <w:widowControl/>
      <w:spacing w:before="100" w:beforeAutospacing="1" w:after="100" w:afterAutospacing="1"/>
      <w:jc w:val="left"/>
    </w:pPr>
    <w:rPr>
      <w:rFonts w:ascii="宋体" w:hAnsi="宋体" w:eastAsia="宋体" w:cs="Times New Roman"/>
      <w:kern w:val="0"/>
      <w:sz w:val="24"/>
      <w:szCs w:val="20"/>
    </w:rPr>
  </w:style>
  <w:style w:type="paragraph" w:styleId="24">
    <w:name w:val="annotation subject"/>
    <w:basedOn w:val="8"/>
    <w:next w:val="8"/>
    <w:link w:val="49"/>
    <w:uiPriority w:val="0"/>
    <w:rPr>
      <w:b/>
    </w:rPr>
  </w:style>
  <w:style w:type="paragraph" w:styleId="25">
    <w:name w:val="Body Text First Indent"/>
    <w:basedOn w:val="10"/>
    <w:uiPriority w:val="0"/>
    <w:pPr>
      <w:ind w:firstLine="420" w:firstLineChars="100"/>
    </w:pPr>
  </w:style>
  <w:style w:type="paragraph" w:styleId="26">
    <w:name w:val="Body Text First Indent 2"/>
    <w:basedOn w:val="11"/>
    <w:next w:val="1"/>
    <w:link w:val="75"/>
    <w:unhideWhenUsed/>
    <w:qFormat/>
    <w:uiPriority w:val="99"/>
    <w:pPr>
      <w:ind w:firstLine="420" w:firstLineChars="200"/>
    </w:pPr>
    <w:rPr>
      <w:kern w:val="2"/>
      <w:sz w:val="21"/>
      <w:szCs w:val="24"/>
    </w:rPr>
  </w:style>
  <w:style w:type="table" w:styleId="28">
    <w:name w:val="Table Grid"/>
    <w:basedOn w:val="27"/>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30">
    <w:name w:val="Strong"/>
    <w:basedOn w:val="29"/>
    <w:qFormat/>
    <w:uiPriority w:val="0"/>
    <w:rPr>
      <w:rFonts w:ascii="Verdana" w:hAnsi="Verdana" w:eastAsia="宋体" w:cs="Verdana"/>
      <w:b/>
      <w:bCs/>
      <w:sz w:val="20"/>
      <w:szCs w:val="20"/>
      <w:lang w:eastAsia="en-US"/>
    </w:rPr>
  </w:style>
  <w:style w:type="character" w:styleId="31">
    <w:name w:val="page number"/>
    <w:uiPriority w:val="0"/>
    <w:rPr>
      <w:rFonts w:ascii="Times New Roman" w:hAnsi="Times New Roman" w:eastAsia="宋体" w:cs="Times New Roman"/>
    </w:rPr>
  </w:style>
  <w:style w:type="character" w:styleId="32">
    <w:name w:val="Emphasis"/>
    <w:basedOn w:val="29"/>
    <w:qFormat/>
    <w:uiPriority w:val="0"/>
    <w:rPr>
      <w:rFonts w:ascii="Times New Roman" w:hAnsi="Times New Roman" w:eastAsia="宋体" w:cs="Times New Roman"/>
      <w:i/>
    </w:rPr>
  </w:style>
  <w:style w:type="character" w:styleId="33">
    <w:name w:val="annotation reference"/>
    <w:uiPriority w:val="0"/>
    <w:rPr>
      <w:rFonts w:ascii="Times New Roman" w:hAnsi="Times New Roman" w:eastAsia="宋体" w:cs="Times New Roman"/>
      <w:sz w:val="21"/>
    </w:rPr>
  </w:style>
  <w:style w:type="paragraph" w:customStyle="1" w:styleId="34">
    <w:name w:val="样式5"/>
    <w:basedOn w:val="35"/>
    <w:next w:val="21"/>
    <w:autoRedefine/>
    <w:qFormat/>
    <w:uiPriority w:val="0"/>
    <w:pPr>
      <w:spacing w:before="62" w:beforeLines="20" w:after="62" w:afterLines="20" w:line="480" w:lineRule="exact"/>
      <w:ind w:firstLine="523" w:firstLineChars="218"/>
      <w:jc w:val="both"/>
    </w:pPr>
    <w:rPr>
      <w:i/>
      <w:iCs/>
      <w:sz w:val="24"/>
      <w:szCs w:val="20"/>
    </w:rPr>
  </w:style>
  <w:style w:type="paragraph" w:customStyle="1" w:styleId="35">
    <w:name w:val="正文1"/>
    <w:basedOn w:val="7"/>
    <w:next w:val="1"/>
    <w:autoRedefine/>
    <w:qFormat/>
    <w:uiPriority w:val="0"/>
    <w:pPr>
      <w:spacing w:line="360" w:lineRule="auto"/>
      <w:ind w:firstLine="200" w:firstLineChars="200"/>
    </w:pPr>
    <w:rPr>
      <w:rFonts w:cs="宋体"/>
      <w:sz w:val="24"/>
      <w:szCs w:val="20"/>
    </w:rPr>
  </w:style>
  <w:style w:type="paragraph" w:customStyle="1" w:styleId="36">
    <w:name w:val="Default"/>
    <w:basedOn w:val="37"/>
    <w:autoRedefine/>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37">
    <w:name w:val="表格标题"/>
    <w:basedOn w:val="6"/>
    <w:autoRedefine/>
    <w:qFormat/>
    <w:uiPriority w:val="0"/>
    <w:pPr>
      <w:spacing w:before="60" w:line="460" w:lineRule="exact"/>
      <w:jc w:val="center"/>
    </w:pPr>
    <w:rPr>
      <w:rFonts w:ascii="Arial" w:hAnsi="Arial" w:eastAsia="宋体"/>
    </w:rPr>
  </w:style>
  <w:style w:type="paragraph" w:customStyle="1" w:styleId="38">
    <w:name w:val="正文文本缩进1"/>
    <w:basedOn w:val="1"/>
    <w:next w:val="12"/>
    <w:autoRedefine/>
    <w:qFormat/>
    <w:uiPriority w:val="0"/>
    <w:pPr>
      <w:spacing w:after="120"/>
      <w:ind w:left="420" w:leftChars="200"/>
    </w:pPr>
    <w:rPr>
      <w:rFonts w:ascii="Times New Roman" w:hAnsi="Times New Roman" w:eastAsia="宋体" w:cs="Times New Roman"/>
      <w:sz w:val="24"/>
    </w:rPr>
  </w:style>
  <w:style w:type="paragraph" w:customStyle="1" w:styleId="39">
    <w:name w:val="样式 标题 1一级标题 + 段前: 0.5 行 段后: 0.5 行"/>
    <w:basedOn w:val="2"/>
    <w:autoRedefine/>
    <w:qFormat/>
    <w:uiPriority w:val="99"/>
    <w:pPr>
      <w:spacing w:line="320" w:lineRule="exact"/>
      <w:outlineLvl w:val="9"/>
    </w:pPr>
    <w:rPr>
      <w:spacing w:val="-6"/>
      <w:sz w:val="21"/>
      <w:szCs w:val="21"/>
    </w:rPr>
  </w:style>
  <w:style w:type="paragraph" w:customStyle="1" w:styleId="40">
    <w:name w:val="样式 正文文本 + 首行缩进:  2 字符"/>
    <w:basedOn w:val="10"/>
    <w:autoRedefine/>
    <w:qFormat/>
    <w:uiPriority w:val="99"/>
    <w:pPr>
      <w:spacing w:after="200" w:line="480" w:lineRule="exact"/>
      <w:ind w:firstLine="480" w:firstLineChars="200"/>
    </w:pPr>
    <w:rPr>
      <w:rFonts w:ascii="宋体" w:hAnsi="宋体"/>
      <w:sz w:val="24"/>
    </w:rPr>
  </w:style>
  <w:style w:type="character" w:customStyle="1" w:styleId="41">
    <w:name w:val="批注文字 Char"/>
    <w:link w:val="8"/>
    <w:autoRedefine/>
    <w:qFormat/>
    <w:locked/>
    <w:uiPriority w:val="0"/>
    <w:rPr>
      <w:rFonts w:ascii="Times New Roman" w:hAnsi="Times New Roman" w:eastAsia="宋体" w:cs="Times New Roman"/>
      <w:kern w:val="0"/>
      <w:sz w:val="24"/>
      <w:szCs w:val="20"/>
    </w:rPr>
  </w:style>
  <w:style w:type="character" w:customStyle="1" w:styleId="42">
    <w:name w:val="正文文本 Char"/>
    <w:link w:val="10"/>
    <w:autoRedefine/>
    <w:qFormat/>
    <w:locked/>
    <w:uiPriority w:val="0"/>
    <w:rPr>
      <w:rFonts w:ascii="Times New Roman" w:hAnsi="Times New Roman" w:eastAsia="宋体" w:cs="Times New Roman"/>
      <w:kern w:val="0"/>
      <w:sz w:val="18"/>
      <w:szCs w:val="20"/>
    </w:rPr>
  </w:style>
  <w:style w:type="character" w:customStyle="1" w:styleId="43">
    <w:name w:val="正文文本缩进 Char"/>
    <w:link w:val="11"/>
    <w:autoRedefine/>
    <w:semiHidden/>
    <w:qFormat/>
    <w:locked/>
    <w:uiPriority w:val="0"/>
    <w:rPr>
      <w:rFonts w:ascii="Times New Roman" w:hAnsi="Times New Roman" w:eastAsia="宋体" w:cs="Times New Roman"/>
      <w:kern w:val="0"/>
      <w:sz w:val="24"/>
      <w:szCs w:val="20"/>
    </w:rPr>
  </w:style>
  <w:style w:type="character" w:customStyle="1" w:styleId="44">
    <w:name w:val="日期 Char"/>
    <w:link w:val="18"/>
    <w:autoRedefine/>
    <w:qFormat/>
    <w:locked/>
    <w:uiPriority w:val="0"/>
    <w:rPr>
      <w:rFonts w:ascii="Times New Roman" w:hAnsi="Times New Roman" w:eastAsia="宋体" w:cs="Times New Roman"/>
      <w:kern w:val="0"/>
      <w:sz w:val="24"/>
      <w:szCs w:val="20"/>
    </w:rPr>
  </w:style>
  <w:style w:type="character" w:customStyle="1" w:styleId="45">
    <w:name w:val="批注框文本 Char"/>
    <w:link w:val="20"/>
    <w:autoRedefine/>
    <w:semiHidden/>
    <w:qFormat/>
    <w:locked/>
    <w:uiPriority w:val="0"/>
    <w:rPr>
      <w:rFonts w:ascii="Times New Roman" w:hAnsi="Times New Roman" w:eastAsia="宋体" w:cs="Times New Roman"/>
      <w:kern w:val="0"/>
      <w:sz w:val="18"/>
      <w:szCs w:val="20"/>
    </w:rPr>
  </w:style>
  <w:style w:type="character" w:customStyle="1" w:styleId="46">
    <w:name w:val="页脚 Char"/>
    <w:link w:val="21"/>
    <w:autoRedefine/>
    <w:qFormat/>
    <w:locked/>
    <w:uiPriority w:val="99"/>
    <w:rPr>
      <w:rFonts w:ascii="Times New Roman" w:hAnsi="Times New Roman" w:eastAsia="宋体" w:cs="Times New Roman"/>
      <w:kern w:val="0"/>
      <w:sz w:val="18"/>
      <w:szCs w:val="20"/>
    </w:rPr>
  </w:style>
  <w:style w:type="character" w:customStyle="1" w:styleId="47">
    <w:name w:val="页眉 Char"/>
    <w:link w:val="16"/>
    <w:autoRedefine/>
    <w:qFormat/>
    <w:locked/>
    <w:uiPriority w:val="0"/>
    <w:rPr>
      <w:rFonts w:ascii="Times New Roman" w:hAnsi="Times New Roman" w:eastAsia="宋体" w:cs="Times New Roman"/>
      <w:kern w:val="0"/>
      <w:sz w:val="18"/>
      <w:szCs w:val="20"/>
    </w:rPr>
  </w:style>
  <w:style w:type="character" w:customStyle="1" w:styleId="48">
    <w:name w:val="普通(网站) Char"/>
    <w:link w:val="23"/>
    <w:autoRedefine/>
    <w:qFormat/>
    <w:locked/>
    <w:uiPriority w:val="0"/>
    <w:rPr>
      <w:rFonts w:ascii="宋体" w:hAnsi="宋体" w:eastAsia="宋体" w:cs="Times New Roman"/>
      <w:kern w:val="0"/>
      <w:sz w:val="24"/>
      <w:szCs w:val="20"/>
    </w:rPr>
  </w:style>
  <w:style w:type="character" w:customStyle="1" w:styleId="49">
    <w:name w:val="批注主题 Char"/>
    <w:link w:val="24"/>
    <w:autoRedefine/>
    <w:semiHidden/>
    <w:qFormat/>
    <w:locked/>
    <w:uiPriority w:val="0"/>
    <w:rPr>
      <w:rFonts w:ascii="Times New Roman" w:hAnsi="Times New Roman" w:eastAsia="宋体" w:cs="Times New Roman"/>
      <w:b/>
    </w:rPr>
  </w:style>
  <w:style w:type="character" w:customStyle="1" w:styleId="50">
    <w:name w:val="页脚 字符"/>
    <w:autoRedefine/>
    <w:qFormat/>
    <w:uiPriority w:val="99"/>
    <w:rPr>
      <w:rFonts w:ascii="Times New Roman" w:hAnsi="Times New Roman" w:eastAsia="宋体" w:cs="Times New Roman"/>
    </w:rPr>
  </w:style>
  <w:style w:type="character" w:customStyle="1" w:styleId="51">
    <w:name w:val="正文文本 字符1"/>
    <w:autoRedefine/>
    <w:semiHidden/>
    <w:qFormat/>
    <w:uiPriority w:val="0"/>
    <w:rPr>
      <w:rFonts w:ascii="Times New Roman" w:hAnsi="Times New Roman" w:eastAsia="宋体" w:cs="Times New Roman"/>
      <w:sz w:val="24"/>
    </w:rPr>
  </w:style>
  <w:style w:type="character" w:customStyle="1" w:styleId="52">
    <w:name w:val="表格 Char"/>
    <w:link w:val="53"/>
    <w:autoRedefine/>
    <w:qFormat/>
    <w:locked/>
    <w:uiPriority w:val="0"/>
    <w:rPr>
      <w:rFonts w:ascii="宋体" w:hAnsi="Times New Roman" w:eastAsia="宋体" w:cs="Times New Roman"/>
      <w:kern w:val="0"/>
      <w:szCs w:val="20"/>
    </w:rPr>
  </w:style>
  <w:style w:type="paragraph" w:customStyle="1" w:styleId="53">
    <w:name w:val="表格"/>
    <w:basedOn w:val="1"/>
    <w:next w:val="1"/>
    <w:link w:val="52"/>
    <w:autoRedefine/>
    <w:qFormat/>
    <w:uiPriority w:val="0"/>
    <w:pPr>
      <w:adjustRightInd w:val="0"/>
      <w:snapToGrid w:val="0"/>
      <w:spacing w:beforeLines="10" w:afterLines="10" w:line="259" w:lineRule="auto"/>
      <w:jc w:val="center"/>
    </w:pPr>
    <w:rPr>
      <w:rFonts w:ascii="宋体" w:hAnsi="Times New Roman" w:eastAsia="宋体" w:cs="Times New Roman"/>
      <w:kern w:val="0"/>
      <w:szCs w:val="20"/>
    </w:rPr>
  </w:style>
  <w:style w:type="character" w:customStyle="1" w:styleId="54">
    <w:name w:val="日期 字符"/>
    <w:autoRedefine/>
    <w:semiHidden/>
    <w:qFormat/>
    <w:uiPriority w:val="0"/>
    <w:rPr>
      <w:rFonts w:ascii="Times New Roman" w:hAnsi="Times New Roman" w:eastAsia="宋体" w:cs="Times New Roman"/>
      <w:sz w:val="24"/>
    </w:rPr>
  </w:style>
  <w:style w:type="character" w:customStyle="1" w:styleId="55">
    <w:name w:val="批注文字 字符1"/>
    <w:autoRedefine/>
    <w:semiHidden/>
    <w:qFormat/>
    <w:uiPriority w:val="0"/>
    <w:rPr>
      <w:rFonts w:ascii="Times New Roman" w:hAnsi="Times New Roman" w:eastAsia="宋体" w:cs="Times New Roman"/>
      <w:sz w:val="24"/>
    </w:rPr>
  </w:style>
  <w:style w:type="paragraph" w:customStyle="1" w:styleId="56">
    <w:name w:val="正文_10"/>
    <w:autoRedefine/>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57">
    <w:name w:val="普通(网站)2"/>
    <w:basedOn w:val="1"/>
    <w:autoRedefine/>
    <w:qFormat/>
    <w:uiPriority w:val="0"/>
    <w:pPr>
      <w:widowControl/>
      <w:spacing w:before="100" w:beforeAutospacing="1" w:after="100" w:afterAutospacing="1"/>
      <w:jc w:val="left"/>
    </w:pPr>
    <w:rPr>
      <w:rFonts w:ascii="宋体" w:hAnsi="宋体" w:eastAsia="宋体" w:cs="Times New Roman"/>
      <w:sz w:val="24"/>
      <w:szCs w:val="20"/>
    </w:rPr>
  </w:style>
  <w:style w:type="paragraph" w:customStyle="1" w:styleId="58">
    <w:name w:val="Default1"/>
    <w:autoRedefine/>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59">
    <w:name w:val="3"/>
    <w:basedOn w:val="1"/>
    <w:next w:val="19"/>
    <w:autoRedefine/>
    <w:qFormat/>
    <w:uiPriority w:val="0"/>
    <w:pPr>
      <w:tabs>
        <w:tab w:val="left" w:pos="6855"/>
      </w:tabs>
      <w:ind w:firstLine="560" w:firstLineChars="200"/>
    </w:pPr>
    <w:rPr>
      <w:rFonts w:ascii="Times New Roman" w:hAnsi="Times New Roman" w:eastAsia="仿宋_GB2312" w:cs="Times New Roman"/>
      <w:sz w:val="28"/>
    </w:rPr>
  </w:style>
  <w:style w:type="paragraph" w:customStyle="1" w:styleId="60">
    <w:name w:val="正文5"/>
    <w:autoRedefine/>
    <w:qFormat/>
    <w:uiPriority w:val="0"/>
    <w:pPr>
      <w:spacing w:line="360" w:lineRule="auto"/>
      <w:ind w:firstLine="200" w:firstLineChars="200"/>
    </w:pPr>
    <w:rPr>
      <w:rFonts w:ascii="Times New Roman" w:hAnsi="Times New Roman" w:eastAsia="宋体" w:cs="宋体"/>
      <w:sz w:val="24"/>
      <w:lang w:val="en-US" w:eastAsia="zh-CN" w:bidi="ar-SA"/>
    </w:rPr>
  </w:style>
  <w:style w:type="paragraph" w:customStyle="1" w:styleId="61">
    <w:name w:val="表头"/>
    <w:basedOn w:val="5"/>
    <w:autoRedefine/>
    <w:qFormat/>
    <w:uiPriority w:val="0"/>
    <w:pPr>
      <w:spacing w:line="360" w:lineRule="auto"/>
      <w:jc w:val="center"/>
    </w:pPr>
    <w:rPr>
      <w:kern w:val="0"/>
    </w:rPr>
  </w:style>
  <w:style w:type="paragraph" w:customStyle="1" w:styleId="62">
    <w:name w:val="表"/>
    <w:basedOn w:val="63"/>
    <w:next w:val="64"/>
    <w:autoRedefine/>
    <w:qFormat/>
    <w:uiPriority w:val="0"/>
    <w:pPr>
      <w:snapToGrid w:val="0"/>
      <w:jc w:val="center"/>
    </w:pPr>
    <w:rPr>
      <w:color w:val="000000"/>
      <w:spacing w:val="2"/>
      <w:u w:color="000000"/>
    </w:rPr>
  </w:style>
  <w:style w:type="paragraph" w:customStyle="1" w:styleId="63">
    <w:name w:val="正文格式"/>
    <w:basedOn w:val="1"/>
    <w:autoRedefine/>
    <w:qFormat/>
    <w:uiPriority w:val="0"/>
    <w:pPr>
      <w:spacing w:line="360" w:lineRule="auto"/>
      <w:ind w:firstLine="482"/>
    </w:pPr>
    <w:rPr>
      <w:rFonts w:ascii="宋体" w:hAnsi="宋体" w:eastAsia="宋体" w:cs="Times New Roman"/>
      <w:sz w:val="24"/>
    </w:rPr>
  </w:style>
  <w:style w:type="paragraph" w:customStyle="1" w:styleId="64">
    <w:name w:val="Char2 Char Char Char"/>
    <w:basedOn w:val="1"/>
    <w:autoRedefine/>
    <w:qFormat/>
    <w:uiPriority w:val="0"/>
    <w:pPr>
      <w:tabs>
        <w:tab w:val="left" w:pos="1360"/>
      </w:tabs>
      <w:ind w:left="1360" w:hanging="720"/>
    </w:pPr>
    <w:rPr>
      <w:rFonts w:ascii="Times New Roman" w:hAnsi="Times New Roman" w:eastAsia="宋体" w:cs="Times New Roman"/>
    </w:rPr>
  </w:style>
  <w:style w:type="paragraph" w:customStyle="1" w:styleId="65">
    <w:name w:val="样式 正文文本文本正文正文文字 Char Char Char Char + 居中 首行缩进:  0 厘米 段前: 6 磅"/>
    <w:basedOn w:val="10"/>
    <w:autoRedefine/>
    <w:qFormat/>
    <w:uiPriority w:val="0"/>
    <w:pPr>
      <w:adjustRightInd w:val="0"/>
      <w:spacing w:before="120" w:line="240" w:lineRule="auto"/>
      <w:jc w:val="center"/>
      <w:textAlignment w:val="baseline"/>
    </w:pPr>
    <w:rPr>
      <w:rFonts w:ascii="宋体"/>
      <w:snapToGrid w:val="0"/>
      <w:w w:val="90"/>
      <w:sz w:val="24"/>
    </w:rPr>
  </w:style>
  <w:style w:type="paragraph" w:customStyle="1" w:styleId="66">
    <w:name w:val="样式 样式 样式 首行缩进:  1 字符 + 首行缩进:  2 字符1 + 首行缩进:  2 字符2"/>
    <w:basedOn w:val="1"/>
    <w:autoRedefine/>
    <w:qFormat/>
    <w:uiPriority w:val="0"/>
    <w:pPr>
      <w:spacing w:line="360" w:lineRule="auto"/>
      <w:ind w:firstLine="480" w:firstLineChars="200"/>
    </w:pPr>
    <w:rPr>
      <w:rFonts w:ascii="Times New Roman" w:hAnsi="Times New Roman" w:eastAsia="宋体" w:cs="宋体"/>
      <w:sz w:val="24"/>
      <w:szCs w:val="20"/>
    </w:rPr>
  </w:style>
  <w:style w:type="paragraph" w:customStyle="1" w:styleId="67">
    <w:name w:val="表格内容"/>
    <w:basedOn w:val="1"/>
    <w:autoRedefine/>
    <w:qFormat/>
    <w:uiPriority w:val="1"/>
    <w:rPr>
      <w:rFonts w:ascii="Times New Roman" w:hAnsi="Times New Roman" w:eastAsia="宋体" w:cs="Times New Roman"/>
      <w:kern w:val="0"/>
      <w:lang w:eastAsia="en-US"/>
    </w:rPr>
  </w:style>
  <w:style w:type="paragraph" w:customStyle="1" w:styleId="68">
    <w:name w:val="正文-ls"/>
    <w:basedOn w:val="1"/>
    <w:link w:val="73"/>
    <w:autoRedefine/>
    <w:qFormat/>
    <w:uiPriority w:val="0"/>
    <w:pPr>
      <w:spacing w:line="360" w:lineRule="auto"/>
      <w:ind w:firstLine="200" w:firstLineChars="200"/>
    </w:pPr>
    <w:rPr>
      <w:rFonts w:ascii="Times New Roman" w:hAnsi="宋体" w:eastAsia="宋体" w:cs="Times New Roman"/>
      <w:kern w:val="0"/>
      <w:sz w:val="24"/>
      <w:szCs w:val="20"/>
    </w:rPr>
  </w:style>
  <w:style w:type="character" w:customStyle="1" w:styleId="69">
    <w:name w:val="正文文本 + 10.5 pt"/>
    <w:autoRedefine/>
    <w:qFormat/>
    <w:uiPriority w:val="0"/>
    <w:rPr>
      <w:rFonts w:ascii="Times New Roman" w:hAnsi="Times New Roman" w:eastAsia="宋体" w:cs="Times New Roman"/>
      <w:spacing w:val="12"/>
      <w:kern w:val="2"/>
      <w:sz w:val="21"/>
      <w:szCs w:val="21"/>
      <w:lang w:val="en-US" w:eastAsia="zh-CN" w:bidi="ar-SA"/>
    </w:rPr>
  </w:style>
  <w:style w:type="paragraph" w:customStyle="1" w:styleId="70">
    <w:name w:val="2006表格题目"/>
    <w:basedOn w:val="1"/>
    <w:autoRedefine/>
    <w:qFormat/>
    <w:uiPriority w:val="0"/>
    <w:pPr>
      <w:spacing w:before="160" w:line="520" w:lineRule="exact"/>
      <w:ind w:firstLine="480" w:firstLineChars="200"/>
    </w:pPr>
    <w:rPr>
      <w:rFonts w:ascii="黑体" w:hAnsi="Times New Roman" w:eastAsia="黑体" w:cs="Times New Roman"/>
      <w:sz w:val="24"/>
      <w:szCs w:val="20"/>
    </w:rPr>
  </w:style>
  <w:style w:type="paragraph" w:customStyle="1" w:styleId="71">
    <w:name w:val="表格文字"/>
    <w:basedOn w:val="10"/>
    <w:link w:val="76"/>
    <w:autoRedefine/>
    <w:qFormat/>
    <w:uiPriority w:val="0"/>
    <w:pPr>
      <w:adjustRightInd w:val="0"/>
      <w:spacing w:after="0"/>
      <w:jc w:val="center"/>
    </w:pPr>
    <w:rPr>
      <w:snapToGrid w:val="0"/>
      <w:szCs w:val="21"/>
    </w:rPr>
  </w:style>
  <w:style w:type="paragraph" w:customStyle="1" w:styleId="72">
    <w:name w:val="2006表格标题"/>
    <w:basedOn w:val="1"/>
    <w:autoRedefine/>
    <w:qFormat/>
    <w:uiPriority w:val="0"/>
    <w:pPr>
      <w:spacing w:before="160"/>
      <w:ind w:firstLine="200" w:firstLineChars="200"/>
    </w:pPr>
    <w:rPr>
      <w:rFonts w:ascii="Times New Roman" w:hAnsi="Times New Roman" w:eastAsia="黑体" w:cs="Times New Roman"/>
    </w:rPr>
  </w:style>
  <w:style w:type="character" w:customStyle="1" w:styleId="73">
    <w:name w:val="正文-ls Char"/>
    <w:link w:val="68"/>
    <w:autoRedefine/>
    <w:qFormat/>
    <w:uiPriority w:val="0"/>
    <w:rPr>
      <w:rFonts w:ascii="Times New Roman" w:hAnsi="宋体" w:eastAsia="宋体" w:cs="Times New Roman"/>
      <w:kern w:val="0"/>
      <w:sz w:val="24"/>
      <w:szCs w:val="20"/>
    </w:rPr>
  </w:style>
  <w:style w:type="paragraph" w:customStyle="1" w:styleId="74">
    <w:name w:val="图表"/>
    <w:basedOn w:val="1"/>
    <w:autoRedefine/>
    <w:qFormat/>
    <w:uiPriority w:val="0"/>
    <w:pPr>
      <w:jc w:val="center"/>
    </w:pPr>
    <w:rPr>
      <w:rFonts w:ascii="Times New Roman" w:hAnsi="Times New Roman" w:eastAsia="宋体" w:cs="Times New Roman"/>
      <w:color w:val="000000"/>
      <w:szCs w:val="21"/>
    </w:rPr>
  </w:style>
  <w:style w:type="character" w:customStyle="1" w:styleId="75">
    <w:name w:val="正文首行缩进 2 Char"/>
    <w:link w:val="26"/>
    <w:autoRedefine/>
    <w:qFormat/>
    <w:uiPriority w:val="0"/>
    <w:rPr>
      <w:rFonts w:ascii="Times New Roman" w:hAnsi="Times New Roman" w:eastAsia="宋体" w:cs="Times New Roman"/>
      <w:kern w:val="2"/>
      <w:sz w:val="21"/>
      <w:szCs w:val="24"/>
    </w:rPr>
  </w:style>
  <w:style w:type="character" w:customStyle="1" w:styleId="76">
    <w:name w:val="表格文字 Char"/>
    <w:link w:val="71"/>
    <w:autoRedefine/>
    <w:qFormat/>
    <w:locked/>
    <w:uiPriority w:val="0"/>
    <w:rPr>
      <w:rFonts w:ascii="Times New Roman" w:hAnsi="Times New Roman" w:eastAsia="宋体" w:cs="Times New Roman"/>
      <w:snapToGrid w:val="0"/>
      <w:szCs w:val="21"/>
    </w:rPr>
  </w:style>
  <w:style w:type="paragraph" w:customStyle="1" w:styleId="77">
    <w:name w:val="表内内容"/>
    <w:basedOn w:val="1"/>
    <w:autoRedefine/>
    <w:qFormat/>
    <w:uiPriority w:val="0"/>
    <w:pPr>
      <w:jc w:val="center"/>
    </w:pPr>
    <w:rPr>
      <w:rFonts w:ascii="Times New Roman" w:hAnsi="Times New Roman" w:eastAsia="宋体" w:cs="Times New Roman"/>
    </w:rPr>
  </w:style>
  <w:style w:type="paragraph" w:customStyle="1" w:styleId="78">
    <w:name w:val="【正文】"/>
    <w:basedOn w:val="1"/>
    <w:link w:val="79"/>
    <w:autoRedefine/>
    <w:qFormat/>
    <w:uiPriority w:val="0"/>
    <w:pPr>
      <w:spacing w:line="440" w:lineRule="exact"/>
      <w:ind w:firstLine="544" w:firstLineChars="200"/>
      <w:jc w:val="left"/>
    </w:pPr>
    <w:rPr>
      <w:rFonts w:ascii="Times New Roman" w:hAnsi="Times New Roman" w:eastAsia="宋体" w:cs="Times New Roman"/>
      <w:sz w:val="24"/>
      <w:szCs w:val="20"/>
    </w:rPr>
  </w:style>
  <w:style w:type="character" w:customStyle="1" w:styleId="79">
    <w:name w:val="【正文】 Char"/>
    <w:link w:val="78"/>
    <w:autoRedefine/>
    <w:qFormat/>
    <w:uiPriority w:val="0"/>
    <w:rPr>
      <w:rFonts w:ascii="Times New Roman" w:hAnsi="Times New Roman" w:eastAsia="宋体" w:cs="Times New Roman"/>
      <w:sz w:val="24"/>
      <w:szCs w:val="20"/>
    </w:rPr>
  </w:style>
  <w:style w:type="paragraph" w:customStyle="1" w:styleId="80">
    <w:name w:val="图表文字"/>
    <w:autoRedefine/>
    <w:qFormat/>
    <w:uiPriority w:val="0"/>
    <w:pPr>
      <w:widowControl w:val="0"/>
      <w:snapToGrid w:val="0"/>
      <w:jc w:val="center"/>
    </w:pPr>
    <w:rPr>
      <w:rFonts w:ascii="Times New Roman" w:hAnsi="Times New Roman" w:eastAsia="宋体" w:cs="Times New Roman"/>
      <w:kern w:val="2"/>
      <w:sz w:val="21"/>
      <w:szCs w:val="24"/>
      <w:lang w:val="en-US" w:eastAsia="zh-CN" w:bidi="ar-SA"/>
    </w:rPr>
  </w:style>
  <w:style w:type="paragraph" w:customStyle="1" w:styleId="81">
    <w:name w:val="图表标题"/>
    <w:basedOn w:val="1"/>
    <w:autoRedefine/>
    <w:qFormat/>
    <w:uiPriority w:val="0"/>
    <w:pPr>
      <w:spacing w:line="360" w:lineRule="auto"/>
      <w:jc w:val="center"/>
    </w:pPr>
    <w:rPr>
      <w:rFonts w:ascii="Times New Roman" w:hAnsi="Times New Roman" w:eastAsia="宋体" w:cs="Times New Roman"/>
      <w:b/>
      <w:szCs w:val="22"/>
    </w:rPr>
  </w:style>
  <w:style w:type="character" w:customStyle="1" w:styleId="82">
    <w:name w:val="5-正文 Char"/>
    <w:link w:val="83"/>
    <w:autoRedefine/>
    <w:qFormat/>
    <w:uiPriority w:val="0"/>
    <w:rPr>
      <w:rFonts w:ascii="Times New Roman" w:hAnsi="Times New Roman" w:eastAsia="宋体" w:cs="Times New Roman"/>
      <w:sz w:val="24"/>
    </w:rPr>
  </w:style>
  <w:style w:type="paragraph" w:customStyle="1" w:styleId="83">
    <w:name w:val="5-正文"/>
    <w:basedOn w:val="1"/>
    <w:link w:val="82"/>
    <w:autoRedefine/>
    <w:qFormat/>
    <w:uiPriority w:val="0"/>
    <w:pPr>
      <w:spacing w:line="360" w:lineRule="auto"/>
      <w:ind w:firstLine="200" w:firstLineChars="200"/>
      <w:jc w:val="left"/>
    </w:pPr>
    <w:rPr>
      <w:rFonts w:ascii="Times New Roman" w:hAnsi="Times New Roman" w:eastAsia="宋体" w:cs="Times New Roman"/>
      <w:sz w:val="24"/>
    </w:rPr>
  </w:style>
  <w:style w:type="paragraph" w:styleId="84">
    <w:name w:val="List Paragraph"/>
    <w:basedOn w:val="1"/>
    <w:autoRedefine/>
    <w:qFormat/>
    <w:uiPriority w:val="99"/>
    <w:pPr>
      <w:ind w:firstLine="420" w:firstLineChars="200"/>
    </w:pPr>
    <w:rPr>
      <w:rFonts w:ascii="Times New Roman" w:hAnsi="Times New Roman" w:eastAsia="宋体" w:cs="Times New Roman"/>
    </w:rPr>
  </w:style>
  <w:style w:type="character" w:customStyle="1" w:styleId="85">
    <w:name w:val="正文缩进 Char"/>
    <w:link w:val="5"/>
    <w:autoRedefine/>
    <w:qFormat/>
    <w:locked/>
    <w:uiPriority w:val="0"/>
    <w:rPr>
      <w:rFonts w:ascii="宋体" w:hAnsi="Times New Roman" w:eastAsia="宋体" w:cs="宋体"/>
      <w:color w:val="000000"/>
      <w:sz w:val="24"/>
      <w:u w:color="000000"/>
    </w:rPr>
  </w:style>
  <w:style w:type="character" w:customStyle="1" w:styleId="86">
    <w:name w:val="注释 Char"/>
    <w:link w:val="87"/>
    <w:autoRedefine/>
    <w:qFormat/>
    <w:uiPriority w:val="0"/>
    <w:rPr>
      <w:rFonts w:ascii="宋体" w:hAnsi="Times New Roman" w:eastAsia="宋体" w:cs="Times New Roman"/>
      <w:snapToGrid w:val="0"/>
      <w:spacing w:val="4"/>
      <w:kern w:val="0"/>
      <w:szCs w:val="20"/>
    </w:rPr>
  </w:style>
  <w:style w:type="paragraph" w:customStyle="1" w:styleId="87">
    <w:name w:val="注释"/>
    <w:basedOn w:val="1"/>
    <w:link w:val="86"/>
    <w:autoRedefine/>
    <w:qFormat/>
    <w:uiPriority w:val="0"/>
    <w:pPr>
      <w:adjustRightInd w:val="0"/>
      <w:snapToGrid w:val="0"/>
      <w:spacing w:line="360" w:lineRule="auto"/>
      <w:textAlignment w:val="baseline"/>
    </w:pPr>
    <w:rPr>
      <w:rFonts w:ascii="宋体" w:hAnsi="Times New Roman" w:eastAsia="宋体" w:cs="Times New Roman"/>
      <w:snapToGrid w:val="0"/>
      <w:spacing w:val="4"/>
      <w:kern w:val="0"/>
      <w:szCs w:val="20"/>
    </w:rPr>
  </w:style>
  <w:style w:type="character" w:customStyle="1" w:styleId="88">
    <w:name w:val="文档结构图 Char"/>
    <w:basedOn w:val="29"/>
    <w:link w:val="7"/>
    <w:autoRedefine/>
    <w:qFormat/>
    <w:uiPriority w:val="0"/>
    <w:rPr>
      <w:rFonts w:ascii="宋体" w:hAnsi="Times New Roman" w:eastAsia="宋体" w:cs="Times New Roman"/>
      <w:sz w:val="18"/>
      <w:szCs w:val="18"/>
    </w:rPr>
  </w:style>
  <w:style w:type="table" w:customStyle="1" w:styleId="89">
    <w:name w:val="Table Normal"/>
    <w:autoRedefine/>
    <w:semiHidden/>
    <w:unhideWhenUsed/>
    <w:qFormat/>
    <w:uiPriority w:val="0"/>
    <w:tblPr>
      <w:tblCellMar>
        <w:top w:w="0" w:type="dxa"/>
        <w:left w:w="0" w:type="dxa"/>
        <w:bottom w:w="0" w:type="dxa"/>
        <w:right w:w="0" w:type="dxa"/>
      </w:tblCellMar>
    </w:tblPr>
  </w:style>
  <w:style w:type="paragraph" w:customStyle="1" w:styleId="90">
    <w:name w:val="Table Text"/>
    <w:basedOn w:val="1"/>
    <w:autoRedefine/>
    <w:semiHidden/>
    <w:qFormat/>
    <w:uiPriority w:val="0"/>
    <w:rPr>
      <w:rFonts w:ascii="宋体" w:hAnsi="宋体" w:eastAsia="宋体" w:cs="宋体"/>
      <w:sz w:val="24"/>
      <w:szCs w:val="24"/>
      <w:lang w:val="en-US" w:eastAsia="en-US" w:bidi="ar-SA"/>
    </w:rPr>
  </w:style>
  <w:style w:type="paragraph" w:customStyle="1" w:styleId="91">
    <w:name w:val="顶标4"/>
    <w:basedOn w:val="1"/>
    <w:autoRedefine/>
    <w:qFormat/>
    <w:uiPriority w:val="0"/>
    <w:pPr>
      <w:ind w:firstLine="0" w:firstLineChars="0"/>
      <w:jc w:val="left"/>
    </w:pPr>
    <w:rPr>
      <w:rFonts w:hint="eastAsia" w:ascii="Times New Roman" w:hAnsi="Times New Roman" w:eastAsia="宋体" w:cs="Times New Roman"/>
      <w:b/>
    </w:rPr>
  </w:style>
  <w:style w:type="character" w:customStyle="1" w:styleId="92">
    <w:name w:val="font31"/>
    <w:basedOn w:val="29"/>
    <w:autoRedefine/>
    <w:qFormat/>
    <w:uiPriority w:val="0"/>
    <w:rPr>
      <w:rFonts w:ascii="宋体" w:hAnsi="宋体" w:eastAsia="宋体" w:cs="宋体"/>
      <w:color w:val="000000"/>
      <w:sz w:val="22"/>
      <w:szCs w:val="22"/>
      <w:u w:val="none"/>
    </w:rPr>
  </w:style>
  <w:style w:type="paragraph" w:customStyle="1" w:styleId="93">
    <w:name w:val="Char"/>
    <w:basedOn w:val="1"/>
    <w:autoRedefine/>
    <w:qFormat/>
    <w:uiPriority w:val="0"/>
    <w:rPr>
      <w:rFonts w:ascii="Times New Roman" w:hAnsi="Times New Roman" w:eastAsia="宋体" w:cs="Times New Roman"/>
    </w:rPr>
  </w:style>
  <w:style w:type="paragraph" w:customStyle="1" w:styleId="94">
    <w:name w:val="样式 报告书正文 + 首行缩进:  2 字符"/>
    <w:basedOn w:val="95"/>
    <w:autoRedefine/>
    <w:qFormat/>
    <w:uiPriority w:val="0"/>
    <w:pPr>
      <w:spacing w:line="480" w:lineRule="exact"/>
    </w:pPr>
    <w:rPr>
      <w:rFonts w:cs="宋体"/>
    </w:rPr>
  </w:style>
  <w:style w:type="paragraph" w:customStyle="1" w:styleId="95">
    <w:name w:val="报告书正文"/>
    <w:basedOn w:val="1"/>
    <w:autoRedefine/>
    <w:qFormat/>
    <w:uiPriority w:val="0"/>
    <w:pPr>
      <w:widowControl/>
      <w:adjustRightInd w:val="0"/>
      <w:snapToGrid w:val="0"/>
      <w:spacing w:line="360" w:lineRule="auto"/>
      <w:ind w:firstLine="480" w:firstLineChars="200"/>
      <w:jc w:val="left"/>
      <w:textAlignment w:val="baseline"/>
    </w:pPr>
    <w:rPr>
      <w:rFonts w:ascii="Times New Roman" w:hAnsi="Times New Roman" w:eastAsia="宋体" w:cs="Times New Roman"/>
      <w:sz w:val="24"/>
    </w:rPr>
  </w:style>
  <w:style w:type="paragraph" w:customStyle="1" w:styleId="96">
    <w:name w:val="表格首行"/>
    <w:basedOn w:val="1"/>
    <w:autoRedefine/>
    <w:qFormat/>
    <w:uiPriority w:val="0"/>
    <w:pPr>
      <w:snapToGrid w:val="0"/>
      <w:spacing w:line="240" w:lineRule="auto"/>
      <w:ind w:firstLine="0" w:firstLineChars="0"/>
      <w:jc w:val="center"/>
    </w:pPr>
    <w:rPr>
      <w:rFonts w:ascii="Times New Roman" w:hAnsi="Times New Roman" w:eastAsia="宋体" w:cs="Times New Roman"/>
      <w:b/>
      <w:sz w:val="21"/>
    </w:rPr>
  </w:style>
  <w:style w:type="paragraph" w:customStyle="1" w:styleId="97">
    <w:name w:val="表格内容2"/>
    <w:basedOn w:val="67"/>
    <w:autoRedefine/>
    <w:qFormat/>
    <w:uiPriority w:val="0"/>
    <w:pPr>
      <w:adjustRightInd/>
      <w:snapToGrid/>
      <w:spacing w:line="330" w:lineRule="exact"/>
    </w:pPr>
    <w:rPr>
      <w:color w:val="auto"/>
      <w:szCs w:val="24"/>
    </w:rPr>
  </w:style>
  <w:style w:type="paragraph" w:customStyle="1" w:styleId="98">
    <w:name w:val="表（或图）标题 样式 宋体 五号 居中 SL CON"/>
    <w:basedOn w:val="1"/>
    <w:autoRedefine/>
    <w:qFormat/>
    <w:uiPriority w:val="0"/>
    <w:pPr>
      <w:widowControl/>
      <w:tabs>
        <w:tab w:val="left" w:pos="377"/>
      </w:tabs>
      <w:spacing w:before="100" w:beforeAutospacing="1" w:line="360" w:lineRule="auto"/>
      <w:jc w:val="center"/>
    </w:pPr>
    <w:rPr>
      <w:rFonts w:ascii="宋体" w:hAnsi="宋体" w:eastAsia="宋体" w:cs="Times New Roman"/>
      <w:b/>
      <w:kern w:val="0"/>
      <w:sz w:val="20"/>
      <w:szCs w:val="20"/>
    </w:rPr>
  </w:style>
  <w:style w:type="paragraph" w:customStyle="1" w:styleId="99">
    <w:name w:val="正文_衔接"/>
    <w:next w:val="1"/>
    <w:autoRedefine/>
    <w:qFormat/>
    <w:uiPriority w:val="0"/>
    <w:pPr>
      <w:widowControl w:val="0"/>
      <w:spacing w:before="120" w:after="120" w:line="360" w:lineRule="auto"/>
      <w:ind w:firstLine="720" w:firstLineChars="200"/>
      <w:jc w:val="both"/>
    </w:pPr>
    <w:rPr>
      <w:rFonts w:ascii="Times New Roman" w:hAnsi="Times New Roman" w:eastAsia="宋体" w:cs="Times New Roman"/>
      <w:kern w:val="2"/>
      <w:sz w:val="24"/>
      <w:szCs w:val="22"/>
      <w:lang w:val="en-US" w:eastAsia="zh-CN" w:bidi="ar-SA"/>
    </w:rPr>
  </w:style>
  <w:style w:type="paragraph" w:customStyle="1" w:styleId="100">
    <w:name w:val="小小标"/>
    <w:basedOn w:val="1"/>
    <w:autoRedefine/>
    <w:qFormat/>
    <w:uiPriority w:val="0"/>
    <w:pPr>
      <w:spacing w:before="120" w:after="120" w:line="360" w:lineRule="auto"/>
      <w:ind w:leftChars="0" w:firstLine="720" w:firstLineChars="200"/>
    </w:pPr>
    <w:rPr>
      <w:rFonts w:hint="eastAsia" w:ascii="Times New Roman" w:hAnsi="Times New Roman" w:eastAsia="宋体" w:cs="Times New Roman"/>
      <w:b/>
      <w:sz w:val="24"/>
      <w:szCs w:val="22"/>
    </w:rPr>
  </w:style>
  <w:style w:type="character" w:customStyle="1" w:styleId="101">
    <w:name w:val="zw1"/>
    <w:basedOn w:val="29"/>
    <w:autoRedefine/>
    <w:qFormat/>
    <w:uiPriority w:val="0"/>
    <w:rPr>
      <w:rFonts w:hint="eastAsia" w:ascii="宋体" w:hAnsi="宋体" w:eastAsia="宋体" w:cs="Times New Roman"/>
      <w:sz w:val="22"/>
      <w:szCs w:val="22"/>
    </w:rPr>
  </w:style>
  <w:style w:type="character" w:customStyle="1" w:styleId="102">
    <w:name w:val="bt21"/>
    <w:basedOn w:val="29"/>
    <w:autoRedefine/>
    <w:qFormat/>
    <w:uiPriority w:val="0"/>
    <w:rPr>
      <w:rFonts w:hint="eastAsia" w:ascii="黑体" w:hAnsi="Times New Roman" w:eastAsia="黑体" w:cs="Times New Roman"/>
      <w:sz w:val="24"/>
      <w:szCs w:val="24"/>
    </w:rPr>
  </w:style>
  <w:style w:type="character" w:customStyle="1" w:styleId="103">
    <w:name w:val="font21"/>
    <w:basedOn w:val="29"/>
    <w:autoRedefine/>
    <w:qFormat/>
    <w:uiPriority w:val="0"/>
    <w:rPr>
      <w:rFonts w:ascii="宋体" w:hAnsi="宋体" w:eastAsia="宋体" w:cs="宋体"/>
      <w:color w:val="000000"/>
      <w:sz w:val="14"/>
      <w:szCs w:val="14"/>
      <w:u w:val="none"/>
    </w:rPr>
  </w:style>
  <w:style w:type="character" w:customStyle="1" w:styleId="104">
    <w:name w:val="font41"/>
    <w:basedOn w:val="29"/>
    <w:autoRedefine/>
    <w:qFormat/>
    <w:uiPriority w:val="0"/>
    <w:rPr>
      <w:rFonts w:ascii="Calibri" w:hAnsi="Calibri" w:eastAsia="宋体" w:cs="Calibri"/>
      <w:color w:val="000000"/>
      <w:sz w:val="12"/>
      <w:szCs w:val="12"/>
      <w:u w:val="none"/>
    </w:rPr>
  </w:style>
  <w:style w:type="character" w:customStyle="1" w:styleId="105">
    <w:name w:val="font51"/>
    <w:basedOn w:val="29"/>
    <w:autoRedefine/>
    <w:qFormat/>
    <w:uiPriority w:val="0"/>
    <w:rPr>
      <w:rFonts w:ascii="宋体" w:hAnsi="宋体" w:eastAsia="宋体" w:cs="宋体"/>
      <w:color w:val="000000"/>
      <w:sz w:val="10"/>
      <w:szCs w:val="10"/>
      <w:u w:val="none"/>
    </w:rPr>
  </w:style>
  <w:style w:type="character" w:customStyle="1" w:styleId="106">
    <w:name w:val="font61"/>
    <w:basedOn w:val="29"/>
    <w:autoRedefine/>
    <w:qFormat/>
    <w:uiPriority w:val="0"/>
    <w:rPr>
      <w:rFonts w:hint="default" w:ascii="Calibri" w:hAnsi="Calibri" w:eastAsia="宋体" w:cs="Calibri"/>
      <w:color w:val="000000"/>
      <w:sz w:val="10"/>
      <w:szCs w:val="10"/>
      <w:u w:val="none"/>
    </w:rPr>
  </w:style>
  <w:style w:type="paragraph" w:customStyle="1" w:styleId="107">
    <w:name w:val="填表内容"/>
    <w:basedOn w:val="1"/>
    <w:autoRedefine/>
    <w:qFormat/>
    <w:uiPriority w:val="0"/>
    <w:pPr>
      <w:adjustRightInd w:val="0"/>
      <w:spacing w:line="480" w:lineRule="exact"/>
      <w:ind w:firstLine="200" w:firstLineChars="200"/>
      <w:jc w:val="left"/>
      <w:textAlignment w:val="baseline"/>
    </w:pPr>
    <w:rPr>
      <w:rFonts w:ascii="楷体_GB2312" w:hAnsi="Times New Roman" w:eastAsia="楷体_GB2312" w:cs="Times New Roman"/>
      <w:sz w:val="28"/>
      <w:szCs w:val="20"/>
    </w:rPr>
  </w:style>
  <w:style w:type="character" w:customStyle="1" w:styleId="108">
    <w:name w:val="font12"/>
    <w:basedOn w:val="29"/>
    <w:qFormat/>
    <w:uiPriority w:val="0"/>
    <w:rPr>
      <w:rFonts w:hint="eastAsia" w:ascii="宋体" w:hAnsi="宋体" w:eastAsia="宋体" w:cs="宋体"/>
      <w:color w:val="000000"/>
      <w:sz w:val="21"/>
      <w:szCs w:val="21"/>
      <w:u w:val="none"/>
    </w:rPr>
  </w:style>
  <w:style w:type="character" w:customStyle="1" w:styleId="109">
    <w:name w:val="font91"/>
    <w:basedOn w:val="29"/>
    <w:qFormat/>
    <w:uiPriority w:val="0"/>
    <w:rPr>
      <w:rFonts w:hint="eastAsia" w:ascii="宋体" w:hAnsi="宋体" w:eastAsia="宋体" w:cs="宋体"/>
      <w:color w:val="FF0000"/>
      <w:sz w:val="21"/>
      <w:szCs w:val="21"/>
      <w:u w:val="none"/>
    </w:rPr>
  </w:style>
  <w:style w:type="character" w:customStyle="1" w:styleId="110">
    <w:name w:val="font01"/>
    <w:basedOn w:val="29"/>
    <w:qFormat/>
    <w:uiPriority w:val="0"/>
    <w:rPr>
      <w:rFonts w:hint="eastAsia" w:ascii="宋体" w:hAnsi="宋体" w:eastAsia="宋体" w:cs="宋体"/>
      <w:color w:val="000000"/>
      <w:sz w:val="22"/>
      <w:szCs w:val="22"/>
      <w:u w:val="none"/>
    </w:rPr>
  </w:style>
  <w:style w:type="paragraph" w:customStyle="1" w:styleId="111">
    <w:name w:val="列出段落2"/>
    <w:basedOn w:val="1"/>
    <w:qFormat/>
    <w:uiPriority w:val="0"/>
    <w:pPr>
      <w:ind w:firstLine="420"/>
    </w:pPr>
    <w:rPr>
      <w:rFonts w:ascii="Times New Roman" w:hAnsi="Times New Roman" w:eastAsia="宋体" w:cs="Times New Roman"/>
    </w:rPr>
  </w:style>
  <w:style w:type="paragraph" w:customStyle="1" w:styleId="112">
    <w:name w:val="Table Paragraph"/>
    <w:basedOn w:val="1"/>
    <w:unhideWhenUsed/>
    <w:qFormat/>
    <w:uiPriority w:val="0"/>
    <w:pPr>
      <w:autoSpaceDE w:val="0"/>
      <w:autoSpaceDN w:val="0"/>
      <w:adjustRightInd w:val="0"/>
      <w:spacing w:line="240" w:lineRule="auto"/>
    </w:pPr>
    <w:rPr>
      <w:rFonts w:ascii="Calibri" w:hAnsi="Calibri" w:eastAsia="宋体" w:cs="Times New Roman"/>
      <w:kern w:val="0"/>
      <w:szCs w:val="22"/>
    </w:rPr>
  </w:style>
  <w:style w:type="character" w:customStyle="1" w:styleId="113">
    <w:name w:val="font11"/>
    <w:basedOn w:val="29"/>
    <w:qFormat/>
    <w:uiPriority w:val="0"/>
    <w:rPr>
      <w:rFonts w:hint="default" w:ascii="Times New Roman" w:hAnsi="Times New Roman" w:eastAsia="宋体" w:cs="Times New Roman"/>
      <w:color w:val="FF0000"/>
      <w:sz w:val="21"/>
      <w:szCs w:val="21"/>
      <w:u w:val="none"/>
    </w:rPr>
  </w:style>
  <w:style w:type="paragraph" w:customStyle="1" w:styleId="114">
    <w:name w:val="标头111"/>
    <w:basedOn w:val="1"/>
    <w:qFormat/>
    <w:uiPriority w:val="0"/>
    <w:pPr>
      <w:adjustRightInd w:val="0"/>
      <w:jc w:val="center"/>
    </w:pPr>
    <w:rPr>
      <w:rFonts w:hint="eastAsia" w:ascii="Times New Roman" w:hAnsi="Times New Roman" w:eastAsia="宋体" w:cs="Times New Roman"/>
      <w:b/>
      <w:bCs/>
      <w:spacing w:val="-6"/>
    </w:rPr>
  </w:style>
  <w:style w:type="paragraph" w:customStyle="1" w:styleId="115">
    <w:name w:val="样式222"/>
    <w:basedOn w:val="1"/>
    <w:qFormat/>
    <w:uiPriority w:val="0"/>
    <w:pPr>
      <w:widowControl/>
      <w:spacing w:line="360" w:lineRule="auto"/>
      <w:ind w:firstLine="720" w:firstLineChars="200"/>
      <w:jc w:val="left"/>
    </w:pPr>
    <w:rPr>
      <w:rFonts w:hint="eastAsia" w:ascii="宋体" w:hAnsi="宋体" w:eastAsia="宋体" w:cs="Times New Roman"/>
      <w:color w:val="000000"/>
      <w:kern w:val="0"/>
      <w:sz w:val="24"/>
    </w:rPr>
  </w:style>
  <w:style w:type="paragraph" w:customStyle="1" w:styleId="116">
    <w:name w:val="Body text|1"/>
    <w:basedOn w:val="1"/>
    <w:autoRedefine/>
    <w:qFormat/>
    <w:uiPriority w:val="0"/>
    <w:pPr>
      <w:widowControl w:val="0"/>
      <w:shd w:val="clear" w:color="auto" w:fill="auto"/>
      <w:spacing w:line="468" w:lineRule="exact"/>
      <w:ind w:firstLine="520"/>
    </w:pPr>
    <w:rPr>
      <w:rFonts w:ascii="宋体" w:hAnsi="宋体" w:eastAsia="宋体" w:cs="宋体"/>
      <w:sz w:val="28"/>
      <w:szCs w:val="28"/>
      <w:u w:val="none"/>
      <w:shd w:val="clear" w:color="auto" w:fill="auto"/>
      <w:lang w:val="zh-TW" w:eastAsia="zh-TW" w:bidi="zh-TW"/>
    </w:rPr>
  </w:style>
</w:styles>
</file>

<file path=word/_rels/document.xml.rels><?xml version="1.0" encoding="UTF-8" standalone="yes"?>
<Relationships xmlns="http://schemas.openxmlformats.org/package/2006/relationships"><Relationship Id="rId95" Type="http://schemas.openxmlformats.org/officeDocument/2006/relationships/fontTable" Target="fontTable.xml"/><Relationship Id="rId94" Type="http://schemas.openxmlformats.org/officeDocument/2006/relationships/numbering" Target="numbering.xml"/><Relationship Id="rId93" Type="http://schemas.openxmlformats.org/officeDocument/2006/relationships/customXml" Target="../customXml/item1.xml"/><Relationship Id="rId92" Type="http://schemas.openxmlformats.org/officeDocument/2006/relationships/image" Target="media/image84.jpeg"/><Relationship Id="rId91" Type="http://schemas.openxmlformats.org/officeDocument/2006/relationships/image" Target="media/image83.jpeg"/><Relationship Id="rId90" Type="http://schemas.openxmlformats.org/officeDocument/2006/relationships/image" Target="media/image82.jpeg"/><Relationship Id="rId9" Type="http://schemas.openxmlformats.org/officeDocument/2006/relationships/image" Target="media/image5.png"/><Relationship Id="rId89" Type="http://schemas.openxmlformats.org/officeDocument/2006/relationships/image" Target="media/image81.jpeg"/><Relationship Id="rId88" Type="http://schemas.openxmlformats.org/officeDocument/2006/relationships/image" Target="media/image80.jpeg"/><Relationship Id="rId87" Type="http://schemas.openxmlformats.org/officeDocument/2006/relationships/image" Target="media/image79.jpeg"/><Relationship Id="rId86" Type="http://schemas.openxmlformats.org/officeDocument/2006/relationships/image" Target="media/image78.png"/><Relationship Id="rId85" Type="http://schemas.openxmlformats.org/officeDocument/2006/relationships/image" Target="media/image77.png"/><Relationship Id="rId84" Type="http://schemas.openxmlformats.org/officeDocument/2006/relationships/image" Target="media/image76.jpeg"/><Relationship Id="rId83" Type="http://schemas.openxmlformats.org/officeDocument/2006/relationships/image" Target="media/image75.png"/><Relationship Id="rId82" Type="http://schemas.openxmlformats.org/officeDocument/2006/relationships/image" Target="media/image74.png"/><Relationship Id="rId81" Type="http://schemas.openxmlformats.org/officeDocument/2006/relationships/image" Target="media/image73.png"/><Relationship Id="rId80" Type="http://schemas.openxmlformats.org/officeDocument/2006/relationships/image" Target="media/image72.png"/><Relationship Id="rId8" Type="http://schemas.openxmlformats.org/officeDocument/2006/relationships/image" Target="media/image4.png"/><Relationship Id="rId79" Type="http://schemas.openxmlformats.org/officeDocument/2006/relationships/image" Target="media/image71.png"/><Relationship Id="rId78" Type="http://schemas.openxmlformats.org/officeDocument/2006/relationships/image" Target="media/image70.jpeg"/><Relationship Id="rId77" Type="http://schemas.openxmlformats.org/officeDocument/2006/relationships/image" Target="media/image69.jpeg"/><Relationship Id="rId76" Type="http://schemas.openxmlformats.org/officeDocument/2006/relationships/image" Target="media/image68.jpeg"/><Relationship Id="rId75" Type="http://schemas.openxmlformats.org/officeDocument/2006/relationships/image" Target="media/image67.jpeg"/><Relationship Id="rId74" Type="http://schemas.openxmlformats.org/officeDocument/2006/relationships/image" Target="media/image66.jpeg"/><Relationship Id="rId73" Type="http://schemas.openxmlformats.org/officeDocument/2006/relationships/image" Target="media/image65.jpeg"/><Relationship Id="rId72" Type="http://schemas.openxmlformats.org/officeDocument/2006/relationships/image" Target="media/image64.jpeg"/><Relationship Id="rId71" Type="http://schemas.openxmlformats.org/officeDocument/2006/relationships/image" Target="media/image63.jpeg"/><Relationship Id="rId70" Type="http://schemas.openxmlformats.org/officeDocument/2006/relationships/image" Target="media/image62.jpeg"/><Relationship Id="rId7" Type="http://schemas.openxmlformats.org/officeDocument/2006/relationships/image" Target="media/image3.png"/><Relationship Id="rId69" Type="http://schemas.openxmlformats.org/officeDocument/2006/relationships/image" Target="media/image61.jpeg"/><Relationship Id="rId68" Type="http://schemas.openxmlformats.org/officeDocument/2006/relationships/image" Target="media/image60.jpeg"/><Relationship Id="rId67" Type="http://schemas.openxmlformats.org/officeDocument/2006/relationships/image" Target="media/image59.jpeg"/><Relationship Id="rId66" Type="http://schemas.openxmlformats.org/officeDocument/2006/relationships/image" Target="media/image58.jpeg"/><Relationship Id="rId65" Type="http://schemas.openxmlformats.org/officeDocument/2006/relationships/image" Target="media/image57.jpeg"/><Relationship Id="rId64" Type="http://schemas.openxmlformats.org/officeDocument/2006/relationships/image" Target="media/image56.png"/><Relationship Id="rId63" Type="http://schemas.openxmlformats.org/officeDocument/2006/relationships/image" Target="media/image55.png"/><Relationship Id="rId62" Type="http://schemas.openxmlformats.org/officeDocument/2006/relationships/image" Target="media/image54.png"/><Relationship Id="rId61" Type="http://schemas.openxmlformats.org/officeDocument/2006/relationships/image" Target="media/image53.png"/><Relationship Id="rId60" Type="http://schemas.openxmlformats.org/officeDocument/2006/relationships/image" Target="media/image52.png"/><Relationship Id="rId6" Type="http://schemas.openxmlformats.org/officeDocument/2006/relationships/image" Target="media/image2.png"/><Relationship Id="rId59" Type="http://schemas.openxmlformats.org/officeDocument/2006/relationships/image" Target="media/image51.png"/><Relationship Id="rId58" Type="http://schemas.openxmlformats.org/officeDocument/2006/relationships/image" Target="media/image50.png"/><Relationship Id="rId57" Type="http://schemas.openxmlformats.org/officeDocument/2006/relationships/image" Target="media/image49.png"/><Relationship Id="rId56" Type="http://schemas.openxmlformats.org/officeDocument/2006/relationships/image" Target="media/image48.png"/><Relationship Id="rId55" Type="http://schemas.openxmlformats.org/officeDocument/2006/relationships/image" Target="media/image47.png"/><Relationship Id="rId54" Type="http://schemas.openxmlformats.org/officeDocument/2006/relationships/image" Target="media/image46.png"/><Relationship Id="rId53" Type="http://schemas.openxmlformats.org/officeDocument/2006/relationships/image" Target="media/image45.png"/><Relationship Id="rId52" Type="http://schemas.openxmlformats.org/officeDocument/2006/relationships/image" Target="media/image44.png"/><Relationship Id="rId51" Type="http://schemas.openxmlformats.org/officeDocument/2006/relationships/image" Target="media/image43.png"/><Relationship Id="rId50" Type="http://schemas.openxmlformats.org/officeDocument/2006/relationships/image" Target="media/image42.png"/><Relationship Id="rId5" Type="http://schemas.openxmlformats.org/officeDocument/2006/relationships/image" Target="media/image1.png"/><Relationship Id="rId49" Type="http://schemas.openxmlformats.org/officeDocument/2006/relationships/image" Target="media/image41.png"/><Relationship Id="rId48" Type="http://schemas.openxmlformats.org/officeDocument/2006/relationships/image" Target="media/image40.png"/><Relationship Id="rId47" Type="http://schemas.openxmlformats.org/officeDocument/2006/relationships/image" Target="media/image39.png"/><Relationship Id="rId46" Type="http://schemas.openxmlformats.org/officeDocument/2006/relationships/image" Target="media/image38.png"/><Relationship Id="rId45" Type="http://schemas.openxmlformats.org/officeDocument/2006/relationships/image" Target="media/image37.png"/><Relationship Id="rId44" Type="http://schemas.openxmlformats.org/officeDocument/2006/relationships/image" Target="media/image36.png"/><Relationship Id="rId43" Type="http://schemas.openxmlformats.org/officeDocument/2006/relationships/image" Target="media/image35.png"/><Relationship Id="rId42" Type="http://schemas.openxmlformats.org/officeDocument/2006/relationships/image" Target="media/image34.png"/><Relationship Id="rId41" Type="http://schemas.openxmlformats.org/officeDocument/2006/relationships/image" Target="media/image33.png"/><Relationship Id="rId40" Type="http://schemas.openxmlformats.org/officeDocument/2006/relationships/image" Target="media/image32.png"/><Relationship Id="rId4" Type="http://schemas.openxmlformats.org/officeDocument/2006/relationships/theme" Target="theme/theme1.xml"/><Relationship Id="rId39" Type="http://schemas.openxmlformats.org/officeDocument/2006/relationships/image" Target="media/image31.png"/><Relationship Id="rId38" Type="http://schemas.openxmlformats.org/officeDocument/2006/relationships/image" Target="media/image30.png"/><Relationship Id="rId37" Type="http://schemas.openxmlformats.org/officeDocument/2006/relationships/image" Target="media/image29.jpeg"/><Relationship Id="rId36" Type="http://schemas.openxmlformats.org/officeDocument/2006/relationships/image" Target="media/image28.jpeg"/><Relationship Id="rId35" Type="http://schemas.openxmlformats.org/officeDocument/2006/relationships/image" Target="media/image27.jpeg"/><Relationship Id="rId34" Type="http://schemas.openxmlformats.org/officeDocument/2006/relationships/image" Target="media/image26.png"/><Relationship Id="rId33" Type="http://schemas.openxmlformats.org/officeDocument/2006/relationships/image" Target="media/image25.jpeg"/><Relationship Id="rId32" Type="http://schemas.openxmlformats.org/officeDocument/2006/relationships/image" Target="media/image24.jpeg"/><Relationship Id="rId31" Type="http://schemas.openxmlformats.org/officeDocument/2006/relationships/image" Target="media/image23.jpeg"/><Relationship Id="rId30" Type="http://schemas.openxmlformats.org/officeDocument/2006/relationships/image" Target="media/image22.jpeg"/><Relationship Id="rId3" Type="http://schemas.openxmlformats.org/officeDocument/2006/relationships/footer" Target="footer1.xml"/><Relationship Id="rId29" Type="http://schemas.openxmlformats.org/officeDocument/2006/relationships/image" Target="media/image21.png"/><Relationship Id="rId28" Type="http://schemas.openxmlformats.org/officeDocument/2006/relationships/image" Target="media/image20.png"/><Relationship Id="rId27" Type="http://schemas.openxmlformats.org/officeDocument/2006/relationships/image" Target="media/image19.jpeg"/><Relationship Id="rId26" Type="http://schemas.openxmlformats.org/officeDocument/2006/relationships/image" Target="media/image18.jpeg"/><Relationship Id="rId25" Type="http://schemas.openxmlformats.org/officeDocument/2006/relationships/image" Target="media/image17.jpeg"/><Relationship Id="rId24" Type="http://schemas.openxmlformats.org/officeDocument/2006/relationships/image" Target="media/image16.jpeg"/><Relationship Id="rId23" Type="http://schemas.openxmlformats.org/officeDocument/2006/relationships/image" Target="media/image15.jpeg"/><Relationship Id="rId22" Type="http://schemas.openxmlformats.org/officeDocument/2006/relationships/image" Target="media/image14.jpeg"/><Relationship Id="rId21" Type="http://schemas.openxmlformats.org/officeDocument/2006/relationships/image" Target="media/image13.png"/><Relationship Id="rId20" Type="http://schemas.openxmlformats.org/officeDocument/2006/relationships/image" Target="media/image12.png"/><Relationship Id="rId2" Type="http://schemas.openxmlformats.org/officeDocument/2006/relationships/settings" Target="settings.xml"/><Relationship Id="rId19" Type="http://schemas.openxmlformats.org/officeDocument/2006/relationships/image" Target="media/image11.jpeg"/><Relationship Id="rId18" Type="http://schemas.openxmlformats.org/officeDocument/2006/relationships/image" Target="media/image10.jpeg"/><Relationship Id="rId17" Type="http://schemas.openxmlformats.org/officeDocument/2006/relationships/image" Target="media/image9.wmf"/><Relationship Id="rId16" Type="http://schemas.openxmlformats.org/officeDocument/2006/relationships/oleObject" Target="embeddings/oleObject4.bin"/><Relationship Id="rId15" Type="http://schemas.openxmlformats.org/officeDocument/2006/relationships/image" Target="media/image8.wmf"/><Relationship Id="rId14" Type="http://schemas.openxmlformats.org/officeDocument/2006/relationships/oleObject" Target="embeddings/oleObject3.bin"/><Relationship Id="rId13" Type="http://schemas.openxmlformats.org/officeDocument/2006/relationships/image" Target="media/image7.emf"/><Relationship Id="rId12" Type="http://schemas.openxmlformats.org/officeDocument/2006/relationships/oleObject" Target="embeddings/oleObject2.bin"/><Relationship Id="rId11" Type="http://schemas.openxmlformats.org/officeDocument/2006/relationships/image" Target="media/image6.emf"/><Relationship Id="rId10" Type="http://schemas.openxmlformats.org/officeDocument/2006/relationships/oleObject" Target="embeddings/oleObject1.bin"/><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4097" textRotate="1"/>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168</Pages>
  <Words>28890</Words>
  <Characters>30164</Characters>
  <Lines>0</Lines>
  <Paragraphs>0</Paragraphs>
  <TotalTime>8</TotalTime>
  <ScaleCrop>false</ScaleCrop>
  <LinksUpToDate>false</LinksUpToDate>
  <CharactersWithSpaces>30225</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2026-03-28T02:19:00Z</dcterms:created>
  <dc:creator>小飞侠</dc:creator>
  <cp:lastModifiedBy>小飞侠</cp:lastModifiedBy>
  <dcterms:modified xsi:type="dcterms:W3CDTF">2026-05-16T02:16:06Z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787CEAC9800B4EAEA35FCACFF521998D_13</vt:lpwstr>
  </property>
  <property fmtid="{D5CDD505-2E9C-101B-9397-08002B2CF9AE}" pid="4" name="KSOTemplateDocerSaveRecord">
    <vt:lpwstr>eyJoZGlkIjoiZmIzNmZlNTUxNThiNDBmOGI2MjJlYzliZjFiN2EwMDkiLCJ1c2VySWQiOiI0MDY2MTkwNjEifQ==</vt:lpwstr>
  </property>
</Properties>
</file>